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75247"/>
          <w:spacing w:val="2"/>
          <w:sz w:val="16"/>
          <w:szCs w:val="16"/>
        </w:rPr>
        <w:t xml:space="preserve">CLIENT ALERT — TELECOM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1A19"/>
          <w:sz w:val="30"/>
          <w:szCs w:val="30"/>
        </w:rPr>
        <w:t xml:space="preserve">TRAI directs phase-wise rollout of the 1601 numbering series for service and transactional calls beyond BFSI and Government</w:t>
      </w:r>
    </w:p>
    <w:p>
      <w:pPr>
        <w:spacing w:after="60"/>
      </w:pPr>
      <w:r>
        <w:rPr>
          <w:rFonts w:ascii="Arial" w:cs="Arial" w:eastAsia="Arial" w:hAnsi="Arial"/>
          <w:color w:val="5A625F"/>
          <w:sz w:val="17"/>
          <w:szCs w:val="17"/>
        </w:rPr>
        <w:t xml:space="preserve">24 August 2026  ·  Ref: TMT-RR/2026/001</w:t>
      </w:r>
    </w:p>
    <w:p>
      <w:pPr>
        <w:pBdr>
          <w:bottom w:val="single" w:color="175247" w:sz="6"/>
        </w:pBdr>
        <w:spacing w:after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Instrument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Direction on Allocation and operationalization of 1601 numbering series for Service and Transactional Voice Calls by entities in sectors other than BFSI and Government sector, under TCCCPR, 2018</w:t>
            </w:r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Issuing authority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Telecom Regulatory Authority of India (TRAI)</w:t>
            </w:r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Date of issue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10 August 2026</w:t>
            </w:r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Addressed to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All Access Providers</w:t>
            </w:r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Legal basis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Telecom Commercial Communications Customer Preference Regulations, 2018 (TCCCPR)</w:t>
            </w:r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Official copy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gaic5yfmvwsyoillqilw">
              <w:r>
                <w:rPr>
                  <w:rFonts w:ascii="Georgia" w:cs="Georgia" w:eastAsia="Georgia" w:hAnsi="Georgia"/>
                  <w:color w:val="175247"/>
                  <w:sz w:val="20"/>
                  <w:szCs w:val="20"/>
                  <w:u w:val="single"/>
                </w:rPr>
                <w:t xml:space="preserve">Direction_10082026.pdf (trai.gov.in)</w:t>
              </w:r>
            </w:hyperlink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Announcement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hd5ztswdcliwnw-2wyxt">
              <w:r>
                <w:rPr>
                  <w:rFonts w:ascii="Georgia" w:cs="Georgia" w:eastAsia="Georgia" w:hAnsi="Georgia"/>
                  <w:color w:val="175247"/>
                  <w:sz w:val="20"/>
                  <w:szCs w:val="20"/>
                  <w:u w:val="single"/>
                </w:rPr>
                <w:t xml:space="preserve">Press Release No. 113 of 2026</w:t>
              </w:r>
            </w:hyperlink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WHAT THE INSTRUMENT DOES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Access Providers must assign 1601-series numbering resources exclusively to eligible entities in Phase-I sectors — utilities and logistics/courier services — as specified in Annexure-I to the Direction.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Entities receiving 1601 numbers shall use them exclusively for service and transactional voice calls permissible under the TCCCPR, 2018, and never for promotional calls.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Access Providers must verify entity eligibility, obtain undertakings on exclusive use, and assign numbers in ten-digit format only.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Access Providers shall publicise availability of the 1601 series and facilitate timely migration of qualified organisations.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WHO IS AFFECTED</w:t>
      </w:r>
    </w:p>
    <w:p>
      <w:pPr>
        <w:spacing w:after="100"/>
      </w:pPr>
      <w:r>
        <w:rPr>
          <w:rFonts w:ascii="Georgia" w:cs="Georgia" w:eastAsia="Georgia" w:hAnsi="Georgia"/>
          <w:i w:val="false"/>
          <w:iCs w:val="false"/>
          <w:color w:val="171A19"/>
          <w:sz w:val="21"/>
          <w:szCs w:val="21"/>
        </w:rPr>
        <w:t xml:space="preserve">Directly: all Access Providers, who carry the allocation, verification and reporting obligations. Commercially: enterprise clients in the utilities, courier and logistics sectors that make outbound service or transactional voice calls — their calling operations must migrate onto assigned 1601-series numbers within the Phase-I window. BFSI and Government entities remain on the previously designated 1600 series (see TRAI's clarification of 10 July 2026, PR No. 91 of 2026). [ASSOCIATE REVIEW: confirm client sector eligibility against Annexure-I.]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KEY OBLIGATIONS AND DEADLINES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pacing w:val="1"/>
                <w:sz w:val="16"/>
                <w:szCs w:val="16"/>
              </w:rPr>
              <w:t xml:space="preserve">OBLIGATION</w:t>
            </w:r>
          </w:p>
        </w:tc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pacing w:val="1"/>
                <w:sz w:val="16"/>
                <w:szCs w:val="16"/>
              </w:rPr>
              <w:t xml:space="preserve">DEADLINE</w:t>
            </w:r>
          </w:p>
        </w:tc>
      </w:tr>
      <w:tr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Onboarding and migration of Phase-I entities (from date of issue)</w:t>
            </w:r>
          </w:p>
        </w:tc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71A19"/>
                <w:sz w:val="20"/>
                <w:szCs w:val="20"/>
              </w:rPr>
              <w:t xml:space="preserve">90 days — by ~8 Nov 2026</w:t>
            </w:r>
          </w:p>
        </w:tc>
      </w:tr>
      <w:tr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Status reports to TRAI during implementation</w:t>
            </w:r>
          </w:p>
        </w:tc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71A19"/>
                <w:sz w:val="20"/>
                <w:szCs w:val="20"/>
              </w:rPr>
              <w:t xml:space="preserve">Every 10 days</w:t>
            </w:r>
          </w:p>
        </w:tc>
      </w:tr>
      <w:tr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Final compliance report after the 90-day period</w:t>
            </w:r>
          </w:p>
        </w:tc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71A19"/>
                <w:sz w:val="20"/>
                <w:szCs w:val="20"/>
              </w:rPr>
              <w:t xml:space="preserve">Within 15 days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ACTION REQUIRED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Clients in utilities / courier / logistics: inventory all outbound service and transactional calling (in-house and via BPO/CPaaS vendors) and initiate 1601 allocation requests with Access Providers now — the 90-day window is running.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Ensure the undertaking on exclusive use is accurate before signing; promotional traffic on a 1601 number is a TCCCPR violation.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Update dialler, CLI and DLT header configurations to the assigned ten-digit 1601 numbers; retire non-compliant CLIs within the window.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HOW WE CAN ASSIST</w:t>
      </w:r>
    </w:p>
    <w:p>
      <w:pPr>
        <w:spacing w:after="100"/>
      </w:pPr>
      <w:r>
        <w:rPr>
          <w:rFonts w:ascii="Georgia" w:cs="Georgia" w:eastAsia="Georgia" w:hAnsi="Georgia"/>
          <w:i w:val="false"/>
          <w:iCs w:val="false"/>
          <w:color w:val="171A19"/>
          <w:sz w:val="21"/>
          <w:szCs w:val="21"/>
        </w:rPr>
        <w:t xml:space="preserve">Eligibility assessment against Annexure-I, review of Access Provider undertakings, and TCCCPR compliance mapping for enterprise calling operations. [ASSOCIATE REVIEW]</w:t>
      </w:r>
    </w:p>
    <w:p>
      <w:pPr>
        <w:pBdr>
          <w:top w:val="single" w:color="D8DDDB" w:sz="4"/>
        </w:pBdr>
        <w:spacing w:after="60" w:before="360"/>
      </w:pPr>
    </w:p>
    <w:p>
      <w:pPr>
        <w:spacing w:after="100"/>
      </w:pPr>
      <w:r>
        <w:rPr>
          <w:rFonts w:ascii="Georgia" w:cs="Georgia" w:eastAsia="Georgia" w:hAnsi="Georgia"/>
          <w:i/>
          <w:iCs/>
          <w:color w:val="5A625F"/>
          <w:sz w:val="19"/>
          <w:szCs w:val="19"/>
        </w:rPr>
        <w:t xml:space="preserve">This alert is a general summary of the instrument cited above and is not legal advice. The gazette/official text prevails. Please reach out to your usual contact on the TMT team for advice on specific facts.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A625F"/>
          <w:sz w:val="19"/>
          <w:szCs w:val="19"/>
        </w:rPr>
        <w:t xml:space="preserve">Prepared from the official instrument by the TMT Regulatory Radar pipeline (deterministic template fill — no generative drafting). Reviewed by: _______________  Date: _____________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  <w:rPr>
        <w:rFonts w:ascii="Georgia" w:cs="Georgia" w:eastAsia="Georgia" w:hAnsi="Georgi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gaic5yfmvwsyoillqilw" Type="http://schemas.openxmlformats.org/officeDocument/2006/relationships/hyperlink" Target="https://trai.gov.in/sites/default/files/2026-08/Direction_10082026.pdf" TargetMode="External"/><Relationship Id="rIdqhd5ztswdcliwnw-2wyxt" Type="http://schemas.openxmlformats.org/officeDocument/2006/relationships/hyperlink" Target="https://trai.gov.in/sites/default/files/2026-08/PR_No113of2026_1.pdf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2026-08-24T07:10:54.889Z</dcterms:created>
  <dcterms:modified xsi:type="dcterms:W3CDTF">2026-08-24T07:10:54.889Z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