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Oswald" w:cs="Oswald" w:eastAsia="Oswald" w:hAnsi="Oswald"/>
          <w:b w:val="1"/>
          <w:color w:val="351c75"/>
          <w:sz w:val="58"/>
          <w:szCs w:val="58"/>
        </w:rPr>
      </w:pPr>
      <w:r w:rsidDel="00000000" w:rsidR="00000000" w:rsidRPr="00000000">
        <w:rPr>
          <w:rFonts w:ascii="Oswald" w:cs="Oswald" w:eastAsia="Oswald" w:hAnsi="Oswald"/>
          <w:b w:val="1"/>
          <w:color w:val="351c75"/>
          <w:sz w:val="58"/>
          <w:szCs w:val="58"/>
          <w:rtl w:val="0"/>
        </w:rPr>
        <w:t xml:space="preserve">Report of Feature Engineering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jc w:val="center"/>
        <w:rPr>
          <w:rFonts w:ascii="Oswald" w:cs="Oswald" w:eastAsia="Oswald" w:hAnsi="Oswald"/>
          <w:b w:val="1"/>
          <w:color w:val="351c75"/>
          <w:sz w:val="24"/>
          <w:szCs w:val="24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color w:val="351c75"/>
          <w:sz w:val="24"/>
          <w:szCs w:val="24"/>
          <w:rtl w:val="0"/>
        </w:rPr>
        <w:t xml:space="preserve">Abhinash Bhagat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Oswald" w:cs="Oswald" w:eastAsia="Oswald" w:hAnsi="Oswald"/>
          <w:b w:val="1"/>
          <w:color w:val="351c75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0" w:line="240" w:lineRule="auto"/>
        <w:rPr>
          <w:color w:val="000000"/>
        </w:rPr>
      </w:pPr>
      <w:bookmarkStart w:colFirst="0" w:colLast="0" w:name="_vvfsmuguq9f1" w:id="0"/>
      <w:bookmarkEnd w:id="0"/>
      <w:r w:rsidDel="00000000" w:rsidR="00000000" w:rsidRPr="00000000">
        <w:rPr>
          <w:color w:val="000000"/>
          <w:rtl w:val="0"/>
        </w:rPr>
        <w:t xml:space="preserve">Dropping the columns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Dropped the geographical columns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Market Name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Local Government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Dropped the unitary columns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USD Price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Currency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Priceflag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Unit (The data here represents different physical quantities like volume, weight, unit etc. So, it’s not an ideal approach to take it as a single unit.)</w:t>
      </w:r>
    </w:p>
    <w:p w:rsidR="00000000" w:rsidDel="00000000" w:rsidP="00000000" w:rsidRDefault="00000000" w:rsidRPr="00000000" w14:paraId="0000000E">
      <w:pPr>
        <w:pStyle w:val="Heading1"/>
        <w:spacing w:before="0" w:line="240" w:lineRule="auto"/>
        <w:rPr>
          <w:color w:val="000000"/>
        </w:rPr>
      </w:pPr>
      <w:bookmarkStart w:colFirst="0" w:colLast="0" w:name="_mt6yxueidy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0" w:line="240" w:lineRule="auto"/>
        <w:rPr>
          <w:color w:val="000000"/>
        </w:rPr>
      </w:pPr>
      <w:bookmarkStart w:colFirst="0" w:colLast="0" w:name="_3nqtgb6eiggj" w:id="2"/>
      <w:bookmarkEnd w:id="2"/>
      <w:r w:rsidDel="00000000" w:rsidR="00000000" w:rsidRPr="00000000">
        <w:rPr>
          <w:color w:val="000000"/>
          <w:rtl w:val="0"/>
        </w:rPr>
        <w:t xml:space="preserve">Converted the categorical data into numeric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Instead of using </w:t>
      </w:r>
      <w:r w:rsidDel="00000000" w:rsidR="00000000" w:rsidRPr="00000000">
        <w:rPr>
          <w:b w:val="1"/>
          <w:color w:val="000000"/>
          <w:rtl w:val="0"/>
        </w:rPr>
        <w:t xml:space="preserve">ENCODING TECHNIQUES,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b w:val="1"/>
          <w:color w:val="000000"/>
          <w:rtl w:val="0"/>
        </w:rPr>
        <w:t xml:space="preserve">MAPPING TECHNIQUE </w:t>
      </w:r>
      <w:r w:rsidDel="00000000" w:rsidR="00000000" w:rsidRPr="00000000">
        <w:rPr>
          <w:color w:val="000000"/>
          <w:rtl w:val="0"/>
        </w:rPr>
        <w:t xml:space="preserve">is used.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columns listed below are converted into numerical feature: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Season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Commodity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Category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Price Type</w:t>
      </w:r>
    </w:p>
    <w:p w:rsidR="00000000" w:rsidDel="00000000" w:rsidP="00000000" w:rsidRDefault="00000000" w:rsidRPr="00000000" w14:paraId="00000017">
      <w:pPr>
        <w:pStyle w:val="Heading1"/>
        <w:rPr>
          <w:color w:val="000000"/>
        </w:rPr>
      </w:pPr>
      <w:bookmarkStart w:colFirst="0" w:colLast="0" w:name="_5t5zoqy9dg3h" w:id="3"/>
      <w:bookmarkEnd w:id="3"/>
      <w:r w:rsidDel="00000000" w:rsidR="00000000" w:rsidRPr="00000000">
        <w:rPr>
          <w:color w:val="000000"/>
          <w:rtl w:val="0"/>
        </w:rPr>
        <w:t xml:space="preserve">Cyclic Encoding to use </w:t>
      </w:r>
      <w:r w:rsidDel="00000000" w:rsidR="00000000" w:rsidRPr="00000000">
        <w:rPr>
          <w:b w:val="1"/>
          <w:color w:val="000000"/>
          <w:rtl w:val="0"/>
        </w:rPr>
        <w:t xml:space="preserve">Date </w:t>
      </w:r>
      <w:r w:rsidDel="00000000" w:rsidR="00000000" w:rsidRPr="00000000">
        <w:rPr>
          <w:color w:val="000000"/>
          <w:rtl w:val="0"/>
        </w:rPr>
        <w:t xml:space="preserve">column as the feature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Used the general formula to use month as the feature as it might show seasonality of  the dataset.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100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108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115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22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