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color w:val="2563EB"/>
          <w:sz w:val="17"/>
        </w:rPr>
        <w:t>ENTERPRISE ARCHITECTURE &amp; FUNCTIONAL OVERVIEW</w:t>
      </w:r>
    </w:p>
    <w:p>
      <w:pPr>
        <w:spacing w:after="80"/>
      </w:pPr>
      <w:r>
        <w:rPr>
          <w:rFonts w:ascii="Segoe UI" w:hAnsi="Segoe UI"/>
          <w:b/>
          <w:color w:val="0F172A"/>
          <w:sz w:val="44"/>
        </w:rPr>
        <w:t>RLNS — Rental Lease Invoice Notification System</w:t>
      </w:r>
    </w:p>
    <w:p>
      <w:pPr>
        <w:spacing w:after="320"/>
      </w:pPr>
      <w:r>
        <w:rPr>
          <w:rFonts w:ascii="Segoe UI" w:hAnsi="Segoe UI"/>
          <w:color w:val="475569"/>
          <w:sz w:val="22"/>
        </w:rPr>
        <w:t>Automated PDF Invoicing, Tenant Reconciliation, Oracle Integration &amp; CI/CD Pipeline</w:t>
      </w:r>
    </w:p>
    <w:p>
      <w:pPr>
        <w:spacing w:after="280"/>
        <w:pBdr>
          <w:bottom w:val="single" w:sz="8" w:space="1" w:color="E2E8F0"/>
        </w:pBdr>
      </w:pPr>
    </w:p>
    <w:p>
      <w:pPr>
        <w:spacing w:after="120"/>
      </w:pPr>
      <w:r>
        <w:rPr>
          <w:rFonts w:ascii="Segoe UI" w:hAnsi="Segoe UI"/>
          <w:b/>
          <w:color w:val="2563EB"/>
          <w:sz w:val="26"/>
        </w:rPr>
        <w:t>1. Executive Summary (Short &amp; Crisp Version)</w:t>
      </w:r>
    </w:p>
    <w:tbl>
      <w:tblPr>
        <w:tblW w:type="auto" w:w="0"/>
        <w:jc w:val="center"/>
        <w:tblLayout w:type="fixed"/>
        <w:tblLook w:firstColumn="1" w:firstRow="1" w:lastColumn="0" w:lastRow="0" w:noHBand="0" w:noVBand="1" w:val="04A0"/>
      </w:tblPr>
      <w:tblGrid>
        <w:gridCol w:w="9792"/>
      </w:tblGrid>
      <w:tr>
        <w:tc>
          <w:tcPr>
            <w:tcW w:type="dxa" w:w="9792"/>
            <w:shd w:fill="F0F7FF"/>
            <w:tcBorders>
              <w:top w:val="none"/>
              <w:left w:val="single" w:sz="28" w:space="0" w:color="2563EB"/>
              <w:bottom w:val="none"/>
              <w:right w:val="none"/>
            </w:tcBorders>
            <w:tcMar>
              <w:top w:w="140" w:type="dxa"/>
              <w:bottom w:w="140" w:type="dxa"/>
              <w:left w:w="200" w:type="dxa"/>
              <w:right w:w="160" w:type="dxa"/>
            </w:tcMar>
          </w:tcPr>
          <w:p>
            <w:pPr>
              <w:spacing w:line="288" w:lineRule="auto" w:after="0"/>
            </w:pPr>
            <w:r>
              <w:rPr>
                <w:rFonts w:ascii="Segoe UI" w:hAnsi="Segoe UI"/>
                <w:b/>
                <w:color w:val="0F172A"/>
                <w:sz w:val="20"/>
              </w:rPr>
              <w:t>RLNS</w:t>
            </w:r>
            <w:r>
              <w:rPr>
                <w:rFonts w:ascii="Segoe UI" w:hAnsi="Segoe UI"/>
                <w:color w:val="1E293B"/>
                <w:sz w:val="20"/>
              </w:rPr>
              <w:t xml:space="preserve"> is an automated enterprise lease billing and tenant notification web application that splits consolidated monthly bill PDFs, intelligently pairs each receipt with tenants using regex pattern matching, and dispatches them via an SMTP email engine with real-time Server-Sent Events (SSE) progress tracking. Built with </w:t>
            </w:r>
            <w:r>
              <w:rPr>
                <w:rFonts w:ascii="Segoe UI" w:hAnsi="Segoe UI"/>
                <w:b/>
                <w:color w:val="0F172A"/>
                <w:sz w:val="20"/>
              </w:rPr>
              <w:t>Node.js, Express, SQLite (WAL mode), and Vanilla JavaScript/CSS</w:t>
            </w:r>
            <w:r>
              <w:rPr>
                <w:rFonts w:ascii="Segoe UI" w:hAnsi="Segoe UI"/>
                <w:color w:val="1E293B"/>
                <w:sz w:val="20"/>
              </w:rPr>
              <w:t xml:space="preserve">, it features a comprehensive tenant management dashboard with Excel import/export, role-based session security, and a real-time two-way synchronization bridge to an enterprise </w:t>
            </w:r>
            <w:r>
              <w:rPr>
                <w:rFonts w:ascii="Segoe UI" w:hAnsi="Segoe UI"/>
                <w:b/>
                <w:color w:val="0F172A"/>
                <w:sz w:val="20"/>
              </w:rPr>
              <w:t>Oracle Database via SQL*Plus</w:t>
            </w:r>
            <w:r>
              <w:rPr>
                <w:rFonts w:ascii="Segoe UI" w:hAnsi="Segoe UI"/>
                <w:color w:val="1E293B"/>
                <w:sz w:val="20"/>
              </w:rPr>
              <w:t xml:space="preserve">. The application is containerized with </w:t>
            </w:r>
            <w:r>
              <w:rPr>
                <w:rFonts w:ascii="Segoe UI" w:hAnsi="Segoe UI"/>
                <w:b/>
                <w:color w:val="0F172A"/>
                <w:sz w:val="20"/>
              </w:rPr>
              <w:t>Docker &amp; Docker Compose</w:t>
            </w:r>
            <w:r>
              <w:rPr>
                <w:rFonts w:ascii="Segoe UI" w:hAnsi="Segoe UI"/>
                <w:color w:val="1E293B"/>
                <w:sz w:val="20"/>
              </w:rPr>
              <w:t xml:space="preserve"> for local intranet distribution on port 5178 and fully automated via a </w:t>
            </w:r>
            <w:r>
              <w:rPr>
                <w:rFonts w:ascii="Segoe UI" w:hAnsi="Segoe UI"/>
                <w:b/>
                <w:color w:val="0F172A"/>
                <w:sz w:val="20"/>
              </w:rPr>
              <w:t>Jenkins CI/CD Pipeline using GitHub SCM Polling</w:t>
            </w:r>
            <w:r>
              <w:rPr>
                <w:rFonts w:ascii="Segoe UI" w:hAnsi="Segoe UI"/>
                <w:color w:val="1E293B"/>
                <w:sz w:val="20"/>
              </w:rPr>
              <w:t xml:space="preserve"> for zero-downtime, continuous deployments.</w:t>
            </w:r>
          </w:p>
        </w:tc>
      </w:tr>
    </w:tbl>
    <w:p>
      <w:pPr>
        <w:spacing w:after="200"/>
      </w:pPr>
    </w:p>
    <w:p>
      <w:pPr>
        <w:spacing w:after="120"/>
      </w:pPr>
      <w:r>
        <w:rPr>
          <w:rFonts w:ascii="Segoe UI" w:hAnsi="Segoe UI"/>
          <w:b/>
          <w:color w:val="2563EB"/>
          <w:sz w:val="26"/>
        </w:rPr>
        <w:t>2. Comprehensive Architecture &amp; Functional Overview (Detailed Version)</w:t>
      </w:r>
    </w:p>
    <w:p>
      <w:pPr>
        <w:spacing w:line="288" w:lineRule="auto" w:after="200"/>
      </w:pPr>
      <w:r>
        <w:rPr>
          <w:rFonts w:ascii="Segoe UI" w:hAnsi="Segoe UI"/>
          <w:color w:val="1E293B"/>
          <w:sz w:val="19"/>
        </w:rPr>
        <w:t>RLNS (Rental Lease Invoice Notification System / Kiraidaar) is an enterprise-grade lease billing automation and tenant communication platform designed to streamline monthly estate bill processing, tenant reconciliation, and automated email dispatching. The core workflow begins by taking large, consolidated monthly lease bill PDFs, splitting them page-by-page using automated PDF extraction engines (split_pdf_by_page.js), and executing an intelligent regex-based matching algorithm (backend/matchingEngine.js) that scans filenames, customer codes, and bill metadata to automatically pair each receipt with its corresponding tenant with 100% confidence. The system provides a centralized web dashboard featuring real-time billing metrics, full tenant roster lifecycle management (CRUD operations with duplicate-code safeguards), Excel/CSV bulk import/export capabilities (xlsx), in-browser PDF previewing, and a manual rematching tool for ambiguous bills. For corporate integration, RLNS implements an asynchronous two-way bridge (backend/oracleSync.js, host_bridge.js) that interfaces directly with an enterprise Oracle Database (PAYTEMP.LEASED_CUSTOMERS_DTLS and LEASED_SETTINGS_DTLS) via native SQL*Plus, syncing tenant directories, template configurations, and deletion cascades in real time without blocking the UI. Bills are distributed via an email engine (backend/emailService.js) powered by Nodemailer, supporting SMTP/TLS, dynamic variable templating, a safe simulation/dry-run mode, and live progress streaming to the browser via Server-Sent Events (SSE). The entire solution is hardened with token-based session security, 24-hour TTL expiration, and containerized using Docker and Docker Compose bound to 0.0.0.0:5178 for company-wide intranet access, with persistent host storage for its SQLite database (kiraidaar.db) and PDF volumes. The lifecycle is automated using a declarative Jenkins CI/CD Pipeline (Jenkinsfile) integrated with GitHub SCM Polling (H/2 * * * *), enabling automated syntax validation, image rebuilds, zero-downtime container recreation, and automatic health-endpoint verification on every commit.</w:t>
      </w:r>
    </w:p>
    <w:p>
      <w:pPr>
        <w:spacing w:after="80"/>
      </w:pPr>
      <w:r>
        <w:rPr>
          <w:rFonts w:ascii="Segoe UI" w:hAnsi="Segoe UI"/>
          <w:b/>
          <w:color w:val="0F172A"/>
          <w:sz w:val="22"/>
        </w:rPr>
        <w:t>Key Functional Capabilities</w:t>
      </w:r>
    </w:p>
    <w:p>
      <w:pPr>
        <w:pStyle w:val="ListBullet"/>
        <w:spacing w:after="40"/>
      </w:pPr>
      <w:r>
        <w:rPr>
          <w:rFonts w:ascii="Segoe UI" w:hAnsi="Segoe UI"/>
          <w:b/>
          <w:color w:val="0F172A"/>
          <w:sz w:val="18"/>
        </w:rPr>
        <w:t xml:space="preserve">Automated PDF Splitting &amp; Ingestion: </w:t>
      </w:r>
      <w:r>
        <w:rPr>
          <w:rFonts w:ascii="Segoe UI" w:hAnsi="Segoe UI"/>
          <w:color w:val="475569"/>
          <w:sz w:val="18"/>
        </w:rPr>
        <w:t>Breaks down bulk monthly invoice files into isolated single-page PDFs per tenant with zero quality degradation.</w:t>
      </w:r>
    </w:p>
    <w:p>
      <w:pPr>
        <w:pStyle w:val="ListBullet"/>
        <w:spacing w:after="40"/>
      </w:pPr>
      <w:r>
        <w:rPr>
          <w:rFonts w:ascii="Segoe UI" w:hAnsi="Segoe UI"/>
          <w:b/>
          <w:color w:val="0F172A"/>
          <w:sz w:val="18"/>
        </w:rPr>
        <w:t xml:space="preserve">Intelligent Regex Matching Engine: </w:t>
      </w:r>
      <w:r>
        <w:rPr>
          <w:rFonts w:ascii="Segoe UI" w:hAnsi="Segoe UI"/>
          <w:color w:val="475569"/>
          <w:sz w:val="18"/>
        </w:rPr>
        <w:t>Extracts party codes and tenant names from filenames and headers, achieving 100% automated pairing with manual fallback.</w:t>
      </w:r>
    </w:p>
    <w:p>
      <w:pPr>
        <w:pStyle w:val="ListBullet"/>
        <w:spacing w:after="40"/>
      </w:pPr>
      <w:r>
        <w:rPr>
          <w:rFonts w:ascii="Segoe UI" w:hAnsi="Segoe UI"/>
          <w:b/>
          <w:color w:val="0F172A"/>
          <w:sz w:val="18"/>
        </w:rPr>
        <w:t xml:space="preserve">Roster Management &amp; Excel Integration: </w:t>
      </w:r>
      <w:r>
        <w:rPr>
          <w:rFonts w:ascii="Segoe UI" w:hAnsi="Segoe UI"/>
          <w:color w:val="475569"/>
          <w:sz w:val="18"/>
        </w:rPr>
        <w:t>Add, edit, delete tenants with conflict validation; export master rosters and download pre-formatted template spreadsheets.</w:t>
      </w:r>
    </w:p>
    <w:p>
      <w:pPr>
        <w:pStyle w:val="ListBullet"/>
        <w:spacing w:after="40"/>
      </w:pPr>
      <w:r>
        <w:rPr>
          <w:rFonts w:ascii="Segoe UI" w:hAnsi="Segoe UI"/>
          <w:b/>
          <w:color w:val="0F172A"/>
          <w:sz w:val="18"/>
        </w:rPr>
        <w:t xml:space="preserve">Enterprise Oracle Two-Way Sync: </w:t>
      </w:r>
      <w:r>
        <w:rPr>
          <w:rFonts w:ascii="Segoe UI" w:hAnsi="Segoe UI"/>
          <w:color w:val="475569"/>
          <w:sz w:val="18"/>
        </w:rPr>
        <w:t>Real-time non-blocking push, pull, and deletion cascades between local database and Oracle PAYTEMP tables via native SQL*Plus.</w:t>
      </w:r>
    </w:p>
    <w:p>
      <w:pPr>
        <w:pStyle w:val="ListBullet"/>
        <w:spacing w:after="40"/>
      </w:pPr>
      <w:r>
        <w:rPr>
          <w:rFonts w:ascii="Segoe UI" w:hAnsi="Segoe UI"/>
          <w:b/>
          <w:color w:val="0F172A"/>
          <w:sz w:val="18"/>
        </w:rPr>
        <w:t xml:space="preserve">SMTP Dispatcher &amp; SSE Live Streaming: </w:t>
      </w:r>
      <w:r>
        <w:rPr>
          <w:rFonts w:ascii="Segoe UI" w:hAnsi="Segoe UI"/>
          <w:color w:val="475569"/>
          <w:sz w:val="18"/>
        </w:rPr>
        <w:t>Batch email distribution with template variable injection, attachments, dry-run simulation, and live progress bar updates.</w:t>
      </w:r>
    </w:p>
    <w:p>
      <w:pPr>
        <w:pStyle w:val="ListBullet"/>
        <w:spacing w:after="40"/>
      </w:pPr>
      <w:r>
        <w:rPr>
          <w:rFonts w:ascii="Segoe UI" w:hAnsi="Segoe UI"/>
          <w:b/>
          <w:color w:val="0F172A"/>
          <w:sz w:val="18"/>
        </w:rPr>
        <w:t xml:space="preserve">Role-Based Auth &amp; Session TTL: </w:t>
      </w:r>
      <w:r>
        <w:rPr>
          <w:rFonts w:ascii="Segoe UI" w:hAnsi="Segoe UI"/>
          <w:color w:val="475569"/>
          <w:sz w:val="18"/>
        </w:rPr>
        <w:t>Token-based credentials with automatic 24-hour expiration sweeps, password hashing, and endpoint-level authorization.</w:t>
      </w:r>
    </w:p>
    <w:p>
      <w:pPr>
        <w:pStyle w:val="ListBullet"/>
        <w:spacing w:after="40"/>
      </w:pPr>
      <w:r>
        <w:rPr>
          <w:rFonts w:ascii="Segoe UI" w:hAnsi="Segoe UI"/>
          <w:b/>
          <w:color w:val="0F172A"/>
          <w:sz w:val="18"/>
        </w:rPr>
        <w:t xml:space="preserve">Docker Intranet Containerization: </w:t>
      </w:r>
      <w:r>
        <w:rPr>
          <w:rFonts w:ascii="Segoe UI" w:hAnsi="Segoe UI"/>
          <w:color w:val="475569"/>
          <w:sz w:val="18"/>
        </w:rPr>
        <w:t>Bound to 0.0.0.0:5178 for cross-department LAN access, with host volume mounts protecting database and upload archives.</w:t>
      </w:r>
    </w:p>
    <w:p>
      <w:pPr>
        <w:pStyle w:val="ListBullet"/>
        <w:spacing w:after="40"/>
      </w:pPr>
      <w:r>
        <w:rPr>
          <w:rFonts w:ascii="Segoe UI" w:hAnsi="Segoe UI"/>
          <w:b/>
          <w:color w:val="0F172A"/>
          <w:sz w:val="18"/>
        </w:rPr>
        <w:t xml:space="preserve">Zero-Downtime Jenkins CI/CD: </w:t>
      </w:r>
      <w:r>
        <w:rPr>
          <w:rFonts w:ascii="Segoe UI" w:hAnsi="Segoe UI"/>
          <w:color w:val="475569"/>
          <w:sz w:val="18"/>
        </w:rPr>
        <w:t>Automated GitHub SCM Polling (every 2 mins), automated syntax checks, layer-cached rebuilds, and health verification.</w:t>
      </w:r>
    </w:p>
    <w:p>
      <w:pPr>
        <w:spacing w:after="160"/>
      </w:pPr>
    </w:p>
    <w:p>
      <w:pPr>
        <w:spacing w:after="120"/>
      </w:pPr>
      <w:r>
        <w:rPr>
          <w:rFonts w:ascii="Segoe UI" w:hAnsi="Segoe UI"/>
          <w:b/>
          <w:color w:val="2563EB"/>
          <w:sz w:val="26"/>
        </w:rPr>
        <w:t>3. Complete Technology Stack Matrix</w:t>
      </w:r>
    </w:p>
    <w:tbl>
      <w:tblPr>
        <w:tblW w:type="auto" w:w="0"/>
        <w:jc w:val="center"/>
        <w:tblLayout w:type="fixed"/>
        <w:tblLook w:firstColumn="1" w:firstRow="1" w:lastColumn="0" w:lastRow="0" w:noHBand="0" w:noVBand="1" w:val="04A0"/>
      </w:tblPr>
      <w:tblGrid>
        <w:gridCol w:w="3264"/>
        <w:gridCol w:w="3264"/>
        <w:gridCol w:w="3264"/>
      </w:tblGrid>
      <w:tr>
        <w:tc>
          <w:tcPr>
            <w:tcW w:type="dxa" w:w="2304"/>
            <w:tcMar>
              <w:top w:w="100" w:type="dxa"/>
              <w:bottom w:w="100" w:type="dxa"/>
              <w:left w:w="140" w:type="dxa"/>
              <w:right w:w="140" w:type="dxa"/>
            </w:tcMar>
            <w:shd w:fill="0F172A"/>
            <w:tcBorders>
              <w:top w:val="single" w:sz="4" w:space="0" w:color="E2E8F0"/>
              <w:left w:val="none"/>
              <w:bottom w:val="single" w:sz="4" w:space="0" w:color="E2E8F0"/>
              <w:right w:val="none"/>
            </w:tcBorders>
          </w:tcPr>
          <w:p>
            <w:pPr>
              <w:spacing w:after="0"/>
            </w:pPr>
            <w:r>
              <w:rPr>
                <w:rFonts w:ascii="Segoe UI" w:hAnsi="Segoe UI"/>
                <w:b/>
                <w:color w:val="FFFFFF"/>
                <w:sz w:val="18"/>
              </w:rPr>
              <w:t>Layer / Domain</w:t>
            </w:r>
          </w:p>
        </w:tc>
        <w:tc>
          <w:tcPr>
            <w:tcW w:type="dxa" w:w="3168"/>
            <w:tcMar>
              <w:top w:w="100" w:type="dxa"/>
              <w:bottom w:w="100" w:type="dxa"/>
              <w:left w:w="140" w:type="dxa"/>
              <w:right w:w="140" w:type="dxa"/>
            </w:tcMar>
            <w:shd w:fill="0F172A"/>
            <w:tcBorders>
              <w:top w:val="single" w:sz="4" w:space="0" w:color="E2E8F0"/>
              <w:left w:val="none"/>
              <w:bottom w:val="single" w:sz="4" w:space="0" w:color="E2E8F0"/>
              <w:right w:val="none"/>
            </w:tcBorders>
          </w:tcPr>
          <w:p>
            <w:pPr>
              <w:spacing w:after="0"/>
            </w:pPr>
            <w:r>
              <w:rPr>
                <w:rFonts w:ascii="Segoe UI" w:hAnsi="Segoe UI"/>
                <w:b/>
                <w:color w:val="FFFFFF"/>
                <w:sz w:val="18"/>
              </w:rPr>
              <w:t>Technologies Used</w:t>
            </w:r>
          </w:p>
        </w:tc>
        <w:tc>
          <w:tcPr>
            <w:tcW w:type="dxa" w:w="4320"/>
            <w:tcMar>
              <w:top w:w="100" w:type="dxa"/>
              <w:bottom w:w="100" w:type="dxa"/>
              <w:left w:w="140" w:type="dxa"/>
              <w:right w:w="140" w:type="dxa"/>
            </w:tcMar>
            <w:shd w:fill="0F172A"/>
            <w:tcBorders>
              <w:top w:val="single" w:sz="4" w:space="0" w:color="E2E8F0"/>
              <w:left w:val="none"/>
              <w:bottom w:val="single" w:sz="4" w:space="0" w:color="E2E8F0"/>
              <w:right w:val="none"/>
            </w:tcBorders>
          </w:tcPr>
          <w:p>
            <w:pPr>
              <w:spacing w:after="0"/>
            </w:pPr>
            <w:r>
              <w:rPr>
                <w:rFonts w:ascii="Segoe UI" w:hAnsi="Segoe UI"/>
                <w:b/>
                <w:color w:val="FFFFFF"/>
                <w:sz w:val="18"/>
              </w:rPr>
              <w:t>Architectural Role &amp; Implementation</w:t>
            </w:r>
          </w:p>
        </w:tc>
      </w:tr>
      <w:tr>
        <w:tc>
          <w:tcPr>
            <w:tcW w:type="dxa" w:w="2304"/>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0F172A"/>
                <w:sz w:val="17"/>
              </w:rPr>
              <w:t>Frontend Client</w:t>
            </w:r>
          </w:p>
        </w:tc>
        <w:tc>
          <w:tcPr>
            <w:tcW w:type="dxa" w:w="316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2563EB"/>
                <w:sz w:val="17"/>
              </w:rPr>
              <w:t>HTML5, CSS3 Glassmorphism, Vanilla ES6+ JS</w:t>
            </w:r>
          </w:p>
        </w:tc>
        <w:tc>
          <w:tcPr>
            <w:tcW w:type="dxa" w:w="432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color w:val="475569"/>
                <w:sz w:val="17"/>
              </w:rPr>
              <w:t>Responsive interface, custom modal dialogs, real-time SSE stream listeners, in-browser PDF previewer.</w:t>
            </w:r>
          </w:p>
        </w:tc>
      </w:tr>
      <w:tr>
        <w:tc>
          <w:tcPr>
            <w:tcW w:type="dxa" w:w="2304"/>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0F172A"/>
                <w:sz w:val="17"/>
              </w:rPr>
              <w:t>Backend REST API</w:t>
            </w:r>
          </w:p>
        </w:tc>
        <w:tc>
          <w:tcPr>
            <w:tcW w:type="dxa" w:w="316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2563EB"/>
                <w:sz w:val="17"/>
              </w:rPr>
              <w:t>Node.js (v22), Express.js 5.x</w:t>
            </w:r>
          </w:p>
        </w:tc>
        <w:tc>
          <w:tcPr>
            <w:tcW w:type="dxa" w:w="432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color w:val="475569"/>
                <w:sz w:val="17"/>
              </w:rPr>
              <w:t>Modular routing, session token auth with 24h TTL, non-blocking asynchronous operations, child_process execution.</w:t>
            </w:r>
          </w:p>
        </w:tc>
      </w:tr>
      <w:tr>
        <w:tc>
          <w:tcPr>
            <w:tcW w:type="dxa" w:w="2304"/>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0F172A"/>
                <w:sz w:val="17"/>
              </w:rPr>
              <w:t>Local Persistence</w:t>
            </w:r>
          </w:p>
        </w:tc>
        <w:tc>
          <w:tcPr>
            <w:tcW w:type="dxa" w:w="316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2563EB"/>
                <w:sz w:val="17"/>
              </w:rPr>
              <w:t>SQLite3 with WAL Mode (kiraidaar.db)</w:t>
            </w:r>
          </w:p>
        </w:tc>
        <w:tc>
          <w:tcPr>
            <w:tcW w:type="dxa" w:w="432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color w:val="475569"/>
                <w:sz w:val="17"/>
              </w:rPr>
              <w:t>High-concurrency local database with PRAGMA busy_timeout=10000, persistent bind mount to host D:/RLNS/data.</w:t>
            </w:r>
          </w:p>
        </w:tc>
      </w:tr>
      <w:tr>
        <w:tc>
          <w:tcPr>
            <w:tcW w:type="dxa" w:w="2304"/>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0F172A"/>
                <w:sz w:val="17"/>
              </w:rPr>
              <w:t>Enterprise ERP</w:t>
            </w:r>
          </w:p>
        </w:tc>
        <w:tc>
          <w:tcPr>
            <w:tcW w:type="dxa" w:w="316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2563EB"/>
                <w:sz w:val="17"/>
              </w:rPr>
              <w:t>Oracle Database 10g/11g / SQL*Plus Bridge</w:t>
            </w:r>
          </w:p>
        </w:tc>
        <w:tc>
          <w:tcPr>
            <w:tcW w:type="dxa" w:w="432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color w:val="475569"/>
                <w:sz w:val="17"/>
              </w:rPr>
              <w:t>Two-way ETL synchronization for PAYTEMP.LEASED_CUSTOMERS_DTLS and LEASED_SETTINGS_DTLS via host_bridge.js.</w:t>
            </w:r>
          </w:p>
        </w:tc>
      </w:tr>
      <w:tr>
        <w:tc>
          <w:tcPr>
            <w:tcW w:type="dxa" w:w="2304"/>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0F172A"/>
                <w:sz w:val="17"/>
              </w:rPr>
              <w:t>Document Engine</w:t>
            </w:r>
          </w:p>
        </w:tc>
        <w:tc>
          <w:tcPr>
            <w:tcW w:type="dxa" w:w="316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2563EB"/>
                <w:sz w:val="17"/>
              </w:rPr>
              <w:t>pdf-lib, pdf-parse, xlsx (SheetJS), Multer</w:t>
            </w:r>
          </w:p>
        </w:tc>
        <w:tc>
          <w:tcPr>
            <w:tcW w:type="dxa" w:w="432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color w:val="475569"/>
                <w:sz w:val="17"/>
              </w:rPr>
              <w:t>Multi-page bill decomposition, PDF text parsing, Excel template generation, and multipart upload handling.</w:t>
            </w:r>
          </w:p>
        </w:tc>
      </w:tr>
      <w:tr>
        <w:tc>
          <w:tcPr>
            <w:tcW w:type="dxa" w:w="2304"/>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0F172A"/>
                <w:sz w:val="17"/>
              </w:rPr>
              <w:t>Email Dispatcher</w:t>
            </w:r>
          </w:p>
        </w:tc>
        <w:tc>
          <w:tcPr>
            <w:tcW w:type="dxa" w:w="316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2563EB"/>
                <w:sz w:val="17"/>
              </w:rPr>
              <w:t>Nodemailer (SMTP / TLS / Queue)</w:t>
            </w:r>
          </w:p>
        </w:tc>
        <w:tc>
          <w:tcPr>
            <w:tcW w:type="dxa" w:w="432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color w:val="475569"/>
                <w:sz w:val="17"/>
              </w:rPr>
              <w:t>Automated bill delivery, live Server-Sent Events progress reporting, simulation/dry-run mode, and audit logs.</w:t>
            </w:r>
          </w:p>
        </w:tc>
      </w:tr>
      <w:tr>
        <w:tc>
          <w:tcPr>
            <w:tcW w:type="dxa" w:w="2304"/>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0F172A"/>
                <w:sz w:val="17"/>
              </w:rPr>
              <w:t>Containerization</w:t>
            </w:r>
          </w:p>
        </w:tc>
        <w:tc>
          <w:tcPr>
            <w:tcW w:type="dxa" w:w="3168"/>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b/>
                <w:color w:val="2563EB"/>
                <w:sz w:val="17"/>
              </w:rPr>
              <w:t>Docker &amp; Docker Compose</w:t>
            </w:r>
          </w:p>
        </w:tc>
        <w:tc>
          <w:tcPr>
            <w:tcW w:type="dxa" w:w="4320"/>
            <w:tcMar>
              <w:top w:w="100" w:type="dxa"/>
              <w:bottom w:w="100" w:type="dxa"/>
              <w:left w:w="140" w:type="dxa"/>
              <w:right w:w="140" w:type="dxa"/>
            </w:tcMar>
            <w:shd w:fill="F8FAFC"/>
            <w:tcBorders>
              <w:top w:val="single" w:sz="4" w:space="0" w:color="E2E8F0"/>
              <w:left w:val="none"/>
              <w:bottom w:val="single" w:sz="4" w:space="0" w:color="E2E8F0"/>
              <w:right w:val="none"/>
            </w:tcBorders>
          </w:tcPr>
          <w:p>
            <w:pPr>
              <w:spacing w:after="0"/>
            </w:pPr>
            <w:r>
              <w:rPr>
                <w:rFonts w:ascii="Segoe UI" w:hAnsi="Segoe UI"/>
                <w:color w:val="475569"/>
                <w:sz w:val="17"/>
              </w:rPr>
              <w:t>Multi-stage Node 22 slim container, host-gateway networking, 0.0.0.0:5178 intranet binding, built-in healthchecks.</w:t>
            </w:r>
          </w:p>
        </w:tc>
      </w:tr>
      <w:tr>
        <w:tc>
          <w:tcPr>
            <w:tcW w:type="dxa" w:w="2304"/>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0F172A"/>
                <w:sz w:val="17"/>
              </w:rPr>
              <w:t>CI/CD Automation</w:t>
            </w:r>
          </w:p>
        </w:tc>
        <w:tc>
          <w:tcPr>
            <w:tcW w:type="dxa" w:w="3168"/>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b/>
                <w:color w:val="2563EB"/>
                <w:sz w:val="17"/>
              </w:rPr>
              <w:t>Jenkins Pipeline &amp; GitHub SCM Polling</w:t>
            </w:r>
          </w:p>
        </w:tc>
        <w:tc>
          <w:tcPr>
            <w:tcW w:type="dxa" w:w="4320"/>
            <w:tcMar>
              <w:top w:w="100" w:type="dxa"/>
              <w:bottom w:w="100" w:type="dxa"/>
              <w:left w:w="140" w:type="dxa"/>
              <w:right w:w="140" w:type="dxa"/>
            </w:tcMar>
            <w:shd w:fill="FFFFFF"/>
            <w:tcBorders>
              <w:top w:val="single" w:sz="4" w:space="0" w:color="E2E8F0"/>
              <w:left w:val="none"/>
              <w:bottom w:val="single" w:sz="4" w:space="0" w:color="E2E8F0"/>
              <w:right w:val="none"/>
            </w:tcBorders>
          </w:tcPr>
          <w:p>
            <w:pPr>
              <w:spacing w:after="0"/>
            </w:pPr>
            <w:r>
              <w:rPr>
                <w:rFonts w:ascii="Segoe UI" w:hAnsi="Segoe UI"/>
                <w:color w:val="475569"/>
                <w:sz w:val="17"/>
              </w:rPr>
              <w:t>Declarative Jenkinsfile, automated syntax verification, smart layer caching, and automated zero-downtime redeployment.</w:t>
            </w:r>
          </w:p>
        </w:tc>
      </w:tr>
    </w:tbl>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