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Unnamed: 0</w:t>
            </w:r>
          </w:p>
        </w:tc>
        <w:tc>
          <w:tcPr>
            <w:tcW w:type="dxa" w:w="1080"/>
          </w:tcPr>
          <w:p>
            <w:r>
              <w:t>Method</w:t>
            </w:r>
          </w:p>
        </w:tc>
        <w:tc>
          <w:tcPr>
            <w:tcW w:type="dxa" w:w="1080"/>
          </w:tcPr>
          <w:p>
            <w:r>
              <w:t>Epsilon</w:t>
            </w:r>
          </w:p>
        </w:tc>
        <w:tc>
          <w:tcPr>
            <w:tcW w:type="dxa" w:w="1080"/>
          </w:tcPr>
          <w:p>
            <w:r>
              <w:t>Alpha</w:t>
            </w:r>
          </w:p>
        </w:tc>
        <w:tc>
          <w:tcPr>
            <w:tcW w:type="dxa" w:w="1080"/>
          </w:tcPr>
          <w:p>
            <w:r>
              <w:t>Num-Iters</w:t>
            </w:r>
          </w:p>
        </w:tc>
        <w:tc>
          <w:tcPr>
            <w:tcW w:type="dxa" w:w="1080"/>
          </w:tcPr>
          <w:p>
            <w:r>
              <w:t>Model</w:t>
            </w:r>
          </w:p>
        </w:tc>
        <w:tc>
          <w:tcPr>
            <w:tcW w:type="dxa" w:w="1080"/>
          </w:tcPr>
          <w:p>
            <w:r>
              <w:t>Miss-classification Rate</w:t>
            </w:r>
          </w:p>
        </w:tc>
        <w:tc>
          <w:tcPr>
            <w:tcW w:type="dxa" w:w="1080"/>
          </w:tcPr>
          <w:p>
            <w:r>
              <w:t>Output_Screenshot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0.0144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1-0.05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0.0134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75-0.05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0.0123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26-0.05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0.0106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01-0.05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1-0.05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0.0346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75-0.05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0.0302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26-0.05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0.0279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01-0.05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