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9A9303">
      <w:pPr>
        <w:pStyle w:val="2"/>
        <w:rPr>
          <w:b/>
          <w:bCs/>
        </w:rPr>
      </w:pPr>
      <w:r>
        <w:rPr>
          <w:b/>
          <w:bCs/>
        </w:rPr>
        <w:t>Road Accident Dashboard Training Document (Excel-Based)</w:t>
      </w:r>
    </w:p>
    <w:p w14:paraId="5F0A2F16">
      <w:r>
        <w:drawing>
          <wp:inline distT="0" distB="0" distL="114300" distR="114300">
            <wp:extent cx="5721985" cy="3176270"/>
            <wp:effectExtent l="0" t="0" r="8255" b="8890"/>
            <wp:docPr id="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86725">
      <w:pPr>
        <w:ind w:left="-1418"/>
      </w:pPr>
    </w:p>
    <w:p w14:paraId="6D43F1DD">
      <w:pPr>
        <w:pStyle w:val="3"/>
      </w:pPr>
      <w:r>
        <w:t>Purpose of the Dashboard</w:t>
      </w:r>
    </w:p>
    <w:p w14:paraId="62A29B9A">
      <w:r>
        <w:t xml:space="preserve">This dashboard is created to </w:t>
      </w:r>
      <w:r>
        <w:rPr>
          <w:b/>
          <w:bCs/>
        </w:rPr>
        <w:t>analyze and visualize road accident data</w:t>
      </w:r>
      <w:r>
        <w:t xml:space="preserve"> across different factors such as accident severity, vehicle type, road type, lighting condition, and area type (urban/rural). It helps in identifying patterns and supporting data-driven decision-making for road safety initiatives.</w:t>
      </w:r>
    </w:p>
    <w:p w14:paraId="13384794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1EAA11">
      <w:pPr>
        <w:pStyle w:val="3"/>
      </w:pPr>
      <w:r>
        <w:t>Step-by-Step Structure to Build the Dashboard</w:t>
      </w:r>
    </w:p>
    <w:p w14:paraId="406F3BF2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1A1DE4">
      <w:pPr>
        <w:pStyle w:val="4"/>
        <w:rPr>
          <w:b/>
          <w:bCs/>
          <w:szCs w:val="28"/>
        </w:rPr>
      </w:pPr>
      <w:r>
        <w:rPr>
          <w:b/>
          <w:bCs/>
          <w:szCs w:val="28"/>
        </w:rPr>
        <w:t>PART 1: Primary KPIs Section</w:t>
      </w:r>
    </w:p>
    <w:p w14:paraId="01CED2CE">
      <w:pPr>
        <w:rPr>
          <w:b/>
          <w:bCs/>
        </w:rPr>
      </w:pPr>
      <w:r>
        <w:rPr>
          <w:b/>
          <w:bCs/>
        </w:rPr>
        <w:t>What we are making:</w:t>
      </w:r>
    </w:p>
    <w:p w14:paraId="7679E380">
      <w:r>
        <w:t>Visual blocks with key performance indicators (KPIs) to give a quick summary.</w:t>
      </w:r>
    </w:p>
    <w:p w14:paraId="3D19AE52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🔧</w:t>
      </w:r>
      <w:r>
        <w:rPr>
          <w:b/>
          <w:bCs/>
        </w:rPr>
        <w:t xml:space="preserve"> KPIs to Create:</w:t>
      </w:r>
    </w:p>
    <w:p w14:paraId="1D416445">
      <w:pPr>
        <w:numPr>
          <w:ilvl w:val="0"/>
          <w:numId w:val="1"/>
        </w:numPr>
      </w:pPr>
      <w:r>
        <w:rPr>
          <w:b/>
          <w:bCs/>
        </w:rPr>
        <w:t>Total Casualties</w:t>
      </w:r>
    </w:p>
    <w:p w14:paraId="70B074CB">
      <w:pPr>
        <w:numPr>
          <w:ilvl w:val="0"/>
          <w:numId w:val="1"/>
        </w:numPr>
      </w:pPr>
      <w:r>
        <w:rPr>
          <w:b/>
          <w:bCs/>
        </w:rPr>
        <w:t>Fatal Casualties (Severe Deaths)</w:t>
      </w:r>
    </w:p>
    <w:p w14:paraId="3C7D85C2">
      <w:pPr>
        <w:numPr>
          <w:ilvl w:val="0"/>
          <w:numId w:val="1"/>
        </w:numPr>
      </w:pPr>
      <w:r>
        <w:rPr>
          <w:b/>
          <w:bCs/>
        </w:rPr>
        <w:t>Serious Casualties (Critical Injuries)</w:t>
      </w:r>
    </w:p>
    <w:p w14:paraId="3681409D">
      <w:pPr>
        <w:numPr>
          <w:ilvl w:val="0"/>
          <w:numId w:val="1"/>
        </w:numPr>
      </w:pPr>
      <w:r>
        <w:rPr>
          <w:b/>
          <w:bCs/>
        </w:rPr>
        <w:t>Slight Casualties (Minor Injuries)</w:t>
      </w:r>
    </w:p>
    <w:p w14:paraId="17989869">
      <w:pPr>
        <w:numPr>
          <w:ilvl w:val="0"/>
          <w:numId w:val="1"/>
        </w:numPr>
      </w:pPr>
      <w:r>
        <w:rPr>
          <w:b/>
          <w:bCs/>
        </w:rPr>
        <w:t>Casualties by Cars</w:t>
      </w:r>
    </w:p>
    <w:p w14:paraId="541BB1A9">
      <w:pPr>
        <w:rPr>
          <w:b/>
          <w:bCs/>
        </w:rPr>
      </w:pPr>
      <w:r>
        <w:rPr>
          <w:b/>
          <w:bCs/>
        </w:rPr>
        <w:t>Visualizations:</w:t>
      </w:r>
    </w:p>
    <w:p w14:paraId="457B7F1B">
      <w:pPr>
        <w:numPr>
          <w:ilvl w:val="0"/>
          <w:numId w:val="2"/>
        </w:numPr>
      </w:pPr>
      <w:r>
        <w:t xml:space="preserve">Use </w:t>
      </w:r>
      <w:r>
        <w:rPr>
          <w:b/>
          <w:bCs/>
        </w:rPr>
        <w:t>number cards</w:t>
      </w:r>
      <w:r>
        <w:t xml:space="preserve"> (big bold values)</w:t>
      </w:r>
    </w:p>
    <w:p w14:paraId="2DC7F910">
      <w:pPr>
        <w:numPr>
          <w:ilvl w:val="0"/>
          <w:numId w:val="2"/>
        </w:numPr>
      </w:pPr>
      <w:r>
        <w:t xml:space="preserve">Add </w:t>
      </w:r>
      <w:r>
        <w:rPr>
          <w:b/>
          <w:bCs/>
        </w:rPr>
        <w:t>donut charts</w:t>
      </w:r>
      <w:r>
        <w:t xml:space="preserve"> (Data Labels ON, No Legends, % formatting)</w:t>
      </w:r>
    </w:p>
    <w:p w14:paraId="0EE9DBF5">
      <w:pPr>
        <w:numPr>
          <w:ilvl w:val="0"/>
          <w:numId w:val="2"/>
        </w:numPr>
      </w:pPr>
      <w:r>
        <w:t xml:space="preserve">Insert </w:t>
      </w:r>
      <w:r>
        <w:rPr>
          <w:b/>
          <w:bCs/>
        </w:rPr>
        <w:t>icons or shapes</w:t>
      </w:r>
      <w:r>
        <w:t xml:space="preserve"> to visually represent each KPI</w:t>
      </w:r>
    </w:p>
    <w:p w14:paraId="3CA7ECBE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320B58">
      <w:pPr>
        <w:pStyle w:val="4"/>
        <w:rPr>
          <w:b/>
          <w:bCs/>
          <w:szCs w:val="28"/>
        </w:rPr>
      </w:pPr>
      <w:r>
        <w:rPr>
          <w:b/>
          <w:bCs/>
          <w:szCs w:val="28"/>
        </w:rPr>
        <w:t>PART 2: Secondary KPIs – Casualties by Vehicle Type</w:t>
      </w:r>
    </w:p>
    <w:p w14:paraId="47E9EC09">
      <w:pPr>
        <w:rPr>
          <w:b/>
          <w:bCs/>
        </w:rPr>
      </w:pPr>
      <w:r>
        <w:rPr>
          <w:b/>
          <w:bCs/>
        </w:rPr>
        <w:t>What we are making:</w:t>
      </w:r>
    </w:p>
    <w:p w14:paraId="7410F088">
      <w:r>
        <w:t>A summary of casualties grouped by type of vehicle.</w:t>
      </w:r>
    </w:p>
    <w:p w14:paraId="48E87463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🔧</w:t>
      </w:r>
      <w:r>
        <w:rPr>
          <w:b/>
          <w:bCs/>
        </w:rPr>
        <w:t xml:space="preserve"> Vehicle Groups:</w:t>
      </w:r>
    </w:p>
    <w:p w14:paraId="18C5D1DC">
      <w:pPr>
        <w:pStyle w:val="28"/>
        <w:numPr>
          <w:ilvl w:val="0"/>
          <w:numId w:val="3"/>
        </w:numPr>
      </w:pPr>
      <w:r>
        <w:t>Cars</w:t>
      </w:r>
    </w:p>
    <w:p w14:paraId="78109ADE">
      <w:pPr>
        <w:pStyle w:val="28"/>
        <w:numPr>
          <w:ilvl w:val="0"/>
          <w:numId w:val="3"/>
        </w:numPr>
      </w:pPr>
      <w:r>
        <w:t>Motorcycles</w:t>
      </w:r>
    </w:p>
    <w:p w14:paraId="30122E76">
      <w:pPr>
        <w:pStyle w:val="28"/>
        <w:numPr>
          <w:ilvl w:val="0"/>
          <w:numId w:val="3"/>
        </w:numPr>
      </w:pPr>
      <w:r>
        <w:t>Buses</w:t>
      </w:r>
    </w:p>
    <w:p w14:paraId="448D296D">
      <w:pPr>
        <w:pStyle w:val="28"/>
        <w:numPr>
          <w:ilvl w:val="0"/>
          <w:numId w:val="3"/>
        </w:numPr>
      </w:pPr>
      <w:r>
        <w:t>Trucks</w:t>
      </w:r>
    </w:p>
    <w:p w14:paraId="767B1C27">
      <w:pPr>
        <w:pStyle w:val="28"/>
        <w:numPr>
          <w:ilvl w:val="0"/>
          <w:numId w:val="3"/>
        </w:numPr>
      </w:pPr>
      <w:r>
        <w:t>Tractors</w:t>
      </w:r>
    </w:p>
    <w:p w14:paraId="6BF3F109">
      <w:pPr>
        <w:pStyle w:val="28"/>
        <w:numPr>
          <w:ilvl w:val="0"/>
          <w:numId w:val="3"/>
        </w:numPr>
      </w:pPr>
      <w:r>
        <w:t>Others</w:t>
      </w:r>
    </w:p>
    <w:p w14:paraId="0872E3A1">
      <w:pPr>
        <w:rPr>
          <w:b/>
          <w:bCs/>
        </w:rPr>
      </w:pPr>
      <w:r>
        <w:rPr>
          <w:b/>
          <w:bCs/>
        </w:rPr>
        <w:t>Visualizations:</w:t>
      </w:r>
    </w:p>
    <w:p w14:paraId="3A93469E">
      <w:pPr>
        <w:pStyle w:val="28"/>
        <w:numPr>
          <w:ilvl w:val="0"/>
          <w:numId w:val="4"/>
        </w:numPr>
      </w:pPr>
      <w:r>
        <w:t xml:space="preserve">Use </w:t>
      </w:r>
      <w:r>
        <w:rPr>
          <w:b/>
          <w:bCs/>
        </w:rPr>
        <w:t>icon + label</w:t>
      </w:r>
      <w:r>
        <w:t xml:space="preserve"> combinations (SmartArt or manual shapes)</w:t>
      </w:r>
    </w:p>
    <w:p w14:paraId="3F08FEE7">
      <w:pPr>
        <w:pStyle w:val="28"/>
        <w:numPr>
          <w:ilvl w:val="0"/>
          <w:numId w:val="4"/>
        </w:numPr>
      </w:pPr>
      <w:r>
        <w:t xml:space="preserve">Add small </w:t>
      </w:r>
      <w:r>
        <w:rPr>
          <w:b/>
          <w:bCs/>
        </w:rPr>
        <w:t>number cards</w:t>
      </w:r>
      <w:r>
        <w:t xml:space="preserve"> below or beside each icon</w:t>
      </w:r>
    </w:p>
    <w:p w14:paraId="5727C626">
      <w:pPr>
        <w:pStyle w:val="28"/>
        <w:numPr>
          <w:ilvl w:val="0"/>
          <w:numId w:val="4"/>
        </w:numPr>
      </w:pPr>
      <w:r>
        <w:t xml:space="preserve">Use </w:t>
      </w:r>
      <w:r>
        <w:rPr>
          <w:b/>
          <w:bCs/>
        </w:rPr>
        <w:t>shapes or images</w:t>
      </w:r>
      <w:r>
        <w:t xml:space="preserve"> of vehicle types from Excel Icons or Insert → Pictures</w:t>
      </w:r>
    </w:p>
    <w:p w14:paraId="2BE97EAA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AD17F3">
      <w:pPr>
        <w:pStyle w:val="4"/>
        <w:rPr>
          <w:b/>
          <w:bCs/>
          <w:szCs w:val="28"/>
        </w:rPr>
      </w:pPr>
      <w:r>
        <w:rPr>
          <w:b/>
          <w:bCs/>
          <w:szCs w:val="28"/>
        </w:rPr>
        <w:t>PART 3: CY vs PY Casualty Trend (Monthly)</w:t>
      </w:r>
    </w:p>
    <w:p w14:paraId="067C971A">
      <w:pPr>
        <w:rPr>
          <w:b/>
          <w:bCs/>
        </w:rPr>
      </w:pPr>
      <w:r>
        <w:rPr>
          <w:b/>
          <w:bCs/>
        </w:rPr>
        <w:t>What we are making:</w:t>
      </w:r>
    </w:p>
    <w:p w14:paraId="2A16955B">
      <w:r>
        <w:t>A line chart comparing current year (CY) vs previous year (PY) month-wise data.</w:t>
      </w:r>
    </w:p>
    <w:p w14:paraId="251A5F21">
      <w:r>
        <w:rPr>
          <w:b/>
          <w:bCs/>
        </w:rPr>
        <w:t>Visualizations:</w:t>
      </w:r>
    </w:p>
    <w:p w14:paraId="7FC041A3">
      <w:pPr>
        <w:pStyle w:val="28"/>
        <w:numPr>
          <w:ilvl w:val="0"/>
          <w:numId w:val="5"/>
        </w:numPr>
      </w:pPr>
      <w:r>
        <w:t xml:space="preserve">Use </w:t>
      </w:r>
      <w:r>
        <w:rPr>
          <w:b/>
          <w:bCs/>
        </w:rPr>
        <w:t>Line Chart</w:t>
      </w:r>
    </w:p>
    <w:p w14:paraId="0DA30374">
      <w:pPr>
        <w:pStyle w:val="28"/>
        <w:numPr>
          <w:ilvl w:val="0"/>
          <w:numId w:val="5"/>
        </w:numPr>
      </w:pPr>
      <w:r>
        <w:t>X-axis: Month names (Jan to Dec)</w:t>
      </w:r>
    </w:p>
    <w:p w14:paraId="41C828B8">
      <w:pPr>
        <w:pStyle w:val="28"/>
        <w:numPr>
          <w:ilvl w:val="0"/>
          <w:numId w:val="5"/>
        </w:numPr>
      </w:pPr>
      <w:r>
        <w:t>Y-axis: Casualty numbers</w:t>
      </w:r>
    </w:p>
    <w:p w14:paraId="36CF01CC">
      <w:pPr>
        <w:pStyle w:val="28"/>
        <w:numPr>
          <w:ilvl w:val="0"/>
          <w:numId w:val="5"/>
        </w:numPr>
      </w:pPr>
      <w:r>
        <w:t>Use two series: one for 2021, one for 2022</w:t>
      </w:r>
    </w:p>
    <w:p w14:paraId="3E84B89D">
      <w:pPr>
        <w:pStyle w:val="28"/>
        <w:numPr>
          <w:ilvl w:val="0"/>
          <w:numId w:val="5"/>
        </w:numPr>
      </w:pPr>
      <w:r>
        <w:t xml:space="preserve">Add </w:t>
      </w:r>
      <w:r>
        <w:rPr>
          <w:b/>
          <w:bCs/>
        </w:rPr>
        <w:t>Data Labels and Legend</w:t>
      </w:r>
    </w:p>
    <w:p w14:paraId="04AB4025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C88E81">
      <w:pPr>
        <w:pStyle w:val="4"/>
        <w:rPr>
          <w:b/>
          <w:bCs/>
          <w:szCs w:val="28"/>
        </w:rPr>
      </w:pPr>
      <w:r>
        <w:rPr>
          <w:b/>
          <w:bCs/>
          <w:szCs w:val="28"/>
        </w:rPr>
        <w:t>PART 4: Casualties by Road Type</w:t>
      </w:r>
    </w:p>
    <w:p w14:paraId="010FB426">
      <w:pPr>
        <w:rPr>
          <w:b/>
          <w:bCs/>
        </w:rPr>
      </w:pPr>
      <w:r>
        <w:rPr>
          <w:b/>
          <w:bCs/>
        </w:rPr>
        <w:t>What we are making:</w:t>
      </w:r>
    </w:p>
    <w:p w14:paraId="527EBBA5">
      <w:r>
        <w:t>Compare accident counts across different road types.</w:t>
      </w:r>
    </w:p>
    <w:p w14:paraId="62F1785D">
      <w:pPr>
        <w:rPr>
          <w:b/>
          <w:bCs/>
        </w:rPr>
      </w:pPr>
      <w:r>
        <w:rPr>
          <w:b/>
          <w:bCs/>
        </w:rPr>
        <w:t>Visualizations:</w:t>
      </w:r>
    </w:p>
    <w:p w14:paraId="64A381C4">
      <w:pPr>
        <w:pStyle w:val="28"/>
        <w:numPr>
          <w:ilvl w:val="0"/>
          <w:numId w:val="6"/>
        </w:numPr>
      </w:pPr>
      <w:r>
        <w:t xml:space="preserve">Use </w:t>
      </w:r>
      <w:r>
        <w:rPr>
          <w:b/>
          <w:bCs/>
        </w:rPr>
        <w:t>Horizontal Bar Chart</w:t>
      </w:r>
    </w:p>
    <w:p w14:paraId="6FB63150">
      <w:pPr>
        <w:pStyle w:val="28"/>
        <w:numPr>
          <w:ilvl w:val="0"/>
          <w:numId w:val="6"/>
        </w:numPr>
      </w:pPr>
      <w:r>
        <w:t>Categories: Single carriageway, Dual carriageway, Roundabout, One-way, Slip road, etc.</w:t>
      </w:r>
    </w:p>
    <w:p w14:paraId="3B8EC698">
      <w:pPr>
        <w:pStyle w:val="28"/>
        <w:numPr>
          <w:ilvl w:val="0"/>
          <w:numId w:val="6"/>
        </w:numPr>
      </w:pPr>
      <w:r>
        <w:t>Sort by descending order</w:t>
      </w:r>
    </w:p>
    <w:p w14:paraId="6F658ADC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8D0B5E">
      <w:pPr>
        <w:pStyle w:val="4"/>
        <w:rPr>
          <w:b/>
          <w:bCs/>
          <w:szCs w:val="28"/>
        </w:rPr>
      </w:pPr>
      <w:r>
        <w:rPr>
          <w:b/>
          <w:bCs/>
          <w:szCs w:val="28"/>
        </w:rPr>
        <w:t>PART 5: Casualties by Road Surface Condition</w:t>
      </w:r>
    </w:p>
    <w:p w14:paraId="2EF9C8ED">
      <w:pPr>
        <w:rPr>
          <w:b/>
          <w:bCs/>
        </w:rPr>
      </w:pPr>
      <w:r>
        <w:rPr>
          <w:b/>
          <w:bCs/>
        </w:rPr>
        <w:t>What we are making:</w:t>
      </w:r>
    </w:p>
    <w:p w14:paraId="3F9DF348">
      <w:r>
        <w:t>Show how many casualties occurred on dry, wet, or snow-covered roads.</w:t>
      </w:r>
    </w:p>
    <w:p w14:paraId="298ADA10">
      <w:pPr>
        <w:rPr>
          <w:b/>
          <w:bCs/>
        </w:rPr>
      </w:pPr>
      <w:r>
        <w:rPr>
          <w:b/>
          <w:bCs/>
        </w:rPr>
        <w:t>Visualizations:</w:t>
      </w:r>
    </w:p>
    <w:p w14:paraId="4EDC6789">
      <w:pPr>
        <w:pStyle w:val="28"/>
        <w:numPr>
          <w:ilvl w:val="0"/>
          <w:numId w:val="7"/>
        </w:numPr>
      </w:pPr>
      <w:r>
        <w:t xml:space="preserve">Use </w:t>
      </w:r>
      <w:r>
        <w:rPr>
          <w:b/>
          <w:bCs/>
        </w:rPr>
        <w:t>Tree Map</w:t>
      </w:r>
    </w:p>
    <w:p w14:paraId="787CD6CC">
      <w:pPr>
        <w:pStyle w:val="28"/>
        <w:numPr>
          <w:ilvl w:val="0"/>
          <w:numId w:val="7"/>
        </w:numPr>
      </w:pPr>
      <w:r>
        <w:t>Categories: Dry, Wet, Snow/Ice</w:t>
      </w:r>
      <w:bookmarkStart w:id="0" w:name="_GoBack"/>
      <w:bookmarkEnd w:id="0"/>
    </w:p>
    <w:p w14:paraId="68493CC1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ACA0A3">
      <w:pPr>
        <w:pStyle w:val="4"/>
        <w:rPr>
          <w:b/>
          <w:bCs/>
          <w:szCs w:val="28"/>
        </w:rPr>
      </w:pPr>
      <w:r>
        <w:rPr>
          <w:b/>
          <w:bCs/>
          <w:szCs w:val="28"/>
        </w:rPr>
        <w:t>PART 6: Urban vs Rural Casualties</w:t>
      </w:r>
    </w:p>
    <w:p w14:paraId="659B75F6">
      <w:pPr>
        <w:rPr>
          <w:b/>
          <w:bCs/>
        </w:rPr>
      </w:pPr>
      <w:r>
        <w:rPr>
          <w:b/>
          <w:bCs/>
        </w:rPr>
        <w:t>What we are making:</w:t>
      </w:r>
    </w:p>
    <w:p w14:paraId="18095C06">
      <w:r>
        <w:t>Compare how many accidents happened in Urban vs Rural areas.</w:t>
      </w:r>
    </w:p>
    <w:p w14:paraId="3A1C1D1C">
      <w:pPr>
        <w:rPr>
          <w:b/>
          <w:bCs/>
        </w:rPr>
      </w:pPr>
      <w:r>
        <w:rPr>
          <w:b/>
          <w:bCs/>
        </w:rPr>
        <w:t>Visualizations:</w:t>
      </w:r>
    </w:p>
    <w:p w14:paraId="63958739">
      <w:pPr>
        <w:pStyle w:val="28"/>
        <w:numPr>
          <w:ilvl w:val="0"/>
          <w:numId w:val="8"/>
        </w:numPr>
      </w:pPr>
      <w:r>
        <w:t xml:space="preserve">Use </w:t>
      </w:r>
      <w:r>
        <w:rPr>
          <w:b/>
          <w:bCs/>
        </w:rPr>
        <w:t>Donut Chart</w:t>
      </w:r>
    </w:p>
    <w:p w14:paraId="7A717D8E">
      <w:pPr>
        <w:pStyle w:val="28"/>
        <w:numPr>
          <w:ilvl w:val="0"/>
          <w:numId w:val="8"/>
        </w:numPr>
      </w:pPr>
      <w:r>
        <w:t>Two categories: Urban, Rural</w:t>
      </w:r>
    </w:p>
    <w:p w14:paraId="6EEAA758">
      <w:pPr>
        <w:pStyle w:val="28"/>
        <w:numPr>
          <w:ilvl w:val="0"/>
          <w:numId w:val="8"/>
        </w:numPr>
      </w:pPr>
      <w:r>
        <w:t>Highlight with contrasting colors (e.g., brown vs light beige)</w:t>
      </w:r>
    </w:p>
    <w:p w14:paraId="3B22D76D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AF3F33">
      <w:pPr>
        <w:pStyle w:val="4"/>
        <w:rPr>
          <w:b/>
          <w:bCs/>
          <w:szCs w:val="28"/>
        </w:rPr>
      </w:pPr>
      <w:r>
        <w:rPr>
          <w:b/>
          <w:bCs/>
          <w:szCs w:val="28"/>
        </w:rPr>
        <w:t>PART 7: Light Condition Analysis (Day vs Night)</w:t>
      </w:r>
    </w:p>
    <w:p w14:paraId="58184FC2">
      <w:pPr>
        <w:rPr>
          <w:b/>
          <w:bCs/>
        </w:rPr>
      </w:pPr>
      <w:r>
        <w:rPr>
          <w:b/>
          <w:bCs/>
        </w:rPr>
        <w:t>What we are making:</w:t>
      </w:r>
    </w:p>
    <w:p w14:paraId="37B8A336">
      <w:r>
        <w:t>Determine when most accidents happen — during daylight or darkness.</w:t>
      </w:r>
    </w:p>
    <w:p w14:paraId="415A315F">
      <w:pPr>
        <w:rPr>
          <w:b/>
          <w:bCs/>
        </w:rPr>
      </w:pPr>
      <w:r>
        <w:rPr>
          <w:b/>
          <w:bCs/>
        </w:rPr>
        <w:t>Visualizations:</w:t>
      </w:r>
    </w:p>
    <w:p w14:paraId="3C24F2C9">
      <w:pPr>
        <w:pStyle w:val="28"/>
        <w:numPr>
          <w:ilvl w:val="0"/>
          <w:numId w:val="9"/>
        </w:numPr>
      </w:pPr>
      <w:r>
        <w:t xml:space="preserve">Use </w:t>
      </w:r>
      <w:r>
        <w:rPr>
          <w:b/>
          <w:bCs/>
        </w:rPr>
        <w:t>Donut Chart</w:t>
      </w:r>
    </w:p>
    <w:p w14:paraId="7082EAB9">
      <w:pPr>
        <w:pStyle w:val="28"/>
        <w:numPr>
          <w:ilvl w:val="0"/>
          <w:numId w:val="9"/>
        </w:numPr>
      </w:pPr>
      <w:r>
        <w:t>Categories: Daylight, Darkness</w:t>
      </w:r>
    </w:p>
    <w:p w14:paraId="6973B603">
      <w:pPr>
        <w:pStyle w:val="28"/>
        <w:numPr>
          <w:ilvl w:val="0"/>
          <w:numId w:val="9"/>
        </w:numPr>
      </w:pPr>
      <w:r>
        <w:t>Show both count and percentage</w:t>
      </w:r>
    </w:p>
    <w:p w14:paraId="171A8635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9B4F0E">
      <w:pPr>
        <w:pStyle w:val="4"/>
        <w:rPr>
          <w:b/>
          <w:bCs/>
          <w:szCs w:val="28"/>
        </w:rPr>
      </w:pPr>
      <w:r>
        <w:rPr>
          <w:b/>
          <w:bCs/>
          <w:szCs w:val="28"/>
        </w:rPr>
        <w:t>PART 8: Filter Panel</w:t>
      </w:r>
    </w:p>
    <w:p w14:paraId="3434C7F2">
      <w:pPr>
        <w:rPr>
          <w:b/>
          <w:bCs/>
        </w:rPr>
      </w:pPr>
      <w:r>
        <w:rPr>
          <w:b/>
          <w:bCs/>
        </w:rPr>
        <w:t>What we are making:</w:t>
      </w:r>
    </w:p>
    <w:p w14:paraId="67E74C21">
      <w:r>
        <w:t>Interactive panel to filter data based on:</w:t>
      </w:r>
    </w:p>
    <w:p w14:paraId="2F607730">
      <w:pPr>
        <w:pStyle w:val="28"/>
        <w:numPr>
          <w:ilvl w:val="0"/>
          <w:numId w:val="10"/>
        </w:numPr>
        <w:rPr>
          <w:b/>
          <w:bCs/>
        </w:rPr>
      </w:pPr>
      <w:r>
        <w:rPr>
          <w:rFonts w:hint="default"/>
          <w:b/>
          <w:bCs/>
          <w:lang w:val="en-US"/>
        </w:rPr>
        <w:t>Weather Conditions</w:t>
      </w:r>
    </w:p>
    <w:p w14:paraId="22C9472E">
      <w:pPr>
        <w:pStyle w:val="28"/>
        <w:numPr>
          <w:ilvl w:val="0"/>
          <w:numId w:val="10"/>
        </w:numPr>
      </w:pPr>
      <w:r>
        <w:rPr>
          <w:b/>
          <w:bCs/>
        </w:rPr>
        <w:t>Years (2021, 2022, 2023)</w:t>
      </w:r>
    </w:p>
    <w:p w14:paraId="1EBC61EA">
      <w:pPr>
        <w:pStyle w:val="28"/>
        <w:numPr>
          <w:ilvl w:val="0"/>
          <w:numId w:val="10"/>
        </w:numPr>
        <w:rPr>
          <w:b/>
          <w:bCs/>
        </w:rPr>
      </w:pPr>
      <w:r>
        <w:rPr>
          <w:rFonts w:hint="default"/>
          <w:b/>
          <w:bCs/>
          <w:lang w:val="en-US"/>
        </w:rPr>
        <w:t>Wind Conditions</w:t>
      </w:r>
    </w:p>
    <w:p w14:paraId="3C051C4F">
      <w:pPr>
        <w:rPr>
          <w:b/>
          <w:bCs/>
        </w:rPr>
      </w:pPr>
      <w:r>
        <w:rPr>
          <w:b/>
          <w:bCs/>
        </w:rPr>
        <w:t>Visualizations:</w:t>
      </w:r>
    </w:p>
    <w:p w14:paraId="2B1BD56C">
      <w:pPr>
        <w:pStyle w:val="28"/>
        <w:numPr>
          <w:ilvl w:val="0"/>
          <w:numId w:val="11"/>
        </w:numPr>
      </w:pPr>
      <w:r>
        <w:t xml:space="preserve">Use </w:t>
      </w:r>
      <w:r>
        <w:rPr>
          <w:b/>
          <w:bCs/>
        </w:rPr>
        <w:t>Slicers</w:t>
      </w:r>
      <w:r>
        <w:t xml:space="preserve"> (Insert &gt; Slicer from Pivot Table)</w:t>
      </w:r>
    </w:p>
    <w:p w14:paraId="65D75817">
      <w:pPr>
        <w:pStyle w:val="28"/>
        <w:numPr>
          <w:ilvl w:val="0"/>
          <w:numId w:val="11"/>
        </w:numPr>
      </w:pPr>
      <w:r>
        <w:t>Style them with custom colors matching your theme</w:t>
      </w:r>
    </w:p>
    <w:p w14:paraId="115B4B9E"/>
    <w:p w14:paraId="0949C153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8A305E">
      <w:pPr>
        <w:pStyle w:val="4"/>
        <w:rPr>
          <w:b/>
          <w:bCs/>
          <w:szCs w:val="28"/>
        </w:rPr>
      </w:pPr>
      <w:r>
        <w:rPr>
          <w:b/>
          <w:bCs/>
          <w:szCs w:val="28"/>
        </w:rPr>
        <w:t>Data Setup Recommendation</w:t>
      </w:r>
    </w:p>
    <w:p w14:paraId="696E6E39">
      <w:pPr>
        <w:numPr>
          <w:ilvl w:val="0"/>
          <w:numId w:val="12"/>
        </w:numPr>
      </w:pPr>
      <w:r>
        <w:t xml:space="preserve">Use </w:t>
      </w:r>
      <w:r>
        <w:rPr>
          <w:b/>
          <w:bCs/>
        </w:rPr>
        <w:t>Pivot Tables</w:t>
      </w:r>
      <w:r>
        <w:t xml:space="preserve"> behind all visuals</w:t>
      </w:r>
    </w:p>
    <w:p w14:paraId="4C876616">
      <w:pPr>
        <w:numPr>
          <w:ilvl w:val="0"/>
          <w:numId w:val="12"/>
        </w:numPr>
      </w:pPr>
      <w:r>
        <w:t>Store raw data in one clean sheet (RoadAccidentData)</w:t>
      </w:r>
    </w:p>
    <w:p w14:paraId="01642A9F">
      <w:pPr>
        <w:numPr>
          <w:ilvl w:val="0"/>
          <w:numId w:val="12"/>
        </w:numPr>
      </w:pPr>
      <w:r>
        <w:t>Name your ranges or use Excel Tables</w:t>
      </w:r>
    </w:p>
    <w:p w14:paraId="7AC3B3F4">
      <w:pPr>
        <w:numPr>
          <w:ilvl w:val="0"/>
          <w:numId w:val="12"/>
        </w:numPr>
      </w:pPr>
      <w:r>
        <w:t>Use helper columns (e.g., Year, Month, Light, Road Type Group) for better analysis</w:t>
      </w:r>
    </w:p>
    <w:p w14:paraId="40DB9F90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85295C">
      <w:pPr>
        <w:pStyle w:val="4"/>
        <w:rPr>
          <w:b/>
          <w:bCs/>
          <w:szCs w:val="28"/>
        </w:rPr>
      </w:pPr>
      <w:r>
        <w:rPr>
          <w:b/>
          <w:bCs/>
          <w:szCs w:val="28"/>
        </w:rPr>
        <w:t>Tools &amp; Features Used</w:t>
      </w:r>
    </w:p>
    <w:tbl>
      <w:tblPr>
        <w:tblStyle w:val="33"/>
        <w:tblW w:w="8540" w:type="dxa"/>
        <w:tblInd w:w="0" w:type="dxa"/>
        <w:tblBorders>
          <w:top w:val="single" w:color="F1A983" w:themeColor="accent2" w:themeTint="99" w:sz="4" w:space="0"/>
          <w:left w:val="single" w:color="F1A983" w:themeColor="accent2" w:themeTint="99" w:sz="4" w:space="0"/>
          <w:bottom w:val="single" w:color="F1A983" w:themeColor="accent2" w:themeTint="99" w:sz="4" w:space="0"/>
          <w:right w:val="single" w:color="F1A983" w:themeColor="accent2" w:themeTint="99" w:sz="4" w:space="0"/>
          <w:insideH w:val="single" w:color="F1A983" w:themeColor="accent2" w:themeTint="99" w:sz="4" w:space="0"/>
          <w:insideV w:val="single" w:color="F1A983" w:themeColor="accent2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17"/>
        <w:gridCol w:w="4523"/>
      </w:tblGrid>
      <w:tr w14:paraId="3B521446">
        <w:tblPrEx>
          <w:tblBorders>
            <w:top w:val="single" w:color="F1A983" w:themeColor="accent2" w:themeTint="99" w:sz="4" w:space="0"/>
            <w:left w:val="single" w:color="F1A983" w:themeColor="accent2" w:themeTint="99" w:sz="4" w:space="0"/>
            <w:bottom w:val="single" w:color="F1A983" w:themeColor="accent2" w:themeTint="99" w:sz="4" w:space="0"/>
            <w:right w:val="single" w:color="F1A983" w:themeColor="accent2" w:themeTint="99" w:sz="4" w:space="0"/>
            <w:insideH w:val="single" w:color="F1A983" w:themeColor="accent2" w:themeTint="99" w:sz="4" w:space="0"/>
            <w:insideV w:val="single" w:color="F1A983" w:themeColor="accent2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0" w:type="auto"/>
            <w:tcBorders>
              <w:top w:val="single" w:color="E97132" w:themeColor="accent2" w:sz="4" w:space="0"/>
              <w:left w:val="single" w:color="E97132" w:themeColor="accent2" w:sz="4" w:space="0"/>
              <w:bottom w:val="single" w:color="E97132" w:themeColor="accent2" w:sz="4" w:space="0"/>
              <w:right w:val="nil"/>
              <w:insideH w:val="single" w:sz="4" w:space="0"/>
              <w:insideV w:val="nil"/>
            </w:tcBorders>
            <w:shd w:val="clear" w:color="auto" w:fill="E97132" w:themeFill="accent2"/>
          </w:tcPr>
          <w:p w14:paraId="4390844A">
            <w:pPr>
              <w:spacing w:after="160" w:line="278" w:lineRule="auto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Feature</w:t>
            </w:r>
          </w:p>
        </w:tc>
        <w:tc>
          <w:tcPr>
            <w:tcW w:w="0" w:type="auto"/>
            <w:tcBorders>
              <w:top w:val="single" w:color="E97132" w:themeColor="accent2" w:sz="4" w:space="0"/>
              <w:bottom w:val="single" w:color="E97132" w:themeColor="accent2" w:sz="4" w:space="0"/>
              <w:right w:val="single" w:color="E97132" w:themeColor="accent2" w:sz="4" w:space="0"/>
              <w:insideH w:val="single" w:sz="4" w:space="0"/>
              <w:insideV w:val="nil"/>
            </w:tcBorders>
            <w:shd w:val="clear" w:color="auto" w:fill="E97132" w:themeFill="accent2"/>
          </w:tcPr>
          <w:p w14:paraId="1A2FEADE">
            <w:pPr>
              <w:spacing w:after="160" w:line="278" w:lineRule="auto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Use Case</w:t>
            </w:r>
          </w:p>
        </w:tc>
      </w:tr>
      <w:tr w14:paraId="319974FE">
        <w:tblPrEx>
          <w:tblBorders>
            <w:top w:val="single" w:color="F1A983" w:themeColor="accent2" w:themeTint="99" w:sz="4" w:space="0"/>
            <w:left w:val="single" w:color="F1A983" w:themeColor="accent2" w:themeTint="99" w:sz="4" w:space="0"/>
            <w:bottom w:val="single" w:color="F1A983" w:themeColor="accent2" w:themeTint="99" w:sz="4" w:space="0"/>
            <w:right w:val="single" w:color="F1A983" w:themeColor="accent2" w:themeTint="99" w:sz="4" w:space="0"/>
            <w:insideH w:val="single" w:color="F1A983" w:themeColor="accent2" w:themeTint="99" w:sz="4" w:space="0"/>
            <w:insideV w:val="single" w:color="F1A983" w:themeColor="accent2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0" w:type="auto"/>
            <w:shd w:val="clear" w:color="auto" w:fill="FAE2D5" w:themeFill="accent2" w:themeFillTint="33"/>
          </w:tcPr>
          <w:p w14:paraId="56E0A229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Pivot Tables</w:t>
            </w:r>
          </w:p>
        </w:tc>
        <w:tc>
          <w:tcPr>
            <w:tcW w:w="0" w:type="auto"/>
            <w:shd w:val="clear" w:color="auto" w:fill="FAE2D5" w:themeFill="accent2" w:themeFillTint="33"/>
          </w:tcPr>
          <w:p w14:paraId="02B9EBD8">
            <w:pPr>
              <w:spacing w:after="160" w:line="278" w:lineRule="auto"/>
            </w:pPr>
            <w:r>
              <w:t>Aggregating accident data</w:t>
            </w:r>
          </w:p>
        </w:tc>
      </w:tr>
      <w:tr w14:paraId="536AE392">
        <w:tblPrEx>
          <w:tblBorders>
            <w:top w:val="single" w:color="F1A983" w:themeColor="accent2" w:themeTint="99" w:sz="4" w:space="0"/>
            <w:left w:val="single" w:color="F1A983" w:themeColor="accent2" w:themeTint="99" w:sz="4" w:space="0"/>
            <w:bottom w:val="single" w:color="F1A983" w:themeColor="accent2" w:themeTint="99" w:sz="4" w:space="0"/>
            <w:right w:val="single" w:color="F1A983" w:themeColor="accent2" w:themeTint="99" w:sz="4" w:space="0"/>
            <w:insideH w:val="single" w:color="F1A983" w:themeColor="accent2" w:themeTint="99" w:sz="4" w:space="0"/>
            <w:insideV w:val="single" w:color="F1A983" w:themeColor="accent2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0" w:type="auto"/>
          </w:tcPr>
          <w:p w14:paraId="6729FE9A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Pivot Charts</w:t>
            </w:r>
          </w:p>
        </w:tc>
        <w:tc>
          <w:tcPr>
            <w:tcW w:w="0" w:type="auto"/>
          </w:tcPr>
          <w:p w14:paraId="511951FB">
            <w:pPr>
              <w:spacing w:after="160" w:line="278" w:lineRule="auto"/>
            </w:pPr>
            <w:r>
              <w:t>Creating dynamic visuals</w:t>
            </w:r>
          </w:p>
        </w:tc>
      </w:tr>
      <w:tr w14:paraId="1E907E81">
        <w:tblPrEx>
          <w:tblBorders>
            <w:top w:val="single" w:color="F1A983" w:themeColor="accent2" w:themeTint="99" w:sz="4" w:space="0"/>
            <w:left w:val="single" w:color="F1A983" w:themeColor="accent2" w:themeTint="99" w:sz="4" w:space="0"/>
            <w:bottom w:val="single" w:color="F1A983" w:themeColor="accent2" w:themeTint="99" w:sz="4" w:space="0"/>
            <w:right w:val="single" w:color="F1A983" w:themeColor="accent2" w:themeTint="99" w:sz="4" w:space="0"/>
            <w:insideH w:val="single" w:color="F1A983" w:themeColor="accent2" w:themeTint="99" w:sz="4" w:space="0"/>
            <w:insideV w:val="single" w:color="F1A983" w:themeColor="accent2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0" w:type="auto"/>
            <w:shd w:val="clear" w:color="auto" w:fill="FAE2D5" w:themeFill="accent2" w:themeFillTint="33"/>
          </w:tcPr>
          <w:p w14:paraId="46A94CA1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Donut Charts</w:t>
            </w:r>
          </w:p>
        </w:tc>
        <w:tc>
          <w:tcPr>
            <w:tcW w:w="0" w:type="auto"/>
            <w:shd w:val="clear" w:color="auto" w:fill="FAE2D5" w:themeFill="accent2" w:themeFillTint="33"/>
          </w:tcPr>
          <w:p w14:paraId="67ED883D">
            <w:pPr>
              <w:spacing w:after="160" w:line="278" w:lineRule="auto"/>
            </w:pPr>
            <w:r>
              <w:t>For % comparison</w:t>
            </w:r>
          </w:p>
        </w:tc>
      </w:tr>
      <w:tr w14:paraId="0729ABE9">
        <w:tblPrEx>
          <w:tblBorders>
            <w:top w:val="single" w:color="F1A983" w:themeColor="accent2" w:themeTint="99" w:sz="4" w:space="0"/>
            <w:left w:val="single" w:color="F1A983" w:themeColor="accent2" w:themeTint="99" w:sz="4" w:space="0"/>
            <w:bottom w:val="single" w:color="F1A983" w:themeColor="accent2" w:themeTint="99" w:sz="4" w:space="0"/>
            <w:right w:val="single" w:color="F1A983" w:themeColor="accent2" w:themeTint="99" w:sz="4" w:space="0"/>
            <w:insideH w:val="single" w:color="F1A983" w:themeColor="accent2" w:themeTint="99" w:sz="4" w:space="0"/>
            <w:insideV w:val="single" w:color="F1A983" w:themeColor="accent2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0" w:type="auto"/>
          </w:tcPr>
          <w:p w14:paraId="2851D562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Line Charts</w:t>
            </w:r>
          </w:p>
        </w:tc>
        <w:tc>
          <w:tcPr>
            <w:tcW w:w="0" w:type="auto"/>
          </w:tcPr>
          <w:p w14:paraId="6673E51E">
            <w:pPr>
              <w:spacing w:after="160" w:line="278" w:lineRule="auto"/>
            </w:pPr>
            <w:r>
              <w:t>Time-series (month) analysis</w:t>
            </w:r>
          </w:p>
        </w:tc>
      </w:tr>
      <w:tr w14:paraId="304E70C1">
        <w:tblPrEx>
          <w:tblBorders>
            <w:top w:val="single" w:color="F1A983" w:themeColor="accent2" w:themeTint="99" w:sz="4" w:space="0"/>
            <w:left w:val="single" w:color="F1A983" w:themeColor="accent2" w:themeTint="99" w:sz="4" w:space="0"/>
            <w:bottom w:val="single" w:color="F1A983" w:themeColor="accent2" w:themeTint="99" w:sz="4" w:space="0"/>
            <w:right w:val="single" w:color="F1A983" w:themeColor="accent2" w:themeTint="99" w:sz="4" w:space="0"/>
            <w:insideH w:val="single" w:color="F1A983" w:themeColor="accent2" w:themeTint="99" w:sz="4" w:space="0"/>
            <w:insideV w:val="single" w:color="F1A983" w:themeColor="accent2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0" w:type="auto"/>
            <w:shd w:val="clear" w:color="auto" w:fill="FAE2D5" w:themeFill="accent2" w:themeFillTint="33"/>
          </w:tcPr>
          <w:p w14:paraId="64B4AE5C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Bar Charts</w:t>
            </w:r>
          </w:p>
        </w:tc>
        <w:tc>
          <w:tcPr>
            <w:tcW w:w="0" w:type="auto"/>
            <w:shd w:val="clear" w:color="auto" w:fill="FAE2D5" w:themeFill="accent2" w:themeFillTint="33"/>
          </w:tcPr>
          <w:p w14:paraId="0291D96A">
            <w:pPr>
              <w:spacing w:after="160" w:line="278" w:lineRule="auto"/>
            </w:pPr>
            <w:r>
              <w:t>Category-wise comparisons</w:t>
            </w:r>
          </w:p>
        </w:tc>
      </w:tr>
      <w:tr w14:paraId="0A64CA70">
        <w:tblPrEx>
          <w:tblBorders>
            <w:top w:val="single" w:color="F1A983" w:themeColor="accent2" w:themeTint="99" w:sz="4" w:space="0"/>
            <w:left w:val="single" w:color="F1A983" w:themeColor="accent2" w:themeTint="99" w:sz="4" w:space="0"/>
            <w:bottom w:val="single" w:color="F1A983" w:themeColor="accent2" w:themeTint="99" w:sz="4" w:space="0"/>
            <w:right w:val="single" w:color="F1A983" w:themeColor="accent2" w:themeTint="99" w:sz="4" w:space="0"/>
            <w:insideH w:val="single" w:color="F1A983" w:themeColor="accent2" w:themeTint="99" w:sz="4" w:space="0"/>
            <w:insideV w:val="single" w:color="F1A983" w:themeColor="accent2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0" w:type="auto"/>
          </w:tcPr>
          <w:p w14:paraId="4C486D43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Slicers</w:t>
            </w:r>
          </w:p>
        </w:tc>
        <w:tc>
          <w:tcPr>
            <w:tcW w:w="0" w:type="auto"/>
          </w:tcPr>
          <w:p w14:paraId="11948952">
            <w:pPr>
              <w:spacing w:after="160" w:line="278" w:lineRule="auto"/>
            </w:pPr>
            <w:r>
              <w:t>Interactive filtering</w:t>
            </w:r>
          </w:p>
        </w:tc>
      </w:tr>
      <w:tr w14:paraId="77744D07">
        <w:tblPrEx>
          <w:tblBorders>
            <w:top w:val="single" w:color="F1A983" w:themeColor="accent2" w:themeTint="99" w:sz="4" w:space="0"/>
            <w:left w:val="single" w:color="F1A983" w:themeColor="accent2" w:themeTint="99" w:sz="4" w:space="0"/>
            <w:bottom w:val="single" w:color="F1A983" w:themeColor="accent2" w:themeTint="99" w:sz="4" w:space="0"/>
            <w:right w:val="single" w:color="F1A983" w:themeColor="accent2" w:themeTint="99" w:sz="4" w:space="0"/>
            <w:insideH w:val="single" w:color="F1A983" w:themeColor="accent2" w:themeTint="99" w:sz="4" w:space="0"/>
            <w:insideV w:val="single" w:color="F1A983" w:themeColor="accent2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0" w:type="auto"/>
            <w:shd w:val="clear" w:color="auto" w:fill="FAE2D5" w:themeFill="accent2" w:themeFillTint="33"/>
          </w:tcPr>
          <w:p w14:paraId="57B6CE4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Shapes/Icons</w:t>
            </w:r>
          </w:p>
        </w:tc>
        <w:tc>
          <w:tcPr>
            <w:tcW w:w="0" w:type="auto"/>
            <w:shd w:val="clear" w:color="auto" w:fill="FAE2D5" w:themeFill="accent2" w:themeFillTint="33"/>
          </w:tcPr>
          <w:p w14:paraId="1B145E59">
            <w:pPr>
              <w:spacing w:after="160" w:line="278" w:lineRule="auto"/>
            </w:pPr>
            <w:r>
              <w:t>Visual storytelling &amp; linking</w:t>
            </w:r>
          </w:p>
        </w:tc>
      </w:tr>
      <w:tr w14:paraId="12AB11BA">
        <w:tblPrEx>
          <w:tblBorders>
            <w:top w:val="single" w:color="F1A983" w:themeColor="accent2" w:themeTint="99" w:sz="4" w:space="0"/>
            <w:left w:val="single" w:color="F1A983" w:themeColor="accent2" w:themeTint="99" w:sz="4" w:space="0"/>
            <w:bottom w:val="single" w:color="F1A983" w:themeColor="accent2" w:themeTint="99" w:sz="4" w:space="0"/>
            <w:right w:val="single" w:color="F1A983" w:themeColor="accent2" w:themeTint="99" w:sz="4" w:space="0"/>
            <w:insideH w:val="single" w:color="F1A983" w:themeColor="accent2" w:themeTint="99" w:sz="4" w:space="0"/>
            <w:insideV w:val="single" w:color="F1A983" w:themeColor="accent2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0" w:type="auto"/>
          </w:tcPr>
          <w:p w14:paraId="43BBF76F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Conditional Formatting</w:t>
            </w:r>
          </w:p>
        </w:tc>
        <w:tc>
          <w:tcPr>
            <w:tcW w:w="0" w:type="auto"/>
          </w:tcPr>
          <w:p w14:paraId="1D103AC3">
            <w:pPr>
              <w:spacing w:after="160" w:line="278" w:lineRule="auto"/>
            </w:pPr>
            <w:r>
              <w:t>For color indicators</w:t>
            </w:r>
          </w:p>
        </w:tc>
      </w:tr>
    </w:tbl>
    <w:p w14:paraId="038520D2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6078F1"/>
    <w:multiLevelType w:val="multilevel"/>
    <w:tmpl w:val="226078F1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>
    <w:nsid w:val="25376B97"/>
    <w:multiLevelType w:val="multilevel"/>
    <w:tmpl w:val="25376B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8C13CB9"/>
    <w:multiLevelType w:val="multilevel"/>
    <w:tmpl w:val="28C13CB9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>
    <w:nsid w:val="30D221E8"/>
    <w:multiLevelType w:val="multilevel"/>
    <w:tmpl w:val="30D221E8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>
    <w:nsid w:val="362C6E2A"/>
    <w:multiLevelType w:val="multilevel"/>
    <w:tmpl w:val="362C6E2A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>
    <w:nsid w:val="3B962E64"/>
    <w:multiLevelType w:val="multilevel"/>
    <w:tmpl w:val="3B962E64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>
    <w:nsid w:val="486A3D35"/>
    <w:multiLevelType w:val="multilevel"/>
    <w:tmpl w:val="486A3D35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>
    <w:nsid w:val="4F8A248E"/>
    <w:multiLevelType w:val="multilevel"/>
    <w:tmpl w:val="4F8A24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5256612B"/>
    <w:multiLevelType w:val="multilevel"/>
    <w:tmpl w:val="5256612B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29E448B"/>
    <w:multiLevelType w:val="multilevel"/>
    <w:tmpl w:val="529E448B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">
    <w:nsid w:val="5A3D2187"/>
    <w:multiLevelType w:val="multilevel"/>
    <w:tmpl w:val="5A3D21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F874050"/>
    <w:multiLevelType w:val="multilevel"/>
    <w:tmpl w:val="7F874050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7"/>
  </w:num>
  <w:num w:numId="2">
    <w:abstractNumId w:val="10"/>
  </w:num>
  <w:num w:numId="3">
    <w:abstractNumId w:val="11"/>
  </w:num>
  <w:num w:numId="4">
    <w:abstractNumId w:val="5"/>
  </w:num>
  <w:num w:numId="5">
    <w:abstractNumId w:val="6"/>
  </w:num>
  <w:num w:numId="6">
    <w:abstractNumId w:val="3"/>
  </w:num>
  <w:num w:numId="7">
    <w:abstractNumId w:val="2"/>
  </w:num>
  <w:num w:numId="8">
    <w:abstractNumId w:val="9"/>
  </w:num>
  <w:num w:numId="9">
    <w:abstractNumId w:val="0"/>
  </w:num>
  <w:num w:numId="10">
    <w:abstractNumId w:val="8"/>
  </w:num>
  <w:num w:numId="11">
    <w:abstractNumId w:val="4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52A"/>
    <w:rsid w:val="0000052A"/>
    <w:rsid w:val="001341CE"/>
    <w:rsid w:val="00346AD8"/>
    <w:rsid w:val="00936D07"/>
    <w:rsid w:val="00997AA2"/>
    <w:rsid w:val="00A2730D"/>
    <w:rsid w:val="00B46E4B"/>
    <w:rsid w:val="00C757C0"/>
    <w:rsid w:val="2275614B"/>
    <w:rsid w:val="294F6C59"/>
    <w:rsid w:val="30F23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1"/>
      <w:lang w:val="en-IN" w:eastAsia="en-US" w:bidi="hi-IN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36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29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5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0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36"/>
    </w:rPr>
  </w:style>
  <w:style w:type="character" w:customStyle="1" w:styleId="16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29"/>
    </w:rPr>
  </w:style>
  <w:style w:type="character" w:customStyle="1" w:styleId="17">
    <w:name w:val="Heading 3 Char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5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0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3">
    <w:name w:val="Grid Table 4 Accent 2"/>
    <w:basedOn w:val="12"/>
    <w:uiPriority w:val="49"/>
    <w:pPr>
      <w:spacing w:after="0" w:line="240" w:lineRule="auto"/>
    </w:pPr>
    <w:tblPr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E97132" w:themeColor="accent2" w:sz="4" w:space="0"/>
          <w:left w:val="single" w:color="E97132" w:themeColor="accent2" w:sz="4" w:space="0"/>
          <w:bottom w:val="single" w:color="E97132" w:themeColor="accent2" w:sz="4" w:space="0"/>
          <w:right w:val="single" w:color="E97132" w:themeColor="accent2" w:sz="4" w:space="0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cPr>
        <w:tcBorders>
          <w:top w:val="double" w:color="E97132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AE2D5" w:themeFill="accent2" w:themeFillTint="33"/>
      </w:tcPr>
    </w:tblStylePr>
    <w:tblStylePr w:type="band1Horz">
      <w:tcPr>
        <w:shd w:val="clear" w:color="auto" w:fill="FAE2D5" w:themeFill="accent2" w:themeFillTint="33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502</Words>
  <Characters>2824</Characters>
  <Lines>26</Lines>
  <Paragraphs>7</Paragraphs>
  <TotalTime>155</TotalTime>
  <ScaleCrop>false</ScaleCrop>
  <LinksUpToDate>false</LinksUpToDate>
  <CharactersWithSpaces>3226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2025-07-28T12:20:00Z</dcterms:created>
  <dc:creator>Ramjeevan Sharma</dc:creator>
  <cp:lastModifiedBy>abhinav singh</cp:lastModifiedBy>
  <dcterms:modified xsi:type="dcterms:W3CDTF">2026-07-11T05:18:07Z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eyJoZGlkIjoiNmE0YjgyNTQ3ZTdkMTY0YzQ2NGZhNjdlN2NmZTg5YzQiLCJ1c2VySWQiOiI1Njc0NTMwOTQ2OTYifQ==</vt:lpwstr>
  </property>
  <property fmtid="{D5CDD505-2E9C-101B-9397-08002B2CF9AE}" pid="3" name="KSOProductBuildVer">
    <vt:lpwstr>1033-12.1.0.26880</vt:lpwstr>
  </property>
  <property fmtid="{D5CDD505-2E9C-101B-9397-08002B2CF9AE}" pid="4" name="ICV">
    <vt:lpwstr>2FEB4F27EF99461BBF1F3E10CB5942AD_13</vt:lpwstr>
  </property>
</Properties>
</file>