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1C1C1E"/>
          <w:sz w:val="30"/>
          <w:szCs w:val="30"/>
        </w:rPr>
        <w:t xml:space="preserve">SDA — SKILL DECAY ALERTS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6B6B6E"/>
          <w:sz w:val="18"/>
          <w:szCs w:val="18"/>
        </w:rPr>
        <w:t xml:space="preserve">An agent that tells you what you're about to forget — before you think to check.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C1440E"/>
          <w:sz w:val="20"/>
          <w:szCs w:val="20"/>
        </w:rPr>
        <w:t xml:space="preserve">The Problem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C1C1E"/>
          <w:sz w:val="17"/>
          <w:szCs w:val="17"/>
        </w:rPr>
        <w:t xml:space="preserve">Professionals use only a narrow slice of the skills they've learned; the rest decays quietly and unevenly until a stumbled interview or a fumbled requirement reveals the gap. Existing tools (Pluralsight, LinkedIn Learning) only ever score a single moment — they don't track decay over time, they require the user to opt in, they grade a whole skill instead of the weak sub-topic, and they stop at the score with no follow-through.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C1440E"/>
          <w:sz w:val="20"/>
          <w:szCs w:val="20"/>
        </w:rPr>
        <w:t xml:space="preserve">Our Solution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C1C1E"/>
          <w:sz w:val="17"/>
          <w:szCs w:val="17"/>
        </w:rPr>
        <w:t xml:space="preserve">SDA is an agent that continuously decides what needs attention, choosing one of four actions and explaining why: Test now, Wait, Recommend a resource, or Escalate priority. Example: a software engineer ten years out of school who learned a dozen skills but actively uses only two or three — SDA quietly watches over the other nine so the whole portfolio stays interview- and project-ready.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C1440E"/>
          <w:sz w:val="20"/>
          <w:szCs w:val="20"/>
        </w:rPr>
        <w:t xml:space="preserve">How It Works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C1C1E"/>
          <w:sz w:val="17"/>
          <w:szCs w:val="17"/>
        </w:rPr>
        <w:t xml:space="preserve">Signal Engine (decay + usage + quiz signals) → Decision Agent (Featherless.ai picks the action) → Agent Actions (generates a quiz or resource) → User Response (answered &amp; auto-graded) → Feedback Loop updates signals and the agent re-decides. Stack: Python + FastAPI and React + Tailwind CSS run the app; pyBKT provides probabilistic knowledge tracing; LangGraph orchestrates the decide → act → observe → re-decide loop; Featherless.ai powers reasoning and content generation.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C1440E"/>
          <w:sz w:val="20"/>
          <w:szCs w:val="20"/>
        </w:rPr>
        <w:t xml:space="preserve">Core Features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C1C1E"/>
          <w:sz w:val="17"/>
          <w:szCs w:val="17"/>
        </w:rPr>
        <w:t xml:space="preserve">Decision Agent — reasons over the full signal bundle and decides the next action with a stated reason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C1C1E"/>
          <w:sz w:val="17"/>
          <w:szCs w:val="17"/>
        </w:rPr>
        <w:t xml:space="preserve">Signal Engine — category-aware time decay plus sub-topic weakness from real quiz results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C1C1E"/>
          <w:sz w:val="17"/>
          <w:szCs w:val="17"/>
        </w:rPr>
        <w:t xml:space="preserve">Quiz generation + auto-grading — agent-triggered, sub-topic-targeted, graded automatically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C1C1E"/>
          <w:sz w:val="17"/>
          <w:szCs w:val="17"/>
        </w:rPr>
        <w:t xml:space="preserve">Feedback loop — quiz results feed back to the agent, which re-decides priorities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C1C1E"/>
          <w:sz w:val="17"/>
          <w:szCs w:val="17"/>
        </w:rPr>
        <w:t xml:space="preserve">Visible reasoning in the UI — the agent's justification is shown whenever it acts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C1C1E"/>
          <w:sz w:val="17"/>
          <w:szCs w:val="17"/>
        </w:rPr>
        <w:t xml:space="preserve">LinkedIn Profile Import — pulls skills, role, and experience from the user's LinkedIn profile to seed their skill portfolio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C1440E"/>
          <w:sz w:val="20"/>
          <w:szCs w:val="20"/>
        </w:rPr>
        <w:t xml:space="preserve">Differentiation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50"/>
      </w:tblGrid>
      <w:tr>
        <w:tc>
          <w:tcPr>
            <w:tcW w:type="dxa" w:w="1800"/>
            <w:tcBorders>
              <w:top w:val="single" w:color="E6E4E0" w:sz="2"/>
              <w:left w:val="single" w:color="E6E4E0" w:sz="2"/>
              <w:bottom w:val="single" w:color="E6E4E0" w:sz="2"/>
              <w:right w:val="single" w:color="E6E4E0" w:sz="2"/>
            </w:tcBorders>
            <w:shd w:fill="1C1C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Dimension</w:t>
            </w:r>
          </w:p>
        </w:tc>
        <w:tc>
          <w:tcPr>
            <w:tcW w:type="dxa" w:w="3800"/>
            <w:tcBorders>
              <w:top w:val="single" w:color="E6E4E0" w:sz="2"/>
              <w:left w:val="single" w:color="E6E4E0" w:sz="2"/>
              <w:bottom w:val="single" w:color="E6E4E0" w:sz="2"/>
              <w:right w:val="single" w:color="E6E4E0" w:sz="2"/>
            </w:tcBorders>
            <w:shd w:fill="1C1C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Pluralsight / LinkedIn Learning</w:t>
            </w:r>
          </w:p>
        </w:tc>
        <w:tc>
          <w:tcPr>
            <w:tcW w:type="dxa" w:w="3750"/>
            <w:tcBorders>
              <w:top w:val="single" w:color="E6E4E0" w:sz="2"/>
              <w:left w:val="single" w:color="E6E4E0" w:sz="2"/>
              <w:bottom w:val="single" w:color="E6E4E0" w:sz="2"/>
              <w:right w:val="single" w:color="E6E4E0" w:sz="2"/>
            </w:tcBorders>
            <w:shd w:fill="1C1C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SDA</w:t>
            </w:r>
          </w:p>
        </w:tc>
      </w:tr>
      <w:tr>
        <w:tc>
          <w:tcPr>
            <w:tcW w:type="dxa" w:w="1800"/>
            <w:tcBorders>
              <w:top w:val="single" w:color="E6E4E0" w:sz="2"/>
              <w:left w:val="single" w:color="E6E4E0" w:sz="2"/>
              <w:bottom w:val="single" w:color="E6E4E0" w:sz="2"/>
              <w:right w:val="single" w:color="E6E4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5"/>
                <w:szCs w:val="15"/>
              </w:rPr>
              <w:t xml:space="preserve">Trigger</w:t>
            </w:r>
          </w:p>
        </w:tc>
        <w:tc>
          <w:tcPr>
            <w:tcW w:type="dxa" w:w="3800"/>
            <w:tcBorders>
              <w:top w:val="single" w:color="E6E4E0" w:sz="2"/>
              <w:left w:val="single" w:color="E6E4E0" w:sz="2"/>
              <w:bottom w:val="single" w:color="E6E4E0" w:sz="2"/>
              <w:right w:val="single" w:color="E6E4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E"/>
                <w:sz w:val="15"/>
                <w:szCs w:val="15"/>
              </w:rPr>
              <w:t xml:space="preserve">User manually initiates</w:t>
            </w:r>
          </w:p>
        </w:tc>
        <w:tc>
          <w:tcPr>
            <w:tcW w:type="dxa" w:w="3750"/>
            <w:tcBorders>
              <w:top w:val="single" w:color="E6E4E0" w:sz="2"/>
              <w:left w:val="single" w:color="E6E4E0" w:sz="2"/>
              <w:bottom w:val="single" w:color="E6E4E0" w:sz="2"/>
              <w:right w:val="single" w:color="E6E4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E"/>
                <w:sz w:val="15"/>
                <w:szCs w:val="15"/>
              </w:rPr>
              <w:t xml:space="preserve">Agent decides automatically</w:t>
            </w:r>
          </w:p>
        </w:tc>
      </w:tr>
      <w:tr>
        <w:tc>
          <w:tcPr>
            <w:tcW w:type="dxa" w:w="1800"/>
            <w:tcBorders>
              <w:top w:val="single" w:color="E6E4E0" w:sz="2"/>
              <w:left w:val="single" w:color="E6E4E0" w:sz="2"/>
              <w:bottom w:val="single" w:color="E6E4E0" w:sz="2"/>
              <w:right w:val="single" w:color="E6E4E0" w:sz="2"/>
            </w:tcBorders>
            <w:shd w:fill="F4F3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5"/>
                <w:szCs w:val="15"/>
              </w:rPr>
              <w:t xml:space="preserve">Measures</w:t>
            </w:r>
          </w:p>
        </w:tc>
        <w:tc>
          <w:tcPr>
            <w:tcW w:type="dxa" w:w="3800"/>
            <w:tcBorders>
              <w:top w:val="single" w:color="E6E4E0" w:sz="2"/>
              <w:left w:val="single" w:color="E6E4E0" w:sz="2"/>
              <w:bottom w:val="single" w:color="E6E4E0" w:sz="2"/>
              <w:right w:val="single" w:color="E6E4E0" w:sz="2"/>
            </w:tcBorders>
            <w:shd w:fill="F4F3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E"/>
                <w:sz w:val="15"/>
                <w:szCs w:val="15"/>
              </w:rPr>
              <w:t xml:space="preserve">Point-in-time score</w:t>
            </w:r>
          </w:p>
        </w:tc>
        <w:tc>
          <w:tcPr>
            <w:tcW w:type="dxa" w:w="3750"/>
            <w:tcBorders>
              <w:top w:val="single" w:color="E6E4E0" w:sz="2"/>
              <w:left w:val="single" w:color="E6E4E0" w:sz="2"/>
              <w:bottom w:val="single" w:color="E6E4E0" w:sz="2"/>
              <w:right w:val="single" w:color="E6E4E0" w:sz="2"/>
            </w:tcBorders>
            <w:shd w:fill="F4F3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E"/>
                <w:sz w:val="15"/>
                <w:szCs w:val="15"/>
              </w:rPr>
              <w:t xml:space="preserve">Change over time, per sub-topic</w:t>
            </w:r>
          </w:p>
        </w:tc>
      </w:tr>
      <w:tr>
        <w:tc>
          <w:tcPr>
            <w:tcW w:type="dxa" w:w="1800"/>
            <w:tcBorders>
              <w:top w:val="single" w:color="E6E4E0" w:sz="2"/>
              <w:left w:val="single" w:color="E6E4E0" w:sz="2"/>
              <w:bottom w:val="single" w:color="E6E4E0" w:sz="2"/>
              <w:right w:val="single" w:color="E6E4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5"/>
                <w:szCs w:val="15"/>
              </w:rPr>
              <w:t xml:space="preserve">Reasoning</w:t>
            </w:r>
          </w:p>
        </w:tc>
        <w:tc>
          <w:tcPr>
            <w:tcW w:type="dxa" w:w="3800"/>
            <w:tcBorders>
              <w:top w:val="single" w:color="E6E4E0" w:sz="2"/>
              <w:left w:val="single" w:color="E6E4E0" w:sz="2"/>
              <w:bottom w:val="single" w:color="E6E4E0" w:sz="2"/>
              <w:right w:val="single" w:color="E6E4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E"/>
                <w:sz w:val="15"/>
                <w:szCs w:val="15"/>
              </w:rPr>
              <w:t xml:space="preserve">None — static rubric</w:t>
            </w:r>
          </w:p>
        </w:tc>
        <w:tc>
          <w:tcPr>
            <w:tcW w:type="dxa" w:w="3750"/>
            <w:tcBorders>
              <w:top w:val="single" w:color="E6E4E0" w:sz="2"/>
              <w:left w:val="single" w:color="E6E4E0" w:sz="2"/>
              <w:bottom w:val="single" w:color="E6E4E0" w:sz="2"/>
              <w:right w:val="single" w:color="E6E4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E"/>
                <w:sz w:val="15"/>
                <w:szCs w:val="15"/>
              </w:rPr>
              <w:t xml:space="preserve">Visible, stated reasoning</w:t>
            </w:r>
          </w:p>
        </w:tc>
      </w:tr>
      <w:tr>
        <w:tc>
          <w:tcPr>
            <w:tcW w:type="dxa" w:w="1800"/>
            <w:tcBorders>
              <w:top w:val="single" w:color="E6E4E0" w:sz="2"/>
              <w:left w:val="single" w:color="E6E4E0" w:sz="2"/>
              <w:bottom w:val="single" w:color="E6E4E0" w:sz="2"/>
              <w:right w:val="single" w:color="E6E4E0" w:sz="2"/>
            </w:tcBorders>
            <w:shd w:fill="F4F3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5"/>
                <w:szCs w:val="15"/>
              </w:rPr>
              <w:t xml:space="preserve">Follow-through</w:t>
            </w:r>
          </w:p>
        </w:tc>
        <w:tc>
          <w:tcPr>
            <w:tcW w:type="dxa" w:w="3800"/>
            <w:tcBorders>
              <w:top w:val="single" w:color="E6E4E0" w:sz="2"/>
              <w:left w:val="single" w:color="E6E4E0" w:sz="2"/>
              <w:bottom w:val="single" w:color="E6E4E0" w:sz="2"/>
              <w:right w:val="single" w:color="E6E4E0" w:sz="2"/>
            </w:tcBorders>
            <w:shd w:fill="F4F3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E"/>
                <w:sz w:val="15"/>
                <w:szCs w:val="15"/>
              </w:rPr>
              <w:t xml:space="preserve">Ends at the score</w:t>
            </w:r>
          </w:p>
        </w:tc>
        <w:tc>
          <w:tcPr>
            <w:tcW w:type="dxa" w:w="3750"/>
            <w:tcBorders>
              <w:top w:val="single" w:color="E6E4E0" w:sz="2"/>
              <w:left w:val="single" w:color="E6E4E0" w:sz="2"/>
              <w:bottom w:val="single" w:color="E6E4E0" w:sz="2"/>
              <w:right w:val="single" w:color="E6E4E0" w:sz="2"/>
            </w:tcBorders>
            <w:shd w:fill="F4F3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E"/>
                <w:sz w:val="15"/>
                <w:szCs w:val="15"/>
              </w:rPr>
              <w:t xml:space="preserve">Recommends, re-tests, re-prioritizes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i/>
          <w:iCs/>
          <w:color w:val="6B6B6E"/>
          <w:sz w:val="16"/>
          <w:szCs w:val="16"/>
        </w:rPr>
        <w:t xml:space="preserve">Existing tools tell you how good you are right now, if you remember to ask. SDA decides what you're about to forget — before you think to check — and explains why.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C1440E"/>
          <w:sz w:val="20"/>
          <w:szCs w:val="20"/>
        </w:rPr>
        <w:t xml:space="preserve">What's Next (Roadmap)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C1C1E"/>
          <w:sz w:val="17"/>
          <w:szCs w:val="17"/>
        </w:rPr>
        <w:t xml:space="preserve">Usage-signal input — real-world signals (e.g. GitHub activity) feeding the decay model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C1C1E"/>
          <w:sz w:val="17"/>
          <w:szCs w:val="17"/>
        </w:rPr>
        <w:t xml:space="preserve">Dashboard visualization — skill tiles fading by freshness with sub-topic drill-down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C1C1E"/>
          <w:sz w:val="17"/>
          <w:szCs w:val="17"/>
        </w:rPr>
        <w:t xml:space="preserve">User-directed scheduling — manual override of cadence or priority alongside the agent's judgment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C1C1E"/>
          <w:sz w:val="17"/>
          <w:szCs w:val="17"/>
        </w:rPr>
        <w:t xml:space="preserve">Expanded resource recommendations — richer targeted material beyond a binary test-or-wait choice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2026-09-04T23:46:19.130Z</dcterms:created>
  <dcterms:modified xsi:type="dcterms:W3CDTF">2026-09-04T23:46:19.142Z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