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CLOSED-DOMAIN TECHNICAL DOCUMENTATION QUESTION ANSWERING USING ROBERTA</w:t>
      </w:r>
    </w:p>
    <w:p>
      <w:pPr>
        <w:pStyle w:val="Heading1"/>
      </w:pPr>
      <w:r>
        <w:t>Abstract</w:t>
      </w:r>
    </w:p>
    <w:p>
      <w:r>
        <w:t>Technical documentation often contains information that users must locate manually, making it difficult to obtain concise answers from lengthy material. This paper presents a prototype closed-domain question answering (QA) system that combines term-frequency–inverse-document-frequency (TF–IDF) passage retrieval with a pretrained RoBERTa extractive question answering model. The system ranks passages from a technical document, supplies a selected passage and user question to the QA model, and returns an extracted answer together with supporting evidence and confidence-related scores. A small demonstration was evaluated using four manually prepared questions. The saved notebook reports an exact-match score of 0.25 and a mean token F1 score of 0.609 on this small set. A separate, limited fine-tuning experiment used 100 SQuAD 2.0 training examples and 30 validation examples for one epoch; the recorded evaluation loss was approximately 0.717. These results demonstrate implementation feasibility rather than generalizable benchmark performance. The paper describes the architecture, experiment, limitations, and improvements required for a more rigorous evaluation.</w:t>
      </w:r>
    </w:p>
    <w:p>
      <w:pPr>
        <w:jc w:val="both"/>
      </w:pPr>
      <w:r>
        <w:rPr>
          <w:b/>
        </w:rPr>
        <w:t>Index Terms—</w:t>
      </w:r>
      <w:r>
        <w:t>Question answering, RoBERTa, Transformer, TF–IDF, information retrieval, SQuAD 2.0, natural language processing.</w:t>
      </w:r>
    </w:p>
    <w:p>
      <w:pPr>
        <w:sectPr>
          <w:pgSz w:w="12240" w:h="15840"/>
          <w:pgMar w:top="936" w:right="936" w:bottom="936" w:left="936" w:header="720" w:footer="720" w:gutter="0"/>
          <w:cols w:space="720"/>
          <w:docGrid w:linePitch="360"/>
        </w:sectPr>
      </w:pPr>
    </w:p>
    <w:p>
      <w:pPr>
        <w:pStyle w:val="Heading1"/>
      </w:pPr>
      <w:r>
        <w:t>I. INTRODUCTION</w:t>
      </w:r>
    </w:p>
    <w:p>
      <w:r>
        <w:t>Technical manuals, developer guides, and institutional documentation can be long and difficult to search manually. Keyword search can locate documents containing query terms, but it does not directly identify an answer span. A closed-domain QA system addresses this problem by restricting answers to a supplied collection of documents and returning the passage that supports the answer.</w:t>
      </w:r>
    </w:p>
    <w:p>
      <w:r>
        <w:t>This project implements a lightweight retrieval-plus-reading pipeline. TF–IDF is used to rank candidate passages, and a pretrained RoBERTa model fine-tuned for extractive QA predicts the answer span from a selected passage. The prototype also records evaluation metrics and includes a small fine-tuning experiment using SQuAD 2.0.</w:t>
      </w:r>
    </w:p>
    <w:p>
      <w:pPr>
        <w:pStyle w:val="Heading1"/>
      </w:pPr>
      <w:r>
        <w:t>II. RELATED WORK</w:t>
      </w:r>
    </w:p>
    <w:p>
      <w:r>
        <w:t>The Transformer architecture introduced attention-based sequence modeling and removed the need for recurrence in the core architecture [1]. RoBERTa revisited BERT pretraining choices and reported improvements through changes such as more training data, larger batches, and dynamic masking [2]. These pretrained representations can be adapted to downstream language understanding tasks, including extractive question answering.</w:t>
      </w:r>
    </w:p>
    <w:p>
      <w:r>
        <w:t>SQuAD 2.0 extends reading comprehension evaluation with questions that may be unanswerable from the supplied paragraph, requiring systems to abstain when evidence is insufficient [3]. TF–IDF is a standard information-retrieval representation that weights terms by their frequency within a document and rarity across a collection [4]. In this project, TF–IDF handles passage selection while RoBERTa performs answer extraction.</w:t>
      </w:r>
    </w:p>
    <w:p>
      <w:pPr>
        <w:pStyle w:val="Heading1"/>
      </w:pPr>
      <w:r>
        <w:t>III. SYSTEM ARCHITECTURE</w:t>
      </w:r>
    </w:p>
    <w:p>
      <w:r>
        <w:t>The prototype consists of five stages: (1) document preparation, (2) passage segmentation, (3) TF–IDF indexing, (4) passage retrieval, and (5) extractive answer prediction. The current notebook includes a built-in sample technical document. The codebase also imports PDF-processing support, but a fully integrated and tested PDF upload workflow should be treated as future work unless verified separately.</w:t>
      </w:r>
    </w:p>
    <w:p>
      <w:r>
        <w:t>During indexing, the document is split into text chunks and represented as TF–IDF vectors. For a user query, cosine similarity ranks passages, and the top candidate passages are passed to the QA pipeline. The RoBERTa model predicts start and end token positions for an answer span. The interface returns the answer and the supporting passage, allowing the user to inspect evidence rather than relying on an unsupported free-form response.</w:t>
      </w:r>
    </w:p>
    <w:p>
      <w:r>
        <w:t>The prototype uses the model checkpoint deepset/roberta-base-squad2. Because this is an extractive QA model, it selects text from the provided context rather than generating an unconstrained explanation. Retrieval errors or missing evidence can still lead to incorrect answers.</w:t>
      </w:r>
    </w:p>
    <w:p>
      <w:pPr>
        <w:pStyle w:val="Heading1"/>
      </w:pPr>
      <w:r>
        <w:t>IV. METHODOLOGY</w:t>
      </w:r>
    </w:p>
    <w:p>
      <w:r>
        <w:t>A. Document and Retrieval: A built-in technical text covering GANs, Transformers, RoBERTa, TF–IDF, and extractive QA is segmented into passages. TfidfVectorizer converts passages and questions into sparse vectors. Cosine similarity is used to rank passages, and a small set of top-ranked candidates is examined by the QA model.</w:t>
      </w:r>
    </w:p>
    <w:p>
      <w:r>
        <w:t>B. Answer Extraction: The question and candidate passage are tokenized using the RoBERTa tokenizer. The model predicts start and end logits over input tokens; the selected span is decoded as the answer. The application displays the selected passage as evidence. The model score is not a calibrated probability of factual correctness and should not be interpreted as one.</w:t>
      </w:r>
    </w:p>
    <w:p>
      <w:r>
        <w:t>C. Evaluation: Four manually prepared question-reference pairs are used for a demonstration. Exact Match (EM) is the proportion of predictions whose normalized text exactly equals the normalized reference. Token F1 measures overlap between predicted and reference tokens using precision and recall. Because the set is small and manually authored, it is suitable only for a prototype check and not for a reliable performance claim.</w:t>
      </w:r>
    </w:p>
    <w:p>
      <w:r>
        <w:t>D. Fine-Tuning: The notebook loads SQuAD 2.0 and selects 100 training examples and 30 validation examples, then runs one epoch of fine-tuning. This subset is intentionally small for a practical demonstration and is not a representative training protocol. Training and evaluation losses are logged by the Trainer; the saved evaluation loss is approximately 0.7168.</w:t>
      </w:r>
    </w:p>
    <w:p>
      <w:pPr>
        <w:pStyle w:val="Heading1"/>
      </w:pPr>
      <w:r>
        <w:t>V. EXPERIMENTAL RESULTS</w:t>
      </w:r>
    </w:p>
    <w:p>
      <w:r>
        <w:t>The saved notebook reports an Exact Match score of 0.25 and a mean token F1 score of 0.609 over four manually prepared questions. Thus, one of the four predictions matched its reference exactly, while partial token overlap was higher on average. This gap indicates that some answers captured relevant terms without matching the reference string exactly.</w:t>
      </w:r>
    </w:p>
    <w:p>
      <w:r>
        <w:t>The fine-tuning run recorded an evaluation loss of approximately 0.7168 after one epoch on the small validation subset. This value should be reported with the subset size and training setup; it cannot be compared directly with published SQuAD results. The notebook also generates a retrieval-similarity visualization and evaluation charts. The paper should include the actual exported figures from the executed notebook rather than recreated or estimated plots.</w:t>
      </w:r>
    </w:p>
    <w:p>
      <w:r>
        <w:t>Table I summarizes the recorded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sz w:val="16"/>
              </w:rPr>
              <w:t>Metric</w:t>
            </w:r>
          </w:p>
        </w:tc>
        <w:tc>
          <w:tcPr>
            <w:tcW w:type="dxa" w:w="3456"/>
            <w:vAlign w:val="center"/>
          </w:tcPr>
          <w:p>
            <w:r>
              <w:rPr>
                <w:rFonts w:ascii="Times New Roman" w:hAnsi="Times New Roman"/>
                <w:sz w:val="16"/>
              </w:rPr>
              <w:t>Observed value</w:t>
            </w:r>
          </w:p>
        </w:tc>
        <w:tc>
          <w:tcPr>
            <w:tcW w:type="dxa" w:w="3456"/>
            <w:vAlign w:val="center"/>
          </w:tcPr>
          <w:p>
            <w:r>
              <w:rPr>
                <w:rFonts w:ascii="Times New Roman" w:hAnsi="Times New Roman"/>
                <w:sz w:val="16"/>
              </w:rPr>
              <w:t>Evaluation scope</w:t>
            </w:r>
          </w:p>
        </w:tc>
      </w:tr>
      <w:tr>
        <w:tc>
          <w:tcPr>
            <w:tcW w:type="dxa" w:w="3456"/>
            <w:vAlign w:val="center"/>
          </w:tcPr>
          <w:p>
            <w:r>
              <w:rPr>
                <w:rFonts w:ascii="Times New Roman" w:hAnsi="Times New Roman"/>
                <w:sz w:val="16"/>
              </w:rPr>
              <w:t>Exact Match</w:t>
            </w:r>
          </w:p>
        </w:tc>
        <w:tc>
          <w:tcPr>
            <w:tcW w:type="dxa" w:w="3456"/>
            <w:vAlign w:val="center"/>
          </w:tcPr>
          <w:p>
            <w:r>
              <w:rPr>
                <w:rFonts w:ascii="Times New Roman" w:hAnsi="Times New Roman"/>
                <w:sz w:val="16"/>
              </w:rPr>
              <w:t>0.25 (25%)</w:t>
            </w:r>
          </w:p>
        </w:tc>
        <w:tc>
          <w:tcPr>
            <w:tcW w:type="dxa" w:w="3456"/>
            <w:vAlign w:val="center"/>
          </w:tcPr>
          <w:p>
            <w:r>
              <w:rPr>
                <w:rFonts w:ascii="Times New Roman" w:hAnsi="Times New Roman"/>
                <w:sz w:val="16"/>
              </w:rPr>
              <w:t>4 manual examples</w:t>
            </w:r>
          </w:p>
        </w:tc>
      </w:tr>
      <w:tr>
        <w:tc>
          <w:tcPr>
            <w:tcW w:type="dxa" w:w="3456"/>
            <w:vAlign w:val="center"/>
          </w:tcPr>
          <w:p>
            <w:r>
              <w:rPr>
                <w:rFonts w:ascii="Times New Roman" w:hAnsi="Times New Roman"/>
                <w:sz w:val="16"/>
              </w:rPr>
              <w:t>Token F1</w:t>
            </w:r>
          </w:p>
        </w:tc>
        <w:tc>
          <w:tcPr>
            <w:tcW w:type="dxa" w:w="3456"/>
            <w:vAlign w:val="center"/>
          </w:tcPr>
          <w:p>
            <w:r>
              <w:rPr>
                <w:rFonts w:ascii="Times New Roman" w:hAnsi="Times New Roman"/>
                <w:sz w:val="16"/>
              </w:rPr>
              <w:t>0.609 (60.9%)</w:t>
            </w:r>
          </w:p>
        </w:tc>
        <w:tc>
          <w:tcPr>
            <w:tcW w:type="dxa" w:w="3456"/>
            <w:vAlign w:val="center"/>
          </w:tcPr>
          <w:p>
            <w:r>
              <w:rPr>
                <w:rFonts w:ascii="Times New Roman" w:hAnsi="Times New Roman"/>
                <w:sz w:val="16"/>
              </w:rPr>
              <w:t>4 manual examples</w:t>
            </w:r>
          </w:p>
        </w:tc>
      </w:tr>
      <w:tr>
        <w:tc>
          <w:tcPr>
            <w:tcW w:type="dxa" w:w="3456"/>
            <w:vAlign w:val="center"/>
          </w:tcPr>
          <w:p>
            <w:r>
              <w:rPr>
                <w:rFonts w:ascii="Times New Roman" w:hAnsi="Times New Roman"/>
                <w:sz w:val="16"/>
              </w:rPr>
              <w:t>Evaluation loss</w:t>
            </w:r>
          </w:p>
        </w:tc>
        <w:tc>
          <w:tcPr>
            <w:tcW w:type="dxa" w:w="3456"/>
            <w:vAlign w:val="center"/>
          </w:tcPr>
          <w:p>
            <w:r>
              <w:rPr>
                <w:rFonts w:ascii="Times New Roman" w:hAnsi="Times New Roman"/>
                <w:sz w:val="16"/>
              </w:rPr>
              <w:t>0.7168</w:t>
            </w:r>
          </w:p>
        </w:tc>
        <w:tc>
          <w:tcPr>
            <w:tcW w:type="dxa" w:w="3456"/>
            <w:vAlign w:val="center"/>
          </w:tcPr>
          <w:p>
            <w:r>
              <w:rPr>
                <w:rFonts w:ascii="Times New Roman" w:hAnsi="Times New Roman"/>
                <w:sz w:val="16"/>
              </w:rPr>
              <w:t>30 SQuAD 2.0 validation examples; 1 epoch</w:t>
            </w:r>
          </w:p>
        </w:tc>
      </w:tr>
    </w:tbl>
    <w:p>
      <w:pPr>
        <w:pStyle w:val="Heading1"/>
      </w:pPr>
      <w:r>
        <w:t>VI. DISCUSSION AND LIMITATIONS</w:t>
      </w:r>
    </w:p>
    <w:p>
      <w:r>
        <w:t>The results show that a pretrained extractive QA model can be connected to a lightweight retrieval stage and exposed through a simple interactive interface. However, the current evaluation is very small, and a score calculated from four questions is highly sensitive to the choice and wording of reference answers. The observed results do not establish robust accuracy across technical documents.</w:t>
      </w:r>
    </w:p>
    <w:p>
      <w:r>
        <w:t>Other limitations include the small fine-tuning subset, one-epoch training budget, lack of a full benchmark comparison, and potential mismatch between the retrieved passage and the evidence needed to answer a question. The model score is not calibrated confidence. PDF extraction, chunking, retrieval quality, and answer abstention should be tested on a larger collection of real documents. All results should be regenerated if the code, model, or data split changes.</w:t>
      </w:r>
    </w:p>
    <w:p>
      <w:pPr>
        <w:pStyle w:val="Heading1"/>
      </w:pPr>
      <w:r>
        <w:t>VII. CONCLUSION AND FUTURE WORK</w:t>
      </w:r>
    </w:p>
    <w:p>
      <w:r>
        <w:t>This paper described a closed-domain technical documentation QA prototype using TF–IDF retrieval and RoBERTa extractive answer prediction. The saved experiment produced an Exact Match score of 0.25, token F1 of 0.609 on four manually prepared examples, and an evaluation loss of approximately 0.7168 on a small SQuAD 2.0 validation subset. These values are preliminary and should not be interpreted as general benchmark results.</w:t>
      </w:r>
    </w:p>
    <w:p>
      <w:r>
        <w:t>Future work includes implementing and testing PDF upload end to end, expanding the evaluation set, reporting standard SQuAD metrics, tuning retrieval chunk size and top-k selection, evaluating answer abstention, comparing retrieval strategies, and testing the system on real technical documentation. Reproducibility can be improved by recording package versions, random seeds, hardware, training time, and the exact model checkpoint.</w:t>
      </w:r>
    </w:p>
    <w:p>
      <w:pPr>
        <w:pStyle w:val="Heading1"/>
      </w:pPr>
      <w:r>
        <w:t>REFERENCES</w:t>
      </w:r>
    </w:p>
    <w:p>
      <w:pPr>
        <w:ind w:left="173" w:hanging="173"/>
      </w:pPr>
      <w:r>
        <w:t>[1] A. Vaswani et al., “Attention Is All You Need,” in Advances in Neural Information Processing Systems, vol. 30, 2017. [Online]. Available: https://arxiv.org/abs/1706.03762</w:t>
      </w:r>
    </w:p>
    <w:p>
      <w:pPr>
        <w:ind w:left="173" w:hanging="173"/>
      </w:pPr>
      <w:r>
        <w:t>[2] Y. Liu et al., “RoBERTa: A Robustly Optimized BERT Pretraining Approach,” arXiv:1907.11692, 2019. [Online]. Available: https://arxiv.org/abs/1907.11692</w:t>
      </w:r>
    </w:p>
    <w:p>
      <w:pPr>
        <w:ind w:left="173" w:hanging="173"/>
      </w:pPr>
      <w:r>
        <w:t>[3] P. Rajpurkar, R. Jia, and P. Liang, “Know What You Don’t Know: Unanswerable Questions for SQuAD,” in Proc. 56th Annual Meeting of the Association for Computational Linguistics, 2018. [Online]. Available: https://arxiv.org/abs/1806.03822</w:t>
      </w:r>
    </w:p>
    <w:p>
      <w:pPr>
        <w:ind w:left="173" w:hanging="173"/>
      </w:pPr>
      <w:r>
        <w:t>[4] scikit-learn developers, “Feature Extraction: Text Feature Extraction and TF–IDF,” scikit-learn documentation. [Online]. Available: https://scikit-learn.org/stable/modules/feature_extraction.html</w:t>
      </w:r>
    </w:p>
    <w:p>
      <w:pPr>
        <w:ind w:left="173" w:hanging="173"/>
      </w:pPr>
      <w:r>
        <w:t>[5] deepset, “roberta-base-squad2,” Hugging Face model repository. [Online]. Available: https://huggingface.co/deepset/roberta-base-squad2</w:t>
      </w:r>
    </w:p>
    <w:p/>
    <w:p>
      <w:r>
        <w:rPr>
          <w:b/>
        </w:rPr>
        <w:t>AUTHOR CHECKLIST BEFORE SUBMISSION</w:t>
      </w:r>
    </w:p>
    <w:p>
      <w:pPr>
        <w:pStyle w:val="ListBullet"/>
      </w:pPr>
      <w:r>
        <w:t>Replace [Institution Name] and [Your email address].</w:t>
      </w:r>
    </w:p>
    <w:p>
      <w:pPr>
        <w:pStyle w:val="ListBullet"/>
      </w:pPr>
      <w:r>
        <w:t>Confirm the recorded metrics still match the final notebook outputs.</w:t>
      </w:r>
    </w:p>
    <w:p>
      <w:pPr>
        <w:pStyle w:val="ListBullet"/>
      </w:pPr>
      <w:r>
        <w:t>Insert exported figures from the notebook and refer to them in the text if required by the instructor.</w:t>
      </w:r>
    </w:p>
    <w:p>
      <w:pPr>
        <w:pStyle w:val="ListBullet"/>
      </w:pPr>
      <w:r>
        <w:t>Confirm the final IEEE template requirements from your instructor; this is an IEEE-style editable draft, not an official IEEE publication template.</w:t>
      </w:r>
    </w:p>
    <w:p>
      <w:pPr>
        <w:pStyle w:val="ListBullet"/>
      </w:pPr>
      <w:r>
        <w:t>Do not claim the PDF upload workflow is complete unless it has been implemented and tested.</w:t>
      </w:r>
    </w:p>
    <w:sectPr w:rsidR="00FC693F" w:rsidRPr="0006063C" w:rsidSect="00034616">
      <w:type w:val="continuous"/>
      <w:pgSz w:w="12240" w:h="15840"/>
      <w:pgMar w:top="936" w:right="936" w:bottom="936"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