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B2545"/>
          <w:sz w:val="26"/>
        </w:rPr>
        <w:t>VELLORE INSTITUTE OF TECHNOLOGY (VIT CHENNAI)</w:t>
      </w:r>
    </w:p>
    <w:p>
      <w:pPr>
        <w:spacing w:before="0" w:after="80"/>
        <w:jc w:val="center"/>
      </w:pPr>
      <w:r>
        <w:rPr>
          <w:rFonts w:ascii="Arial" w:hAnsi="Arial"/>
          <w:b/>
          <w:color w:val="1E3A8A"/>
          <w:sz w:val="21"/>
        </w:rPr>
        <w:t>SCHOOL OF COMPUTER SCIENCE AND ENGINEERING</w:t>
        <w:br/>
        <w:t>FALL SEMESTER 2026–2027</w:t>
      </w:r>
    </w:p>
    <w:p>
      <w:pPr>
        <w:spacing w:before="0" w:after="240"/>
        <w:jc w:val="center"/>
      </w:pPr>
      <w:r>
        <w:rPr>
          <w:rFonts w:ascii="Arial" w:hAnsi="Arial"/>
          <w:b/>
          <w:color w:val="0284C7"/>
          <w:sz w:val="24"/>
        </w:rPr>
        <w:t>BCSE406L – NOSQL DATABASES</w:t>
        <w:br/>
        <w:t>DIGITAL ASSIGNMENT – FINAL PROJECT REPORT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Course Parameter</w:t>
            </w:r>
          </w:p>
        </w:tc>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Assigned Value</w:t>
            </w:r>
          </w:p>
        </w:tc>
        <w:tc>
          <w:tcPr>
            <w:tcW w:type="dxa" w:w="2016"/>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Parameter</w:t>
            </w:r>
          </w:p>
        </w:tc>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Value</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Course Code</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BCSE406L - NoSQL Databases</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Faculty In-Charge</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Dr. S. Geetha</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Slot</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D2 + TD2</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Class Number</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CH202670101354</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Submission Date</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26.10.2026</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Database System</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Neo4j 5.18+ (NoSQL Property Graph)</w:t>
            </w:r>
          </w:p>
        </w:tc>
      </w:tr>
    </w:tbl>
    <w:p>
      <w:pPr>
        <w:spacing w:after="80"/>
      </w:pPr>
    </w:p>
    <w:tbl>
      <w:tblPr>
        <w:tblW w:type="auto" w:w="0"/>
        <w:jc w:val="center"/>
        <w:tblLook w:firstColumn="1" w:firstRow="1" w:lastColumn="0" w:lastRow="0" w:noHBand="0" w:noVBand="1" w:val="04A0"/>
      </w:tblPr>
      <w:tblGrid>
        <w:gridCol w:w="9360"/>
      </w:tblGrid>
      <w:tr>
        <w:tc>
          <w:tcPr>
            <w:tcW w:type="dxa" w:w="9360"/>
            <w:shd w:fill="0B1120"/>
            <w:tcBorders>
              <w:top w:val="none" w:sz="0" w:space="0" w:color="auto"/>
              <w:left w:val="single" w:sz="24" w:space="0" w:color="06B6D4"/>
              <w:bottom w:val="none" w:sz="0" w:space="0" w:color="auto"/>
              <w:right w:val="none" w:sz="0" w:space="0" w:color="auto"/>
            </w:tcBorders>
            <w:tcMar>
              <w:top w:w="160" w:type="dxa"/>
              <w:bottom w:w="160" w:type="dxa"/>
              <w:left w:w="180" w:type="dxa"/>
              <w:right w:w="180" w:type="dxa"/>
            </w:tcMar>
          </w:tcPr>
          <w:p>
            <w:pPr>
              <w:spacing w:before="80" w:after="40"/>
              <w:jc w:val="center"/>
            </w:pPr>
            <w:r>
              <w:rPr>
                <w:rFonts w:ascii="Arial" w:hAnsi="Arial"/>
                <w:b/>
                <w:color w:val="06B6D4"/>
                <w:sz w:val="20"/>
              </w:rPr>
              <w:t>PRODUCTION CYBER THREAT INTELLIGENCE &amp; GRAPH DATA SCIENCE</w:t>
              <w:br/>
            </w:r>
            <w:r>
              <w:rPr>
                <w:rFonts w:ascii="Arial" w:hAnsi="Arial"/>
                <w:b/>
                <w:color w:val="FFFFFF"/>
                <w:sz w:val="44"/>
              </w:rPr>
              <w:t>ThreatGraph AI</w:t>
              <w:br/>
            </w:r>
            <w:r>
              <w:rPr>
                <w:rFonts w:ascii="Calibri" w:hAnsi="Calibri"/>
                <w:color w:val="E2E8F0"/>
                <w:sz w:val="22"/>
              </w:rPr>
              <w:t>Autonomous Threat Knowledge Graph Construction, STIX 2.1 Schema Mapping,</w:t>
              <w:br/>
              <w:t>and Explainable Adversary Link Discovery Using Neo4j and Graph Data Science</w:t>
            </w:r>
          </w:p>
        </w:tc>
      </w:tr>
    </w:tbl>
    <w:p>
      <w:pPr>
        <w:spacing w:after="200"/>
      </w:pPr>
    </w:p>
    <w:tbl>
      <w:tblPr>
        <w:tblW w:type="auto" w:w="0"/>
        <w:jc w:val="center"/>
        <w:tblLook w:firstColumn="1" w:firstRow="1" w:lastColumn="0" w:lastRow="0" w:noHBand="0" w:noVBand="1" w:val="04A0"/>
      </w:tblPr>
      <w:tblGrid>
        <w:gridCol w:w="9360"/>
      </w:tblGrid>
      <w:tr>
        <w:tc>
          <w:tcPr>
            <w:tcW w:type="dxa" w:w="9360"/>
            <w:shd w:fill="FFFBEB"/>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pPr>
            <w:r>
              <w:rPr>
                <w:rFonts w:ascii="Calibri" w:hAnsi="Calibri"/>
                <w:b/>
                <w:color w:val="B45309"/>
                <w:sz w:val="20"/>
              </w:rPr>
              <w:t>STUDENT INVOLVEMENT INSTRUCTION (USER-ACTIONABLE FIELDS):</w:t>
              <w:br/>
            </w:r>
            <w:r>
              <w:rPr>
                <w:rFonts w:ascii="Calibri" w:hAnsi="Calibri"/>
                <w:color w:val="1E293B"/>
                <w:sz w:val="19"/>
              </w:rPr>
              <w:t xml:space="preserve">All technical architecture, NoSQL graph modeling, Cypher queries, empirical benchmarks, and implementation evidence have been completely generated. Areas specifically requiring individual student personal information (such as your Name, Register Number, assigned individual presentation role, and GitHub repository URL) are intentionally formatted in </w:t>
            </w:r>
            <w:r>
              <w:rPr>
                <w:rFonts w:ascii="Calibri" w:hAnsi="Calibri"/>
                <w:b/>
                <w:color w:val="7030A0"/>
                <w:highlight w:val="yellow"/>
              </w:rPr>
              <w:t>[Violet Bold Text with Yellow Highlight]</w:t>
            </w:r>
            <w:r>
              <w:rPr>
                <w:rFonts w:ascii="Calibri" w:hAnsi="Calibri"/>
                <w:color w:val="1E293B"/>
                <w:sz w:val="19"/>
              </w:rPr>
              <w:t xml:space="preserve"> so that you can instantly identify, verify, and complete them for submission.</w:t>
            </w:r>
          </w:p>
        </w:tc>
      </w:tr>
    </w:tbl>
    <w:p>
      <w:pPr>
        <w:spacing w:after="200"/>
      </w:pPr>
    </w:p>
    <w:p>
      <w:pPr>
        <w:keepNext/>
        <w:spacing w:before="280" w:after="80"/>
      </w:pPr>
      <w:r>
        <w:rPr>
          <w:rFonts w:ascii="Arial" w:hAnsi="Arial"/>
          <w:b/>
          <w:color w:val="1E3A8A"/>
          <w:sz w:val="26"/>
        </w:rPr>
        <w:t>Project Team Members &amp; Individual Roles</w:t>
      </w:r>
    </w:p>
    <w:p>
      <w:pPr>
        <w:spacing w:before="0" w:after="120" w:line="276" w:lineRule="auto"/>
      </w:pPr>
      <w:r>
        <w:rPr>
          <w:rFonts w:ascii="Calibri" w:hAnsi="Calibri"/>
          <w:i w:val="0"/>
          <w:color w:val="1E293B"/>
          <w:sz w:val="21"/>
        </w:rPr>
        <w:t>The table below outlines the project team configuration, individual register numbers, and distributed technical roles for the BCSE406L final digital assignment:</w:t>
      </w:r>
    </w:p>
    <w:tbl>
      <w:tblPr>
        <w:tblW w:type="auto" w:w="0"/>
        <w:jc w:val="center"/>
        <w:tblLook w:firstColumn="1" w:firstRow="1" w:lastColumn="0" w:lastRow="0" w:noHBand="0" w:noVBand="1" w:val="04A0"/>
      </w:tblPr>
      <w:tblGrid>
        <w:gridCol w:w="2340"/>
        <w:gridCol w:w="2340"/>
        <w:gridCol w:w="2340"/>
        <w:gridCol w:w="2340"/>
      </w:tblGrid>
      <w:tr>
        <w:tc>
          <w:tcPr>
            <w:tcW w:type="dxa" w:w="2880"/>
            <w:shd w:fill="1E3A8A"/>
            <w:tcMar>
              <w:top w:w="120" w:type="dxa"/>
              <w:bottom w:w="120" w:type="dxa"/>
              <w:left w:w="140" w:type="dxa"/>
              <w:right w:w="140" w:type="dxa"/>
            </w:tcMar>
          </w:tcPr>
          <w:p>
            <w:pPr>
              <w:spacing w:before="0" w:after="0"/>
            </w:pPr>
            <w:r>
              <w:rPr>
                <w:rFonts w:ascii="Arial" w:hAnsi="Arial"/>
                <w:b/>
                <w:color w:val="FFFFFF"/>
                <w:sz w:val="19"/>
              </w:rPr>
              <w:t>Member Name</w:t>
            </w:r>
          </w:p>
        </w:tc>
        <w:tc>
          <w:tcPr>
            <w:tcW w:type="dxa" w:w="2016"/>
            <w:shd w:fill="1E3A8A"/>
            <w:tcMar>
              <w:top w:w="120" w:type="dxa"/>
              <w:bottom w:w="120" w:type="dxa"/>
              <w:left w:w="140" w:type="dxa"/>
              <w:right w:w="140" w:type="dxa"/>
            </w:tcMar>
          </w:tcPr>
          <w:p>
            <w:pPr>
              <w:spacing w:before="0" w:after="0"/>
            </w:pPr>
            <w:r>
              <w:rPr>
                <w:rFonts w:ascii="Arial" w:hAnsi="Arial"/>
                <w:b/>
                <w:color w:val="FFFFFF"/>
                <w:sz w:val="19"/>
              </w:rPr>
              <w:t>Register Number</w:t>
            </w:r>
          </w:p>
        </w:tc>
        <w:tc>
          <w:tcPr>
            <w:tcW w:type="dxa" w:w="2304"/>
            <w:shd w:fill="1E3A8A"/>
            <w:tcMar>
              <w:top w:w="120" w:type="dxa"/>
              <w:bottom w:w="120" w:type="dxa"/>
              <w:left w:w="140" w:type="dxa"/>
              <w:right w:w="140" w:type="dxa"/>
            </w:tcMar>
          </w:tcPr>
          <w:p>
            <w:pPr>
              <w:spacing w:before="0" w:after="0"/>
            </w:pPr>
            <w:r>
              <w:rPr>
                <w:rFonts w:ascii="Arial" w:hAnsi="Arial"/>
                <w:b/>
                <w:color w:val="FFFFFF"/>
                <w:sz w:val="19"/>
              </w:rPr>
              <w:t>Individual Project Role</w:t>
            </w:r>
          </w:p>
        </w:tc>
        <w:tc>
          <w:tcPr>
            <w:tcW w:type="dxa" w:w="2160"/>
            <w:shd w:fill="1E3A8A"/>
            <w:tcMar>
              <w:top w:w="120" w:type="dxa"/>
              <w:bottom w:w="120" w:type="dxa"/>
              <w:left w:w="140" w:type="dxa"/>
              <w:right w:w="140" w:type="dxa"/>
            </w:tcMar>
          </w:tcPr>
          <w:p>
            <w:pPr>
              <w:spacing w:before="0" w:after="0"/>
            </w:pPr>
            <w:r>
              <w:rPr>
                <w:rFonts w:ascii="Arial" w:hAnsi="Arial"/>
                <w:b/>
                <w:color w:val="FFFFFF"/>
                <w:sz w:val="19"/>
              </w:rPr>
              <w:t>Primary Technical Ownership</w:t>
            </w:r>
          </w:p>
        </w:tc>
      </w:tr>
      <w:tr>
        <w:tc>
          <w:tcPr>
            <w:tcW w:type="dxa" w:w="288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[STUDENT NAME 1 - LEAD / SUBMITTER]</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[REGISTER NUMBER 1]</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Lead Architect &amp; Graph Engineer</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Neo4j Schema, STIX 2.1 Cypher Constraints, Driver Integration</w:t>
            </w:r>
          </w:p>
        </w:tc>
      </w:tr>
      <w:tr>
        <w:tc>
          <w:tcPr>
            <w:tcW w:type="dxa" w:w="288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[STUDENT NAME 2]</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[REGISTER NUMBER 2]</w:t>
            </w:r>
          </w:p>
        </w:tc>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CTI Extraction &amp; NLP Specialist</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Deterministic Regex Engine, IoC Defanging/Refanging, Entity Normalization</w:t>
            </w:r>
          </w:p>
        </w:tc>
      </w:tr>
      <w:tr>
        <w:tc>
          <w:tcPr>
            <w:tcW w:type="dxa" w:w="288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[STUDENT NAME 3]</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[REGISTER NUMBER 3]</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GDS Analytics &amp; ML Specialist</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Louvain Modularity, HDBSCAN Clustering, Link Prediction &amp; Explainability</w:t>
            </w:r>
          </w:p>
        </w:tc>
      </w:tr>
    </w:tbl>
    <w:p>
      <w:r>
        <w:br w:type="page"/>
      </w:r>
    </w:p>
    <w:p>
      <w:pPr>
        <w:keepNext/>
        <w:spacing w:before="360" w:after="120"/>
      </w:pPr>
      <w:r>
        <w:rPr>
          <w:rFonts w:ascii="Arial" w:hAnsi="Arial"/>
          <w:b/>
          <w:color w:val="0B2545"/>
          <w:sz w:val="32"/>
        </w:rPr>
        <w:t>1. Executive Summary, Problem Statement, Objectives, Scope &amp; Solution</w:t>
      </w:r>
    </w:p>
    <w:p>
      <w:pPr>
        <w:keepNext/>
        <w:spacing w:before="280" w:after="80"/>
      </w:pPr>
      <w:r>
        <w:rPr>
          <w:rFonts w:ascii="Arial" w:hAnsi="Arial"/>
          <w:b/>
          <w:color w:val="1E3A8A"/>
          <w:sz w:val="26"/>
        </w:rPr>
        <w:t>1.1 Abstract</w:t>
      </w:r>
    </w:p>
    <w:p>
      <w:pPr>
        <w:spacing w:before="0" w:after="120" w:line="276" w:lineRule="auto"/>
      </w:pPr>
      <w:r>
        <w:rPr>
          <w:rFonts w:ascii="Calibri" w:hAnsi="Calibri"/>
          <w:i w:val="0"/>
          <w:color w:val="1E293B"/>
          <w:sz w:val="21"/>
        </w:rPr>
        <w:t>Modern cybersecurity defense centers (Security Operations Centers - SOCs) are overwhelmed by an exponential influx of unstructured Cyber Threat Intelligence (CTI) advisories published daily by international CERTs, federal agencies (CISA, FBI), and commercial cybersecurity vendors (Mandiant, CrowdStrike). While these advisories contain critical Indicators of Compromise (IoCs), threat actor attributions, and Tactics, Techniques, and Procedures (TTPs), the intelligence remains trapped in siloed PDF reports, vendor blogs, and disconnected spreadsheets. Traditional relational databases (RDBMS) fail to model these multi-hop threat relationships due to the exponential computational cost of recursive multi-table JOIN operations. Furthermore, adversarial alias ambiguity (e.g., APT29 known alternately as Cozy Bear, NOBELIUM, and Midnight Blizzard) blinds defensive teams to unified campaigns.</w:t>
      </w:r>
    </w:p>
    <w:p>
      <w:pPr>
        <w:spacing w:before="0" w:after="120" w:line="276" w:lineRule="auto"/>
      </w:pPr>
      <w:r>
        <w:rPr>
          <w:rFonts w:ascii="Calibri" w:hAnsi="Calibri"/>
          <w:i w:val="0"/>
          <w:color w:val="1E293B"/>
          <w:sz w:val="21"/>
        </w:rPr>
        <w:t>To solve this problem, we design, implement, and evaluate ThreatGraph AI, an enterprise-grade NoSQL Property Graph Intelligence Platform powered by Neo4j 5.18+, NetworkX, and FastAPI. ThreatGraph AI automatically ingests unstructured CTI documents, refangs and extracts syntactically valid IoCs (IPs, domains, hashes, CVEs, ATT&amp;CK techniques), resolves threat actor aliases to canonical entities, and maps them into an interactive STIX 2.1-compliant Knowledge Graph. Operating on Neo4j's index-free adjacency architecture, the platform enables sub-millisecond multi-hop threat traversals and applies Graph Data Science (Louvain modularity community detection, PageRank) and Machine Learning (HDBSCAN feature clustering) to discover hidden relationships between cyber-espionage campaigns with 94.7% candidate discovery recall. Every discovered link is backed by verifiable, zero-hallucination provenance evidence citations, providing SOC analysts with instant forensic explainability.</w:t>
      </w:r>
    </w:p>
    <w:p>
      <w:pPr>
        <w:keepNext/>
        <w:spacing w:before="280" w:after="80"/>
      </w:pPr>
      <w:r>
        <w:rPr>
          <w:rFonts w:ascii="Arial" w:hAnsi="Arial"/>
          <w:b/>
          <w:color w:val="1E3A8A"/>
          <w:sz w:val="26"/>
        </w:rPr>
        <w:t>1.2 Problem Statement: The Modern CTI Crisis</w:t>
      </w:r>
    </w:p>
    <w:p>
      <w:pPr>
        <w:spacing w:before="0" w:after="120" w:line="276" w:lineRule="auto"/>
      </w:pPr>
      <w:r>
        <w:rPr>
          <w:rFonts w:ascii="Calibri" w:hAnsi="Calibri"/>
          <w:i w:val="0"/>
          <w:color w:val="1E293B"/>
          <w:sz w:val="21"/>
        </w:rPr>
        <w:t>Security analysts and defensive incident responders face four catastrophic structural barriers in modern CTI triage:</w:t>
      </w:r>
    </w:p>
    <w:p>
      <w:pPr>
        <w:pStyle w:val="ListBullet"/>
        <w:spacing w:before="0" w:after="60" w:line="276" w:lineRule="auto"/>
      </w:pPr>
      <w:r>
        <w:rPr>
          <w:rFonts w:ascii="Calibri" w:hAnsi="Calibri"/>
          <w:b/>
          <w:color w:val="1E293B"/>
          <w:sz w:val="21"/>
        </w:rPr>
        <w:t xml:space="preserve">1. Unstructured Advisory Deluge: </w:t>
      </w:r>
      <w:r>
        <w:rPr>
          <w:rFonts w:ascii="Calibri" w:hAnsi="Calibri"/>
          <w:color w:val="1E293B"/>
          <w:sz w:val="21"/>
        </w:rPr>
        <w:t>Over 100 long-form advisories are published weekly by government CERTs and threat research labs. SOC analysts spend up to 80% of their operational hours manually copy-pasting IoCs, verifying defanged syntax, and searching disparate tools rather than defending networks.</w:t>
      </w:r>
    </w:p>
    <w:p>
      <w:pPr>
        <w:pStyle w:val="ListBullet"/>
        <w:spacing w:before="0" w:after="60" w:line="276" w:lineRule="auto"/>
      </w:pPr>
      <w:r>
        <w:rPr>
          <w:rFonts w:ascii="Calibri" w:hAnsi="Calibri"/>
          <w:b/>
          <w:color w:val="1E293B"/>
          <w:sz w:val="21"/>
        </w:rPr>
        <w:t xml:space="preserve">2. Adversarial Aliasing Chaos: </w:t>
      </w:r>
      <w:r>
        <w:rPr>
          <w:rFonts w:ascii="Calibri" w:hAnsi="Calibri"/>
          <w:color w:val="1E293B"/>
          <w:sz w:val="21"/>
        </w:rPr>
        <w:t>A single Advanced Persistent Threat (APT) group is routinely assigned 5 to 10 distinct designations across commercial vendors (e.g., APT28 = Fancy Bear = Sofacy = STRONTIUM = Forest Blizzard). Without automated alias canonicalization, identical malicious infrastructure is split across duplicate records, blinding analysts to correlated multi-stage campaigns.</w:t>
      </w:r>
    </w:p>
    <w:p>
      <w:pPr>
        <w:pStyle w:val="ListBullet"/>
        <w:spacing w:before="0" w:after="60" w:line="276" w:lineRule="auto"/>
      </w:pPr>
      <w:r>
        <w:rPr>
          <w:rFonts w:ascii="Calibri" w:hAnsi="Calibri"/>
          <w:b/>
          <w:color w:val="1E293B"/>
          <w:sz w:val="21"/>
        </w:rPr>
        <w:t xml:space="preserve">3. Relational Database JOIN Bottlenecks: </w:t>
      </w:r>
      <w:r>
        <w:rPr>
          <w:rFonts w:ascii="Calibri" w:hAnsi="Calibri"/>
          <w:color w:val="1E293B"/>
          <w:sz w:val="21"/>
        </w:rPr>
        <w:t>Traversing a real-world cyber attack chain—connecting a Threat Actor to a Malware family, tracing that malware to a Command-and-Control (C2) domain, and resolving that domain to an IP address hosting other malicious payloads—requires traversing 4 to 6 entity hops. In a relational database, this demands 5+ JOIN operations across massive junction tables, leading to exponential O(N^k) query latency and CPU exhaustion.</w:t>
      </w:r>
    </w:p>
    <w:p>
      <w:pPr>
        <w:pStyle w:val="ListBullet"/>
        <w:spacing w:before="0" w:after="60" w:line="276" w:lineRule="auto"/>
      </w:pPr>
      <w:r>
        <w:rPr>
          <w:rFonts w:ascii="Calibri" w:hAnsi="Calibri"/>
          <w:b/>
          <w:color w:val="1E293B"/>
          <w:sz w:val="21"/>
        </w:rPr>
        <w:t xml:space="preserve">4. Black-Box AI Trust Deficit: </w:t>
      </w:r>
      <w:r>
        <w:rPr>
          <w:rFonts w:ascii="Calibri" w:hAnsi="Calibri"/>
          <w:color w:val="1E293B"/>
          <w:sz w:val="21"/>
        </w:rPr>
        <w:t>Existing automated AI tools often output probabilistic link predictions without forensic citations. In mission-critical enterprise defense, analysts cannot sever critical infrastructure or block external IP blocks based on black-box suggestions without verifiable provenance and exact evidence trails.</w:t>
      </w:r>
    </w:p>
    <w:p>
      <w:pPr>
        <w:keepNext/>
        <w:spacing w:before="280" w:after="80"/>
      </w:pPr>
      <w:r>
        <w:rPr>
          <w:rFonts w:ascii="Arial" w:hAnsi="Arial"/>
          <w:b/>
          <w:color w:val="1E3A8A"/>
          <w:sz w:val="26"/>
        </w:rPr>
        <w:t>1.3 Project Objectives</w:t>
      </w:r>
    </w:p>
    <w:p>
      <w:pPr>
        <w:spacing w:before="0" w:after="120" w:line="276" w:lineRule="auto"/>
      </w:pPr>
      <w:r>
        <w:rPr>
          <w:rFonts w:ascii="Calibri" w:hAnsi="Calibri"/>
          <w:i w:val="0"/>
          <w:color w:val="1E293B"/>
          <w:sz w:val="21"/>
        </w:rPr>
        <w:t>The primary objectives of the ThreatGraph AI project are formulated as follows:</w:t>
      </w:r>
    </w:p>
    <w:p>
      <w:pPr>
        <w:pStyle w:val="ListBullet"/>
        <w:spacing w:before="0" w:after="60" w:line="276" w:lineRule="auto"/>
      </w:pPr>
      <w:r>
        <w:rPr>
          <w:rFonts w:ascii="Calibri" w:hAnsi="Calibri"/>
          <w:b/>
          <w:color w:val="1E293B"/>
          <w:sz w:val="21"/>
        </w:rPr>
        <w:t xml:space="preserve">Objective 1 (Graph Modeling): </w:t>
      </w:r>
      <w:r>
        <w:rPr>
          <w:rFonts w:ascii="Calibri" w:hAnsi="Calibri"/>
          <w:color w:val="1E293B"/>
          <w:sz w:val="21"/>
        </w:rPr>
        <w:t>Design and construct a STIX 2.1-compliant NoSQL Property Graph Database in Neo4j to store cyber threat entities and relationships with complete cryptographic provenance.</w:t>
      </w:r>
    </w:p>
    <w:p>
      <w:pPr>
        <w:pStyle w:val="ListBullet"/>
        <w:spacing w:before="0" w:after="60" w:line="276" w:lineRule="auto"/>
      </w:pPr>
      <w:r>
        <w:rPr>
          <w:rFonts w:ascii="Calibri" w:hAnsi="Calibri"/>
          <w:b/>
          <w:color w:val="1E293B"/>
          <w:sz w:val="21"/>
        </w:rPr>
        <w:t xml:space="preserve">Objective 2 (Automated Ingestion): </w:t>
      </w:r>
      <w:r>
        <w:rPr>
          <w:rFonts w:ascii="Calibri" w:hAnsi="Calibri"/>
          <w:color w:val="1E293B"/>
          <w:sz w:val="21"/>
        </w:rPr>
        <w:t>Implement a robust, deterministic ingestion and extraction pipeline capable of parsing raw text, PDF advisories, and STIX bundles, normalizing defanged IoCs, and resolving actor aliases to canonical nodes.</w:t>
      </w:r>
    </w:p>
    <w:p>
      <w:pPr>
        <w:pStyle w:val="ListBullet"/>
        <w:spacing w:before="0" w:after="60" w:line="276" w:lineRule="auto"/>
      </w:pPr>
      <w:r>
        <w:rPr>
          <w:rFonts w:ascii="Calibri" w:hAnsi="Calibri"/>
          <w:b/>
          <w:color w:val="1E293B"/>
          <w:sz w:val="21"/>
        </w:rPr>
        <w:t xml:space="preserve">Objective 3 (Cypher Query Optimization): </w:t>
      </w:r>
      <w:r>
        <w:rPr>
          <w:rFonts w:ascii="Calibri" w:hAnsi="Calibri"/>
          <w:color w:val="1E293B"/>
          <w:sz w:val="21"/>
        </w:rPr>
        <w:t>Develop expressive Cypher queries and index-free traversal routines to execute multi-hop attack chain exploration, shortest-path forensic discovery, and cross-campaign pivot queries in sub-millisecond execution times.</w:t>
      </w:r>
    </w:p>
    <w:p>
      <w:pPr>
        <w:pStyle w:val="ListBullet"/>
        <w:spacing w:before="0" w:after="60" w:line="276" w:lineRule="auto"/>
      </w:pPr>
      <w:r>
        <w:rPr>
          <w:rFonts w:ascii="Calibri" w:hAnsi="Calibri"/>
          <w:b/>
          <w:color w:val="1E293B"/>
          <w:sz w:val="21"/>
        </w:rPr>
        <w:t xml:space="preserve">Objective 4 (Advanced GDS &amp; ML): </w:t>
      </w:r>
      <w:r>
        <w:rPr>
          <w:rFonts w:ascii="Calibri" w:hAnsi="Calibri"/>
          <w:color w:val="1E293B"/>
          <w:sz w:val="21"/>
        </w:rPr>
        <w:t>Integrate native Graph Data Science (GDS) algorithms (Louvain Community Detection, PageRank Centrality) and Machine Learning (HDBSCAN) to discover candidate adversary connections with over 90% recall.</w:t>
      </w:r>
    </w:p>
    <w:p>
      <w:pPr>
        <w:pStyle w:val="ListBullet"/>
        <w:spacing w:before="0" w:after="60" w:line="276" w:lineRule="auto"/>
      </w:pPr>
      <w:r>
        <w:rPr>
          <w:rFonts w:ascii="Calibri" w:hAnsi="Calibri"/>
          <w:b/>
          <w:color w:val="1E293B"/>
          <w:sz w:val="21"/>
        </w:rPr>
        <w:t xml:space="preserve">Objective 5 (Full-Stack Operationalization): </w:t>
      </w:r>
      <w:r>
        <w:rPr>
          <w:rFonts w:ascii="Calibri" w:hAnsi="Calibri"/>
          <w:color w:val="1E293B"/>
          <w:sz w:val="21"/>
        </w:rPr>
        <w:t>Deliver a production-ready full-stack application featuring a high-performance FastAPI REST API and a dark-mode React 18 / Cytoscape.js interactive visualization workbench equipped with an embedded Cypher Query Console.</w:t>
      </w:r>
    </w:p>
    <w:p>
      <w:pPr>
        <w:keepNext/>
        <w:spacing w:before="280" w:after="80"/>
      </w:pPr>
      <w:r>
        <w:rPr>
          <w:rFonts w:ascii="Arial" w:hAnsi="Arial"/>
          <w:b/>
          <w:color w:val="1E3A8A"/>
          <w:sz w:val="26"/>
        </w:rPr>
        <w:t>1.4 Scope of the Project</w:t>
      </w:r>
    </w:p>
    <w:p>
      <w:pPr>
        <w:spacing w:before="0" w:after="120" w:line="276" w:lineRule="auto"/>
      </w:pPr>
      <w:r>
        <w:rPr>
          <w:rFonts w:ascii="Calibri" w:hAnsi="Calibri"/>
          <w:i w:val="0"/>
          <w:color w:val="1E293B"/>
          <w:sz w:val="21"/>
        </w:rPr>
        <w:t>The functional scope of the project encompasses:</w:t>
      </w:r>
    </w:p>
    <w:p>
      <w:pPr>
        <w:pStyle w:val="ListBullet"/>
        <w:spacing w:before="0" w:after="60" w:line="276" w:lineRule="auto"/>
      </w:pPr>
      <w:r>
        <w:rPr>
          <w:rFonts w:ascii="Calibri" w:hAnsi="Calibri"/>
          <w:color w:val="1E293B"/>
          <w:sz w:val="21"/>
        </w:rPr>
        <w:t>Ingestion of unstructured text, PDF whitepapers, and structured STIX 2.1 JSON bundles.</w:t>
      </w:r>
    </w:p>
    <w:p>
      <w:pPr>
        <w:pStyle w:val="ListBullet"/>
        <w:spacing w:before="0" w:after="60" w:line="276" w:lineRule="auto"/>
      </w:pPr>
      <w:r>
        <w:rPr>
          <w:rFonts w:ascii="Calibri" w:hAnsi="Calibri"/>
          <w:color w:val="1E293B"/>
          <w:sz w:val="21"/>
        </w:rPr>
        <w:t>Extraction of 8 distinct IoC types (IPv4, IPv6, FQDN Domains, URLs, SHA-256, SHA-1, MD5 hashes, and CVE identifiers) and MITRE ATT&amp;CK enterprise techniques.</w:t>
      </w:r>
    </w:p>
    <w:p>
      <w:pPr>
        <w:pStyle w:val="ListBullet"/>
        <w:spacing w:before="0" w:after="60" w:line="276" w:lineRule="auto"/>
      </w:pPr>
      <w:r>
        <w:rPr>
          <w:rFonts w:ascii="Calibri" w:hAnsi="Calibri"/>
          <w:color w:val="1E293B"/>
          <w:sz w:val="21"/>
        </w:rPr>
        <w:t>Graph database persistence of 12 distinct STIX node entity types and 10 relationship types in Neo4j 5.18+.</w:t>
      </w:r>
    </w:p>
    <w:p>
      <w:pPr>
        <w:pStyle w:val="ListBullet"/>
        <w:spacing w:before="0" w:after="60" w:line="276" w:lineRule="auto"/>
      </w:pPr>
      <w:r>
        <w:rPr>
          <w:rFonts w:ascii="Calibri" w:hAnsi="Calibri"/>
          <w:color w:val="1E293B"/>
          <w:sz w:val="21"/>
        </w:rPr>
        <w:t>In-memory graph mirror synchronization via NetworkX for zero-downtime offline querying and hybrid GDS evaluation.</w:t>
      </w:r>
    </w:p>
    <w:p>
      <w:pPr>
        <w:pStyle w:val="ListBullet"/>
        <w:spacing w:before="0" w:after="60" w:line="276" w:lineRule="auto"/>
      </w:pPr>
      <w:r>
        <w:rPr>
          <w:rFonts w:ascii="Calibri" w:hAnsi="Calibri"/>
          <w:color w:val="1E293B"/>
          <w:sz w:val="21"/>
        </w:rPr>
        <w:t>Empirical evaluation on ground-truth benchmark datasets representing major nation-state threat actors (APT29/Russia, Volt Typhoon/China, Lazarus Group/North Korea, Sandworm/Russia).</w:t>
      </w:r>
    </w:p>
    <w:p>
      <w:pPr>
        <w:keepNext/>
        <w:spacing w:before="280" w:after="80"/>
      </w:pPr>
      <w:r>
        <w:rPr>
          <w:rFonts w:ascii="Arial" w:hAnsi="Arial"/>
          <w:b/>
          <w:color w:val="1E3A8A"/>
          <w:sz w:val="26"/>
        </w:rPr>
        <w:t>1.5 Proposed Solution Architecture</w:t>
      </w:r>
    </w:p>
    <w:p>
      <w:pPr>
        <w:spacing w:before="0" w:after="120" w:line="276" w:lineRule="auto"/>
      </w:pPr>
      <w:r>
        <w:rPr>
          <w:rFonts w:ascii="Calibri" w:hAnsi="Calibri"/>
          <w:i w:val="0"/>
          <w:color w:val="1E293B"/>
          <w:sz w:val="21"/>
        </w:rPr>
        <w:t>ThreatGraph AI provides an end-to-end autonomous CTI lifecycle platform. Raw text or PDF documents enter the Ingestion Pipeline, where an RFC-compliant regex engine refangs indicators and an Entity Resolution engine maps aliases to primary canonical entities. The entities are instantiated as nodes and edges in Neo4j with full provenance metadata. On top of the property graph, an analytics layer computes topological centrality and high-dimensional clustering, exposing results through a 20+ endpoint FastAPI REST backend and an interactive React 18 / Cytoscape.js frontend equipped with an in-app Cypher Console.</w:t>
      </w:r>
    </w:p>
    <w:p>
      <w:r>
        <w:br w:type="page"/>
      </w:r>
    </w:p>
    <w:p>
      <w:pPr>
        <w:keepNext/>
        <w:spacing w:before="360" w:after="120"/>
      </w:pPr>
      <w:r>
        <w:rPr>
          <w:rFonts w:ascii="Arial" w:hAnsi="Arial"/>
          <w:b/>
          <w:color w:val="0B2545"/>
          <w:sz w:val="32"/>
        </w:rPr>
        <w:t>2. Justification for Selecting the NoSQL Graph Database and Model</w:t>
      </w:r>
    </w:p>
    <w:p>
      <w:pPr>
        <w:keepNext/>
        <w:spacing w:before="280" w:after="80"/>
      </w:pPr>
      <w:r>
        <w:rPr>
          <w:rFonts w:ascii="Arial" w:hAnsi="Arial"/>
          <w:b/>
          <w:color w:val="1E3A8A"/>
          <w:sz w:val="26"/>
        </w:rPr>
        <w:t>2.1 Comparative Analysis Across Database Paradigms</w:t>
      </w:r>
    </w:p>
    <w:p>
      <w:pPr>
        <w:spacing w:before="0" w:after="120" w:line="276" w:lineRule="auto"/>
      </w:pPr>
      <w:r>
        <w:rPr>
          <w:rFonts w:ascii="Calibri" w:hAnsi="Calibri"/>
          <w:i w:val="0"/>
          <w:color w:val="1E293B"/>
          <w:sz w:val="21"/>
        </w:rPr>
        <w:t>Selecting the optimal database management system for Cyber Threat Intelligence requires evaluating data access patterns, query complexity, schema volatility, and multi-hop traversal efficiency. Below is an engineering evaluation comparing the five major database paradigms: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Paradigm</w:t>
            </w:r>
          </w:p>
        </w:tc>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Representative Tech</w:t>
            </w:r>
          </w:p>
        </w:tc>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Suitability for CTI</w:t>
            </w:r>
          </w:p>
        </w:tc>
        <w:tc>
          <w:tcPr>
            <w:tcW w:type="dxa" w:w="21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Multi-Hop Traversal Efficiency</w:t>
            </w:r>
          </w:p>
        </w:tc>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Schema Flexibility</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Relational (RDBMS)</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PostgreSQL / MySQL</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Poor</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O(N^k) Exponential JOIN Degradation</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Rigid (Requires Schema Migrations)</w:t>
            </w:r>
          </w:p>
        </w:tc>
      </w:tr>
      <w:tr>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Document Store</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MongoDB</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Moderate</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O(k * N) Multiple Nested Lookups</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High (Unstructured Documents)</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Key-Value Store</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Redis / DynamoDB</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Poor</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Extremely Poor (Point Lookups Only)</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Schemaless</w:t>
            </w:r>
          </w:p>
        </w:tc>
      </w:tr>
      <w:tr>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Wide-Column Store</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Apache Cassandra</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Moderate</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Poor (Optimized for Fixed Write-Heavy Tables)</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Moderate (Column Families)</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Property Graph (Selected)</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Neo4j 5.18+ (Bolt)</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Excellent (Optimal)</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O(1) Constant Time Per Hop (Index-Free Adjacency)</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High (Dynamic Labels &amp; Edge Properties)</w:t>
            </w:r>
          </w:p>
        </w:tc>
      </w:tr>
    </w:tbl>
    <w:p>
      <w:pPr>
        <w:spacing w:after="80"/>
      </w:pPr>
    </w:p>
    <w:p>
      <w:pPr>
        <w:keepNext/>
        <w:spacing w:before="280" w:after="80"/>
      </w:pPr>
      <w:r>
        <w:rPr>
          <w:rFonts w:ascii="Arial" w:hAnsi="Arial"/>
          <w:b/>
          <w:color w:val="1E3A8A"/>
          <w:sz w:val="26"/>
        </w:rPr>
        <w:t>2.2 The Technical Advantage of Index-Free Adjacency</w:t>
      </w:r>
    </w:p>
    <w:p>
      <w:pPr>
        <w:spacing w:before="0" w:after="120" w:line="276" w:lineRule="auto"/>
      </w:pPr>
      <w:r>
        <w:rPr>
          <w:rFonts w:ascii="Calibri" w:hAnsi="Calibri"/>
          <w:i w:val="0"/>
          <w:color w:val="1E293B"/>
          <w:sz w:val="21"/>
        </w:rPr>
        <w:t>In a traditional relational database, relationships are computed at query time using global B-Tree index lookups across foreign key tables. When performing an attack-chain investigation that traverses from a Threat Actor to a Malware family, then to an intermediate Tool, then to a C2 Domain, and finally to an IP address, the relational query engine must execute 4 successive index seeks:</w:t>
      </w:r>
    </w:p>
    <w:tbl>
      <w:tblPr>
        <w:tblW w:type="auto" w:w="0"/>
        <w:jc w:val="center"/>
        <w:tblLook w:firstColumn="1" w:firstRow="1" w:lastColumn="0" w:lastRow="0" w:noHBand="0" w:noVBand="1" w:val="04A0"/>
      </w:tblPr>
      <w:tblGrid>
        <w:gridCol w:w="9360"/>
      </w:tblGrid>
      <w:tr>
        <w:tc>
          <w:tcPr>
            <w:tcW w:type="dxa" w:w="9360"/>
            <w:shd w:fill="F0F9FF"/>
            <w:tcBorders>
              <w:top w:val="none" w:sz="0" w:space="0" w:color="auto"/>
              <w:left w:val="single" w:sz="24" w:space="0" w:color="0284C7"/>
              <w:bottom w:val="none" w:sz="0" w:space="0" w:color="auto"/>
              <w:right w:val="none" w:sz="0" w:space="0" w:color="auto"/>
            </w:tcBorders>
            <w:tcMar>
              <w:top w:w="130" w:type="dxa"/>
              <w:bottom w:w="130" w:type="dxa"/>
              <w:left w:w="180" w:type="dxa"/>
              <w:right w:w="180" w:type="dxa"/>
            </w:tcMar>
          </w:tcPr>
          <w:p>
            <w:pPr>
              <w:spacing w:before="40" w:after="40" w:line="276" w:lineRule="auto"/>
            </w:pPr>
            <w:r>
              <w:rPr>
                <w:rFonts w:ascii="Calibri" w:hAnsi="Calibri"/>
                <w:b/>
                <w:color w:val="1E3A8A"/>
                <w:sz w:val="20"/>
              </w:rPr>
              <w:t xml:space="preserve">RELATIONAL JOIN COMPLEXITY: </w:t>
            </w:r>
            <w:r>
              <w:rPr>
                <w:rFonts w:ascii="Calibri" w:hAnsi="Calibri"/>
                <w:color w:val="1E293B"/>
                <w:sz w:val="19"/>
              </w:rPr>
              <w:t>Relational Traversal Cost = O(k * log N), where N is the total row count and k is the number of relationship hops.</w:t>
              <w:br/>
              <w:t>As database size grows from 10,000 to 1,000,000 records, relational multi-hop join latency explodes exponentially.</w:t>
            </w:r>
          </w:p>
        </w:tc>
      </w:tr>
    </w:tbl>
    <w:p>
      <w:pPr>
        <w:spacing w:after="60"/>
      </w:pPr>
    </w:p>
    <w:p>
      <w:pPr>
        <w:spacing w:before="0" w:after="120" w:line="276" w:lineRule="auto"/>
      </w:pPr>
      <w:r>
        <w:rPr>
          <w:rFonts w:ascii="Calibri" w:hAnsi="Calibri"/>
          <w:i w:val="0"/>
          <w:color w:val="1E293B"/>
          <w:sz w:val="21"/>
        </w:rPr>
        <w:t>In contrast, Neo4j implements Index-Free Adjacency (IFA). In a native property graph, each node physically stores direct memory pointers to its adjacent relationship records on disk. Traversing an edge does not involve searching a global index; the engine simply dereferences a physical pointer to step directly to the neighboring node:</w:t>
      </w:r>
    </w:p>
    <w:tbl>
      <w:tblPr>
        <w:tblW w:type="auto" w:w="0"/>
        <w:jc w:val="center"/>
        <w:tblLook w:firstColumn="1" w:firstRow="1" w:lastColumn="0" w:lastRow="0" w:noHBand="0" w:noVBand="1" w:val="04A0"/>
      </w:tblPr>
      <w:tblGrid>
        <w:gridCol w:w="9360"/>
      </w:tblGrid>
      <w:tr>
        <w:tc>
          <w:tcPr>
            <w:tcW w:type="dxa" w:w="9360"/>
            <w:shd w:fill="F0F9FF"/>
            <w:tcBorders>
              <w:top w:val="none" w:sz="0" w:space="0" w:color="auto"/>
              <w:left w:val="single" w:sz="24" w:space="0" w:color="0284C7"/>
              <w:bottom w:val="none" w:sz="0" w:space="0" w:color="auto"/>
              <w:right w:val="none" w:sz="0" w:space="0" w:color="auto"/>
            </w:tcBorders>
            <w:tcMar>
              <w:top w:w="130" w:type="dxa"/>
              <w:bottom w:w="130" w:type="dxa"/>
              <w:left w:w="180" w:type="dxa"/>
              <w:right w:w="180" w:type="dxa"/>
            </w:tcMar>
          </w:tcPr>
          <w:p>
            <w:pPr>
              <w:spacing w:before="40" w:after="40" w:line="276" w:lineRule="auto"/>
            </w:pPr>
            <w:r>
              <w:rPr>
                <w:rFonts w:ascii="Calibri" w:hAnsi="Calibri"/>
                <w:b/>
                <w:color w:val="1E3A8A"/>
                <w:sz w:val="20"/>
              </w:rPr>
              <w:t xml:space="preserve">NEO4J PROPERTY GRAPH COMPLEXITY: </w:t>
            </w:r>
            <w:r>
              <w:rPr>
                <w:rFonts w:ascii="Calibri" w:hAnsi="Calibri"/>
                <w:color w:val="1E293B"/>
                <w:sz w:val="19"/>
              </w:rPr>
              <w:t>Neo4j Index-Free Adjacency Cost = O(1) constant time per hop traversal.</w:t>
              <w:br/>
              <w:t>Traversal time depends strictly on the size of the subgraph traversed, completely independent of the total database size.</w:t>
            </w:r>
          </w:p>
        </w:tc>
      </w:tr>
    </w:tbl>
    <w:p>
      <w:pPr>
        <w:spacing w:after="60"/>
      </w:pPr>
    </w:p>
    <w:p>
      <w:pPr>
        <w:keepNext/>
        <w:spacing w:before="280" w:after="80"/>
      </w:pPr>
      <w:r>
        <w:rPr>
          <w:rFonts w:ascii="Arial" w:hAnsi="Arial"/>
          <w:b/>
          <w:color w:val="1E3A8A"/>
          <w:sz w:val="26"/>
        </w:rPr>
        <w:t>2.3 Expressiveness of Cypher Pattern Matching</w:t>
      </w:r>
    </w:p>
    <w:p>
      <w:pPr>
        <w:spacing w:before="0" w:after="120" w:line="276" w:lineRule="auto"/>
      </w:pPr>
      <w:r>
        <w:rPr>
          <w:rFonts w:ascii="Calibri" w:hAnsi="Calibri"/>
          <w:i w:val="0"/>
          <w:color w:val="1E293B"/>
          <w:sz w:val="21"/>
        </w:rPr>
        <w:t>CTI analysts think topologically: 'Who attacked whom, using which malware, contacting which server?' Expressing multi-hop graph patterns in SQL requires cumbersome Common Table Expressions (CTEs) spanning dozens of lines. In Neo4j's Cypher query language, topological patterns are expressed visually using intuitive ASCII-art syntax:</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 Statement]</w:t>
              <w:br/>
            </w:r>
            <w:r>
              <w:rPr>
                <w:rFonts w:ascii="Consolas" w:hAnsi="Consolas"/>
                <w:color w:val="1E293B"/>
                <w:sz w:val="18"/>
              </w:rPr>
              <w:t>// Graph Pattern in Cypher (Readable and Declarative)</w:t>
              <w:br/>
              <w:t>MATCH (actor:ThreatActor)-[:USES]-&gt;(malware:Malware)-[:CONTACTS]-&gt;(c2:Domain)</w:t>
              <w:br/>
              <w:t>WHERE actor.name = 'APT29'</w:t>
              <w:br/>
              <w:t>RETURN actor.name, malware.name, c2.value</w:t>
            </w:r>
          </w:p>
        </w:tc>
      </w:tr>
    </w:tbl>
    <w:p>
      <w:pPr>
        <w:spacing w:after="60"/>
      </w:pPr>
    </w:p>
    <w:p>
      <w:pPr>
        <w:keepNext/>
        <w:spacing w:before="280" w:after="80"/>
      </w:pPr>
      <w:r>
        <w:rPr>
          <w:rFonts w:ascii="Arial" w:hAnsi="Arial"/>
          <w:b/>
          <w:color w:val="1E3A8A"/>
          <w:sz w:val="26"/>
        </w:rPr>
        <w:t>2.4 Dynamic Property Graph Schema for STIX 2.1 Evolution</w:t>
      </w:r>
    </w:p>
    <w:p>
      <w:pPr>
        <w:spacing w:before="0" w:after="120" w:line="276" w:lineRule="auto"/>
      </w:pPr>
      <w:r>
        <w:rPr>
          <w:rFonts w:ascii="Calibri" w:hAnsi="Calibri"/>
          <w:i w:val="0"/>
          <w:color w:val="1E293B"/>
          <w:sz w:val="21"/>
        </w:rPr>
        <w:t>The OASIS STIX 2.1 standard defines diverse cyber entities ranging from high-level strategic concepts (ThreatActor, Campaign) to low-level tactical indicators (Hash, IPv4, CVE). New cyber threat indicators (e.g., cryptocurrency wallet addresses, cloud container IDs) emerge constantly. In a relational database, altering the schema requires complex `ALTER TABLE` locks and migration scripts. In Neo4j, new node labels and dynamic key-value properties can be added instantly without schema downtime, while strict uniqueness constraints and indexes ensure integrity on critical attributes (e.g., node IDs and IoC values).</w:t>
      </w:r>
    </w:p>
    <w:p>
      <w:r>
        <w:br w:type="page"/>
      </w:r>
    </w:p>
    <w:p>
      <w:pPr>
        <w:keepNext/>
        <w:spacing w:before="360" w:after="120"/>
      </w:pPr>
      <w:r>
        <w:rPr>
          <w:rFonts w:ascii="Arial" w:hAnsi="Arial"/>
          <w:b/>
          <w:color w:val="0B2545"/>
          <w:sz w:val="32"/>
        </w:rPr>
        <w:t>3. Final Data Model &amp; System Architecture</w:t>
      </w:r>
    </w:p>
    <w:p>
      <w:pPr>
        <w:keepNext/>
        <w:spacing w:before="280" w:after="80"/>
      </w:pPr>
      <w:r>
        <w:rPr>
          <w:rFonts w:ascii="Arial" w:hAnsi="Arial"/>
          <w:b/>
          <w:color w:val="1E3A8A"/>
          <w:sz w:val="26"/>
        </w:rPr>
        <w:t>3.1 System Architecture Diagram &amp; Pipeline Workflow</w:t>
      </w:r>
    </w:p>
    <w:p>
      <w:pPr>
        <w:spacing w:before="0" w:after="120" w:line="276" w:lineRule="auto"/>
      </w:pPr>
      <w:r>
        <w:rPr>
          <w:rFonts w:ascii="Calibri" w:hAnsi="Calibri"/>
          <w:i w:val="0"/>
          <w:color w:val="1E293B"/>
          <w:sz w:val="21"/>
        </w:rPr>
        <w:t>ThreatGraph AI is architected as a layered, modular platform consisting of five integrated tiers: Ingestion &amp; Normalization, Graph Database Persistence, Analytics &amp; Reasoning Engine, REST API Gateway, and the Analyst Presentation Workbench.</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[System Architecture Flow Query / Statement]</w:t>
              <w:br/>
            </w:r>
            <w:r>
              <w:rPr>
                <w:rFonts w:ascii="Consolas" w:hAnsi="Consolas"/>
                <w:color w:val="1E293B"/>
                <w:sz w:val="18"/>
              </w:rPr>
              <w:t>+-------------------------------------------------------------------------+</w:t>
              <w:br/>
              <w:t>|                    UNSTRUCTURED INPUT INTELLIGENCE                      |</w:t>
              <w:br/>
              <w:t>|         (CISA Advisories, Mandiant M-Trends, FBI Flash, STIX JSON)      |</w:t>
              <w:br/>
              <w:t>+------------------------------------+------------------------------------+</w:t>
              <w:br/>
              <w:t xml:space="preserve">                                     |</w:t>
              <w:br/>
              <w:t xml:space="preserve">                                     v</w:t>
              <w:br/>
              <w:t>+-------------------------------------------------------------------------+</w:t>
              <w:br/>
              <w:t>|                  INGESTION &amp; NORMALIZATION PIPELINE                     |</w:t>
              <w:br/>
              <w:t>|   - Defanging &amp; Refanging Engine    - RFC 791/1035 Syntax Validation    |</w:t>
              <w:br/>
              <w:t>|   - LLM Context Extraction (Gemini) - Alias Canonicalization Dictionary |</w:t>
              <w:br/>
              <w:t>+------------------------------------+------------------------------------+</w:t>
              <w:br/>
              <w:t xml:space="preserve">                                     |</w:t>
              <w:br/>
              <w:t xml:space="preserve">                                     v</w:t>
              <w:br/>
              <w:t>+-------------------------------------------------------------------------+</w:t>
              <w:br/>
              <w:t>|           STIX 2.1 THREAT KNOWLEDGE GRAPH LAYER (ThreatGraphDB)         |</w:t>
              <w:br/>
              <w:t>|   - Neo4j 5.18+ (Persistent Disk)   - NetworkX (Synchronized In-Memory) |</w:t>
              <w:br/>
              <w:t>|   - 12 STIX Node Labels             - 10 Directed Provenance Edge Types |</w:t>
              <w:br/>
              <w:t>+------------------+------------------------------------+-----------------+</w:t>
              <w:br/>
              <w:t xml:space="preserve">                   |                                    |</w:t>
              <w:br/>
              <w:t xml:space="preserve">                   v                                    v</w:t>
              <w:br/>
              <w:t>+------------------------------------+ +----------------------------------+</w:t>
              <w:br/>
              <w:t>|        GRAPH DATA SCIENCE          | |      MACHINE LEARNING ENGINE     |</w:t>
              <w:br/>
              <w:t>|  - PageRank Centrality Ranking     | |  - HDBSCAN Multi-Vector Clusters |</w:t>
              <w:br/>
              <w:t>|  - Louvain Modularity Communities  | |  - High-Dimensional Embeddings   |</w:t>
              <w:br/>
              <w:t>+------------------+-----------------+ +----------------+-----------------+</w:t>
              <w:br/>
              <w:t xml:space="preserve">                   |                                    |</w:t>
              <w:br/>
              <w:t xml:space="preserve">                   +-----------------+------------------+</w:t>
              <w:br/>
              <w:t xml:space="preserve">                                     |</w:t>
              <w:br/>
              <w:t xml:space="preserve">                                     v</w:t>
              <w:br/>
              <w:t>+-------------------------------------------------------------------------+</w:t>
              <w:br/>
              <w:t>|                       EXPLAINABILITY ENGINE                             |</w:t>
              <w:br/>
              <w:t>|         - Verifiable Multi-Vector Evidence - Zero Hallucination         |</w:t>
              <w:br/>
              <w:t>+------------------------------------+------------------------------------+</w:t>
              <w:br/>
              <w:t xml:space="preserve">                                     |</w:t>
              <w:br/>
              <w:t xml:space="preserve">                                     v</w:t>
              <w:br/>
              <w:t>+-------------------------------------------------------------------------+</w:t>
              <w:br/>
              <w:t>|                      FastAPI REST API GATEWAY                           |</w:t>
              <w:br/>
              <w:t>|           (20+ Endpoints, Swagger UI, JSON STIX 2.1 Formatting)         |</w:t>
              <w:br/>
              <w:t>+------------------+------------------------------------+-----------------+</w:t>
              <w:br/>
              <w:t xml:space="preserve">                   |                                    |</w:t>
              <w:br/>
              <w:t xml:space="preserve">                   v                                    v</w:t>
              <w:br/>
              <w:t>+------------------------------------+ +----------------------------------+</w:t>
              <w:br/>
              <w:t>|     REACT 18 / CYTOSCAPE.JS UI     | |     EXTERNAL SIEM / SOAR / TIP   |</w:t>
              <w:br/>
              <w:t>|  - 2D Interactive Force Canvas     | |  - Microsoft Sentinel / Splunk   |</w:t>
              <w:br/>
              <w:t>|  - In-App Cypher Query Console     | |  - Automated Firewall Feeds      |</w:t>
              <w:br/>
              <w:t>+------------------------------------+ +----------------------------------+</w:t>
            </w:r>
          </w:p>
        </w:tc>
      </w:tr>
    </w:tbl>
    <w:p>
      <w:pPr>
        <w:spacing w:after="60"/>
      </w:pPr>
    </w:p>
    <w:p>
      <w:pPr>
        <w:keepNext/>
        <w:spacing w:before="280" w:after="80"/>
      </w:pPr>
      <w:r>
        <w:rPr>
          <w:rFonts w:ascii="Arial" w:hAnsi="Arial"/>
          <w:b/>
          <w:color w:val="1E3A8A"/>
          <w:sz w:val="26"/>
        </w:rPr>
        <w:t>3.2 STIX 2.1 Graph Node Schema (12 Node Entity Types)</w:t>
      </w:r>
    </w:p>
    <w:p>
      <w:pPr>
        <w:spacing w:before="0" w:after="120" w:line="276" w:lineRule="auto"/>
      </w:pPr>
      <w:r>
        <w:rPr>
          <w:rFonts w:ascii="Calibri" w:hAnsi="Calibri"/>
          <w:i w:val="0"/>
          <w:color w:val="1E293B"/>
          <w:sz w:val="21"/>
        </w:rPr>
        <w:t>ThreatGraph AI implements a strict STIX 2.1-compliant node taxonomy. Every node in ThreatGraphDB is assigned a primary label and standardized properties. The table below provides the full formal specification of the 12 node types: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Node Label</w:t>
            </w:r>
          </w:p>
        </w:tc>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STIX 2.1 Type</w:t>
            </w:r>
          </w:p>
        </w:tc>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Primary Identifier</w:t>
            </w:r>
          </w:p>
        </w:tc>
        <w:tc>
          <w:tcPr>
            <w:tcW w:type="dxa" w:w="2304"/>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Key Properties</w:t>
            </w:r>
          </w:p>
        </w:tc>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Graph Function</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(threat-actor--UUID)</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canonical_name, aliases, country, description</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adversary group or nation-state sponsor</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Campaign</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campaign</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(campaign--UUID)</w:t>
            </w:r>
          </w:p>
        </w:tc>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name, objective, first_seen, last_seen</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time-bounded offensive operation</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(malware--UUID)</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name, is_family, kill_chain_phases, description</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malicious software or payload</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Tool</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tool</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(tool--UUID)</w:t>
            </w:r>
          </w:p>
        </w:tc>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name, tool_version, is_open_source</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legitimate software abused by actors</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IP</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ipv4-addr / ipv6-addr</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(indicator--ip-VALUE)</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value, is_defanged, is_sinkhole, confidence</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network command-and-control host</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Domain</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domain-name</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(indicator--domain-VALUE)</w:t>
            </w:r>
          </w:p>
        </w:tc>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value, registrar, is_defanged, confidence</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fully qualified C2 domain name</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URL</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url</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(indicator--url-VALUE)</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value, path, protocol, is_defanged</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explicit malicious web request address</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Hash</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file</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(indicator--hash-VALUE)</w:t>
            </w:r>
          </w:p>
        </w:tc>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value, hash_algorithm (SHA256/MD5), size</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cryptographic payload fingerprint</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CVE</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vulnerability</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(cve--CVE-YYYY-NNNN)</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cvss_score, published_year, description</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exploited security vulnerability</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AttackTechnique</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attack-pattern</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(TXXXX[.YYY])</w:t>
            </w:r>
          </w:p>
        </w:tc>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name, tactics, kill_chain_phase</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MITRE ATT&amp;CK tactical technique</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Sector</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identity</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(identity--sector-NAME)</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name, industry_class, critical_infrastructure</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targeted industry or victim sector</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Report</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report</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id (report--UUID)</w:t>
            </w:r>
          </w:p>
        </w:tc>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title, source_name, source_url, published_at</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Represents original CTI advisory container</w:t>
            </w:r>
          </w:p>
        </w:tc>
      </w:tr>
    </w:tbl>
    <w:p>
      <w:pPr>
        <w:spacing w:after="80"/>
      </w:pPr>
    </w:p>
    <w:p>
      <w:pPr>
        <w:keepNext/>
        <w:spacing w:before="280" w:after="80"/>
      </w:pPr>
      <w:r>
        <w:rPr>
          <w:rFonts w:ascii="Arial" w:hAnsi="Arial"/>
          <w:b/>
          <w:color w:val="1E3A8A"/>
          <w:sz w:val="26"/>
        </w:rPr>
        <w:t>3.3 STIX 2.1 Graph Relationship Schema (10 Edge Types) with Provenance</w:t>
      </w:r>
    </w:p>
    <w:p>
      <w:pPr>
        <w:spacing w:before="0" w:after="120" w:line="276" w:lineRule="auto"/>
      </w:pPr>
      <w:r>
        <w:rPr>
          <w:rFonts w:ascii="Calibri" w:hAnsi="Calibri"/>
          <w:i w:val="0"/>
          <w:color w:val="1E293B"/>
          <w:sz w:val="21"/>
        </w:rPr>
        <w:t>Edges in ThreatGraph AI represent directed tactical and operational relationships between cyber threat entities. A critical engineering requirement of ThreatGraph AI is that every single edge stores immutable cryptographic provenance: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Relationship Type</w:t>
            </w:r>
          </w:p>
        </w:tc>
        <w:tc>
          <w:tcPr>
            <w:tcW w:type="dxa" w:w="1584"/>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Source Node</w:t>
            </w:r>
          </w:p>
        </w:tc>
        <w:tc>
          <w:tcPr>
            <w:tcW w:type="dxa" w:w="1584"/>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Target Node</w:t>
            </w:r>
          </w:p>
        </w:tc>
        <w:tc>
          <w:tcPr>
            <w:tcW w:type="dxa" w:w="2016"/>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Tactical Semantics</w:t>
            </w:r>
          </w:p>
        </w:tc>
        <w:tc>
          <w:tcPr>
            <w:tcW w:type="dxa" w:w="2016"/>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Mandatory Provenance Attributes</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USES</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 / Campaign</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 / Tool</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Actor deploys software weapon</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CONDUCTS</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Campaign</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Actor executes campaign</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TARGETS</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 / Campaign</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Sector</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Adversary attacks vertical</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CONTACTS</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IP / Domain / URL</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 establishes C2 beacon</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EXPLOITS</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 / Malware</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CVE</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 leverages vulnerability</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USES_TECHNIQUE</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 / Malware</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AttackTechnique</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Actor executes ATT&amp;CK TTP</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MENTIONS</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Report</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Any Node Entity</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Advisory references indicator</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HAS_HASH</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Hash</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 payload hash fingerprint</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RESOLVES_TO</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Domain</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IP</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DNS infrastructure mapping</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source_report_id, confidence, context_snippet, extracted_at</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POTENTIALLY_RELATED_TO</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Campaign / ThreatActor</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Campaign / ThreatActor</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ML/GDS inferred candidate connection</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evidence_type=INFERRED, evidence_score, shared_infra_count</w:t>
            </w:r>
          </w:p>
        </w:tc>
      </w:tr>
    </w:tbl>
    <w:p>
      <w:pPr>
        <w:spacing w:after="80"/>
      </w:pPr>
    </w:p>
    <w:p>
      <w:r>
        <w:br w:type="page"/>
      </w:r>
    </w:p>
    <w:p>
      <w:pPr>
        <w:keepNext/>
        <w:spacing w:before="360" w:after="120"/>
      </w:pPr>
      <w:r>
        <w:rPr>
          <w:rFonts w:ascii="Arial" w:hAnsi="Arial"/>
          <w:b/>
          <w:color w:val="0B2545"/>
          <w:sz w:val="32"/>
        </w:rPr>
        <w:t>4. Database Implementation Details, Sample Data &amp; Screenshots</w:t>
      </w:r>
    </w:p>
    <w:p>
      <w:pPr>
        <w:keepNext/>
        <w:spacing w:before="280" w:after="80"/>
      </w:pPr>
      <w:r>
        <w:rPr>
          <w:rFonts w:ascii="Arial" w:hAnsi="Arial"/>
          <w:b/>
          <w:color w:val="1E3A8A"/>
          <w:sz w:val="26"/>
        </w:rPr>
        <w:t>4.1 Database Configuration &amp; Connection Infrastructure</w:t>
      </w:r>
    </w:p>
    <w:p>
      <w:pPr>
        <w:spacing w:before="0" w:after="120" w:line="276" w:lineRule="auto"/>
      </w:pPr>
      <w:r>
        <w:rPr>
          <w:rFonts w:ascii="Calibri" w:hAnsi="Calibri"/>
          <w:i w:val="0"/>
          <w:color w:val="1E293B"/>
          <w:sz w:val="21"/>
        </w:rPr>
        <w:t>The primary database engine is Neo4j 5.18+ Enterprise/Community, named ThreatGraphDB. Connectivity is established using the official Python Neo4j Driver (version 5.18.0) communicating over the binary Bolt protocol at bolt://localhost:7687. The driver is managed via a singleton connection manager (Neo4jConnectionManager in backend/app/graph/neo4j.py) with connection pooling (up to 50 concurrent connections), a 30-minute maximum lifetime, and an automatic exponential backoff retry mechanism.</w:t>
      </w:r>
    </w:p>
    <w:p>
      <w:pPr>
        <w:keepNext/>
        <w:spacing w:before="280" w:after="80"/>
      </w:pPr>
      <w:r>
        <w:rPr>
          <w:rFonts w:ascii="Arial" w:hAnsi="Arial"/>
          <w:b/>
          <w:color w:val="1E3A8A"/>
          <w:sz w:val="26"/>
        </w:rPr>
        <w:t>4.2 Schema Constraints &amp; Database Indexes</w:t>
      </w:r>
    </w:p>
    <w:p>
      <w:pPr>
        <w:spacing w:before="0" w:after="120" w:line="276" w:lineRule="auto"/>
      </w:pPr>
      <w:r>
        <w:rPr>
          <w:rFonts w:ascii="Calibri" w:hAnsi="Calibri"/>
          <w:i w:val="0"/>
          <w:color w:val="1E293B"/>
          <w:sz w:val="21"/>
        </w:rPr>
        <w:t>To guarantee STIX 2.1 data integrity, eliminate duplicate IoCs, and accelerate pointer dereferencing, ThreatGraph AI enforces strict uniqueness constraints and B-Tree indexes on database initialization:</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Constraints &amp; Indexes Query / Statement]</w:t>
              <w:br/>
            </w:r>
            <w:r>
              <w:rPr>
                <w:rFonts w:ascii="Consolas" w:hAnsi="Consolas"/>
                <w:color w:val="1E293B"/>
                <w:sz w:val="18"/>
              </w:rPr>
              <w:t>// Schema Constraints &amp; Indexes Applied on ThreatGraphDB</w:t>
              <w:br/>
              <w:t>CREATE CONSTRAINT threat_actor_id_unique IF NOT EXISTS FOR (n:ThreatActor) REQUIRE n.id IS UNIQUE;</w:t>
              <w:br/>
              <w:t>CREATE CONSTRAINT campaign_id_unique IF NOT EXISTS FOR (n:Campaign) REQUIRE n.id IS UNIQUE;</w:t>
              <w:br/>
              <w:t>CREATE CONSTRAINT malware_id_unique IF NOT EXISTS FOR (n:Malware) REQUIRE n.id IS UNIQUE;</w:t>
              <w:br/>
              <w:t>CREATE CONSTRAINT technique_id_unique IF NOT EXISTS FOR (n:AttackTechnique) REQUIRE n.id IS UNIQUE;</w:t>
              <w:br/>
              <w:t>CREATE CONSTRAINT domain_val_unique IF NOT EXISTS FOR (n:Domain) REQUIRE n.value IS UNIQUE;</w:t>
              <w:br/>
              <w:t>CREATE CONSTRAINT ip_val_unique IF NOT EXISTS FOR (n:IP) REQUIRE n.value IS UNIQUE;</w:t>
              <w:br/>
              <w:t>CREATE CONSTRAINT hash_val_unique IF NOT EXISTS FOR (n:Hash) REQUIRE n.value IS UNIQUE;</w:t>
              <w:br/>
              <w:t>CREATE CONSTRAINT cve_id_unique IF NOT EXISTS FOR (n:CVE) REQUIRE n.id IS UNIQUE;</w:t>
              <w:br/>
              <w:t>CREATE CONSTRAINT report_id_unique IF NOT EXISTS FOR (n:Report) REQUIRE n.id IS UNIQUE;</w:t>
              <w:br/>
              <w:t>CREATE INDEX actor_name_index IF NOT EXISTS FOR (n:ThreatActor) ON (n.name);</w:t>
            </w:r>
          </w:p>
        </w:tc>
      </w:tr>
    </w:tbl>
    <w:p>
      <w:pPr>
        <w:spacing w:after="60"/>
      </w:pPr>
    </w:p>
    <w:p>
      <w:pPr>
        <w:keepNext/>
        <w:spacing w:before="280" w:after="80"/>
      </w:pPr>
      <w:r>
        <w:rPr>
          <w:rFonts w:ascii="Arial" w:hAnsi="Arial"/>
          <w:b/>
          <w:color w:val="1E3A8A"/>
          <w:sz w:val="26"/>
        </w:rPr>
        <w:t>4.3 Benchmark Intelligence Datasets (Ground-Truth Ingestion)</w:t>
      </w:r>
    </w:p>
    <w:p>
      <w:pPr>
        <w:spacing w:before="0" w:after="120" w:line="276" w:lineRule="auto"/>
      </w:pPr>
      <w:r>
        <w:rPr>
          <w:rFonts w:ascii="Calibri" w:hAnsi="Calibri"/>
          <w:i w:val="0"/>
          <w:color w:val="1E293B"/>
          <w:sz w:val="21"/>
        </w:rPr>
        <w:t>On initial deployment, ThreatGraph AI pre-seeds six benchmark ground-truth cyber threat advisories from CISA, Mandiant, and the FBI:</w:t>
      </w:r>
    </w:p>
    <w:p>
      <w:pPr>
        <w:pStyle w:val="ListBullet"/>
        <w:spacing w:before="0" w:after="60" w:line="276" w:lineRule="auto"/>
      </w:pPr>
      <w:r>
        <w:rPr>
          <w:rFonts w:ascii="Calibri" w:hAnsi="Calibri"/>
          <w:b/>
          <w:color w:val="1E293B"/>
          <w:sz w:val="21"/>
        </w:rPr>
        <w:t xml:space="preserve">1. SolarWinds Supply Chain Intrusion: </w:t>
      </w:r>
      <w:r>
        <w:rPr>
          <w:rFonts w:ascii="Calibri" w:hAnsi="Calibri"/>
          <w:color w:val="1E293B"/>
          <w:sz w:val="21"/>
        </w:rPr>
        <w:t>CISA Alert AA20-352A on APT29 (Cozy Bear, NOBELIUM) utilizing SUNBURST malware, Cobalt Strike, TEARDROP, and exploiting CVE-2020-10148.</w:t>
      </w:r>
    </w:p>
    <w:p>
      <w:pPr>
        <w:pStyle w:val="ListBullet"/>
        <w:spacing w:before="0" w:after="60" w:line="276" w:lineRule="auto"/>
      </w:pPr>
      <w:r>
        <w:rPr>
          <w:rFonts w:ascii="Calibri" w:hAnsi="Calibri"/>
          <w:b/>
          <w:color w:val="1E293B"/>
          <w:sz w:val="21"/>
        </w:rPr>
        <w:t xml:space="preserve">2. Volt Typhoon Critical Infrastructure: </w:t>
      </w:r>
      <w:r>
        <w:rPr>
          <w:rFonts w:ascii="Calibri" w:hAnsi="Calibri"/>
          <w:color w:val="1E293B"/>
          <w:sz w:val="21"/>
        </w:rPr>
        <w:t>CISA &amp; FBI Joint Advisory on Volt Typhoon (Vanguard Panda) infiltrating US critical infrastructure via Cisco/FortiOS CVE-2023-27997 and living-off-the-land PowerShell.</w:t>
      </w:r>
    </w:p>
    <w:p>
      <w:pPr>
        <w:pStyle w:val="ListBullet"/>
        <w:spacing w:before="0" w:after="60" w:line="276" w:lineRule="auto"/>
      </w:pPr>
      <w:r>
        <w:rPr>
          <w:rFonts w:ascii="Calibri" w:hAnsi="Calibri"/>
          <w:b/>
          <w:color w:val="1E293B"/>
          <w:sz w:val="21"/>
        </w:rPr>
        <w:t xml:space="preserve">3. Lazarus AppleJeus Fintech Heists: </w:t>
      </w:r>
      <w:r>
        <w:rPr>
          <w:rFonts w:ascii="Calibri" w:hAnsi="Calibri"/>
          <w:color w:val="1E293B"/>
          <w:sz w:val="21"/>
        </w:rPr>
        <w:t>FBI Flash Alert on North Korean Lazarus Group deploying fraudulent cryptocurrency trading platforms with AppleJeus backdoors.</w:t>
      </w:r>
    </w:p>
    <w:p>
      <w:pPr>
        <w:pStyle w:val="ListBullet"/>
        <w:spacing w:before="0" w:after="60" w:line="276" w:lineRule="auto"/>
      </w:pPr>
      <w:r>
        <w:rPr>
          <w:rFonts w:ascii="Calibri" w:hAnsi="Calibri"/>
          <w:b/>
          <w:color w:val="1E293B"/>
          <w:sz w:val="21"/>
        </w:rPr>
        <w:t xml:space="preserve">4. Sandworm Industroyer2 Grid Attacks: </w:t>
      </w:r>
      <w:r>
        <w:rPr>
          <w:rFonts w:ascii="Calibri" w:hAnsi="Calibri"/>
          <w:color w:val="1E293B"/>
          <w:sz w:val="21"/>
        </w:rPr>
        <w:t>Mandiant CTI Report on Sandworm Team (APT44) targeting European electrical substations using CaddyWiper and Industroyer2.</w:t>
      </w:r>
    </w:p>
    <w:p>
      <w:pPr>
        <w:pStyle w:val="ListBullet"/>
        <w:spacing w:before="0" w:after="60" w:line="276" w:lineRule="auto"/>
      </w:pPr>
      <w:r>
        <w:rPr>
          <w:rFonts w:ascii="Calibri" w:hAnsi="Calibri"/>
          <w:b/>
          <w:color w:val="1E293B"/>
          <w:sz w:val="21"/>
        </w:rPr>
        <w:t xml:space="preserve">5. APT28 Defense Sector Espionage: </w:t>
      </w:r>
      <w:r>
        <w:rPr>
          <w:rFonts w:ascii="Calibri" w:hAnsi="Calibri"/>
          <w:color w:val="1E293B"/>
          <w:sz w:val="21"/>
        </w:rPr>
        <w:t>NCSC Advisory on APT28 (Fancy Bear, Sofacy) executing credential harvesting against NATO defense organizations via CVE-2023-38831.</w:t>
      </w:r>
    </w:p>
    <w:p>
      <w:pPr>
        <w:pStyle w:val="ListBullet"/>
        <w:spacing w:before="0" w:after="60" w:line="276" w:lineRule="auto"/>
      </w:pPr>
      <w:r>
        <w:rPr>
          <w:rFonts w:ascii="Calibri" w:hAnsi="Calibri"/>
          <w:b/>
          <w:color w:val="1E293B"/>
          <w:sz w:val="21"/>
        </w:rPr>
        <w:t xml:space="preserve">6. FIN7 Retail &amp; Financial Extortion: </w:t>
      </w:r>
      <w:r>
        <w:rPr>
          <w:rFonts w:ascii="Calibri" w:hAnsi="Calibri"/>
          <w:color w:val="1E293B"/>
          <w:sz w:val="21"/>
        </w:rPr>
        <w:t>Commercial CTI Report on FIN7 (Carbanak) deploying ransomware loaders (BASTION) across retail and banking networks.</w:t>
      </w:r>
    </w:p>
    <w:p>
      <w:pPr>
        <w:keepNext/>
        <w:spacing w:before="280" w:after="80"/>
      </w:pPr>
      <w:r>
        <w:rPr>
          <w:rFonts w:ascii="Arial" w:hAnsi="Arial"/>
          <w:b/>
          <w:color w:val="1E3A8A"/>
          <w:sz w:val="26"/>
        </w:rPr>
        <w:t>4.4 Screenshots of Database Implementation &amp; Live Records</w:t>
      </w:r>
    </w:p>
    <w:p>
      <w:pPr>
        <w:spacing w:before="0" w:after="120" w:line="276" w:lineRule="auto"/>
      </w:pPr>
      <w:r>
        <w:rPr>
          <w:rFonts w:ascii="Calibri" w:hAnsi="Calibri"/>
          <w:i w:val="0"/>
          <w:color w:val="1E293B"/>
          <w:sz w:val="21"/>
        </w:rPr>
        <w:t>The following figures provide direct evidence of the running database, Cypher execution, and live graph records:</w:t>
      </w:r>
    </w:p>
    <w:p>
      <w:pPr>
        <w:spacing w:before="160" w:after="6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live_neo4j_browser.png"/>
                    <pic:cNvPicPr/>
                  </pic:nvPicPr>
                  <pic:blipFill>
                    <a:blip r:embed="rId9"/>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1: Official Neo4j Browser Console (http://localhost:7474) displaying the active ThreatGraphDB schema, node label distribution, and Cypher execution verification.</w:t>
      </w:r>
    </w:p>
    <w:p>
      <w:pPr>
        <w:spacing w:before="160" w:after="6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live_threatgraph_canvas.png"/>
                    <pic:cNvPicPr/>
                  </pic:nvPicPr>
                  <pic:blipFill>
                    <a:blip r:embed="rId10"/>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2: ThreatGraph AI Live Knowledge Graph Canvas rendering 81 nodes and 355 directed STIX 2.1 edges with force-directed physics.</w:t>
      </w:r>
    </w:p>
    <w:p>
      <w:pPr>
        <w:spacing w:before="160" w:after="6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live_node_inspector.png"/>
                    <pic:cNvPicPr/>
                  </pic:nvPicPr>
                  <pic:blipFill>
                    <a:blip r:embed="rId11"/>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3: Threat Entity Inspector showing metadata attributes, alias resolution details, confidence score, and 1-hop connected neighbors for APT29.</w:t>
      </w:r>
    </w:p>
    <w:p>
      <w:r>
        <w:br w:type="page"/>
      </w:r>
    </w:p>
    <w:p>
      <w:pPr>
        <w:keepNext/>
        <w:spacing w:before="360" w:after="120"/>
      </w:pPr>
      <w:r>
        <w:rPr>
          <w:rFonts w:ascii="Arial" w:hAnsi="Arial"/>
          <w:b/>
          <w:color w:val="0B2545"/>
          <w:sz w:val="32"/>
        </w:rPr>
        <w:t>5. CRUD Operations and 10 Meaningful Project-Specific Queries</w:t>
      </w:r>
    </w:p>
    <w:p>
      <w:pPr>
        <w:keepNext/>
        <w:spacing w:before="280" w:after="80"/>
      </w:pPr>
      <w:r>
        <w:rPr>
          <w:rFonts w:ascii="Arial" w:hAnsi="Arial"/>
          <w:b/>
          <w:color w:val="1E3A8A"/>
          <w:sz w:val="26"/>
        </w:rPr>
        <w:t>5.1 Basic CRUD Operations in Cypher</w:t>
      </w:r>
    </w:p>
    <w:p>
      <w:pPr>
        <w:spacing w:before="0" w:after="120" w:line="276" w:lineRule="auto"/>
      </w:pPr>
      <w:r>
        <w:rPr>
          <w:rFonts w:ascii="Calibri" w:hAnsi="Calibri"/>
          <w:i w:val="0"/>
          <w:color w:val="1E293B"/>
          <w:sz w:val="21"/>
        </w:rPr>
        <w:t>ThreatGraph AI implements full Create, Read, Update, and Delete (CRUD) operations via Cypher:</w:t>
      </w:r>
    </w:p>
    <w:p>
      <w:pPr>
        <w:spacing w:before="0" w:after="120" w:line="276" w:lineRule="auto"/>
      </w:pPr>
      <w:r>
        <w:rPr>
          <w:rFonts w:ascii="Calibri" w:hAnsi="Calibri"/>
          <w:b/>
          <w:color w:val="1E293B"/>
          <w:sz w:val="21"/>
        </w:rPr>
        <w:t xml:space="preserve">A. CREATE Operation: </w:t>
      </w:r>
      <w:r>
        <w:rPr>
          <w:rFonts w:ascii="Calibri" w:hAnsi="Calibri"/>
          <w:i w:val="0"/>
          <w:color w:val="1E293B"/>
          <w:sz w:val="21"/>
        </w:rPr>
        <w:t>Operation 1: CREATE (Insert Threat Actor and Campaign with Relationships)</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(CREATE) Query / Statement]</w:t>
              <w:br/>
            </w:r>
            <w:r>
              <w:rPr>
                <w:rFonts w:ascii="Consolas" w:hAnsi="Consolas"/>
                <w:color w:val="1E293B"/>
                <w:sz w:val="18"/>
              </w:rPr>
              <w:t>// CREATE a new Threat Actor node and linked Campaign</w:t>
              <w:br/>
              <w:t>MERGE (a:ThreatActor {id: 'threat-actor--volt-typhoon'})</w:t>
              <w:br/>
              <w:t>ON CREATE SET a.name = 'Volt Typhoon',</w:t>
              <w:br/>
              <w:t xml:space="preserve">              a.aliases = ['Vanguard Panda', 'Bronze Silhouette'],</w:t>
              <w:br/>
              <w:t xml:space="preserve">              a.country = 'CN',</w:t>
              <w:br/>
              <w:t xml:space="preserve">              a.description = 'PRC state-sponsored cyber espionage actor targeting critical infrastructure.'</w:t>
              <w:br/>
              <w:t>MERGE (c:Campaign {id: 'campaign--telecom-stealth-2024'})</w:t>
              <w:br/>
              <w:t>ON CREATE SET c.name = 'US Telecom Infiltration',</w:t>
              <w:br/>
              <w:t xml:space="preserve">              c.first_seen = '2024-01-15T00:00:00Z'</w:t>
              <w:br/>
              <w:t>MERGE (a)-[r:CONDUCTS {source_report_id: 'report--cisa-aa24-038a', confidence: 0.95}]-&gt;(c)</w:t>
              <w:br/>
              <w:t>RETURN a.name AS actor, type(r) AS rel, c.name AS campaign;</w:t>
            </w:r>
          </w:p>
        </w:tc>
      </w:tr>
    </w:tbl>
    <w:p>
      <w:pPr>
        <w:spacing w:after="60"/>
      </w:pP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actor</w:t>
            </w:r>
          </w:p>
        </w:tc>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rel</w:t>
            </w:r>
          </w:p>
        </w:tc>
        <w:tc>
          <w:tcPr>
            <w:tcW w:type="dxa" w:w="388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campaign</w:t>
            </w:r>
          </w:p>
        </w:tc>
      </w:tr>
      <w:tr>
        <w:tc>
          <w:tcPr>
            <w:tcW w:type="dxa" w:w="288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CONDUCTS</w:t>
            </w:r>
          </w:p>
        </w:tc>
        <w:tc>
          <w:tcPr>
            <w:tcW w:type="dxa" w:w="388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US Telecom Infiltration</w:t>
            </w:r>
          </w:p>
        </w:tc>
      </w:tr>
    </w:tbl>
    <w:p>
      <w:pPr>
        <w:spacing w:after="80"/>
      </w:pPr>
    </w:p>
    <w:p>
      <w:pPr>
        <w:spacing w:before="0" w:after="120" w:line="276" w:lineRule="auto"/>
      </w:pPr>
      <w:r>
        <w:rPr>
          <w:rFonts w:ascii="Calibri" w:hAnsi="Calibri"/>
          <w:b/>
          <w:color w:val="1E293B"/>
          <w:sz w:val="21"/>
        </w:rPr>
        <w:t xml:space="preserve">B. READ Operation: </w:t>
      </w:r>
      <w:r>
        <w:rPr>
          <w:rFonts w:ascii="Calibri" w:hAnsi="Calibri"/>
          <w:i w:val="0"/>
          <w:color w:val="1E293B"/>
          <w:sz w:val="21"/>
        </w:rPr>
        <w:t>Operation 2: READ (Query Threat Actors with Country Attribution and Aliases)</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(READ) Query / Statement]</w:t>
              <w:br/>
            </w:r>
            <w:r>
              <w:rPr>
                <w:rFonts w:ascii="Consolas" w:hAnsi="Consolas"/>
                <w:color w:val="1E293B"/>
                <w:sz w:val="18"/>
              </w:rPr>
              <w:t>// READ all Threat Actors with their country attribution and alias count</w:t>
              <w:br/>
              <w:t>MATCH (a:ThreatActor)</w:t>
              <w:br/>
              <w:t>RETURN a.name AS ActorName, a.country AS Country, size(a.aliases) AS AliasCount, a.aliases AS KnownAliases</w:t>
              <w:br/>
              <w:t>ORDER BY a.name ASC;</w:t>
            </w:r>
          </w:p>
        </w:tc>
      </w:tr>
    </w:tbl>
    <w:p>
      <w:pPr>
        <w:spacing w:after="6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ActorName</w:t>
            </w:r>
          </w:p>
        </w:tc>
        <w:tc>
          <w:tcPr>
            <w:tcW w:type="dxa" w:w="115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Country</w:t>
            </w:r>
          </w:p>
        </w:tc>
        <w:tc>
          <w:tcPr>
            <w:tcW w:type="dxa" w:w="144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AliasCount</w:t>
            </w:r>
          </w:p>
        </w:tc>
        <w:tc>
          <w:tcPr>
            <w:tcW w:type="dxa" w:w="460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KnownAliases</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APT28</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RU</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4</w:t>
            </w:r>
          </w:p>
        </w:tc>
        <w:tc>
          <w:tcPr>
            <w:tcW w:type="dxa" w:w="460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['Fancy Bear', 'Sofacy', 'STRONTIUM', 'Forest Blizzard']</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RU</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5</w:t>
            </w:r>
          </w:p>
        </w:tc>
        <w:tc>
          <w:tcPr>
            <w:tcW w:type="dxa" w:w="460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['Cozy Bear', 'NOBELIUM', 'Midnight Blizzard', 'UNC2452', 'YTTRIUM']</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FIN7</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RU/UA</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460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['Carbanak', 'Sangria Tempest']</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Lazarus Group</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KP</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3</w:t>
            </w:r>
          </w:p>
        </w:tc>
        <w:tc>
          <w:tcPr>
            <w:tcW w:type="dxa" w:w="460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['HIDDEN COBRA', 'Zinc', 'Diamond Sleet']</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Sandworm Team</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RU</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3</w:t>
            </w:r>
          </w:p>
        </w:tc>
        <w:tc>
          <w:tcPr>
            <w:tcW w:type="dxa" w:w="460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['APT44', 'Seashell Blizzard', 'TeleBots']</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CN</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460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['Vanguard Panda', 'Bronze Silhouette']</w:t>
            </w:r>
          </w:p>
        </w:tc>
      </w:tr>
    </w:tbl>
    <w:p>
      <w:pPr>
        <w:spacing w:after="80"/>
      </w:pPr>
    </w:p>
    <w:p>
      <w:pPr>
        <w:spacing w:before="0" w:after="120" w:line="276" w:lineRule="auto"/>
      </w:pPr>
      <w:r>
        <w:rPr>
          <w:rFonts w:ascii="Calibri" w:hAnsi="Calibri"/>
          <w:b/>
          <w:color w:val="1E293B"/>
          <w:sz w:val="21"/>
        </w:rPr>
        <w:t xml:space="preserve">C. UPDATE Operation: </w:t>
      </w:r>
      <w:r>
        <w:rPr>
          <w:rFonts w:ascii="Calibri" w:hAnsi="Calibri"/>
          <w:i w:val="0"/>
          <w:color w:val="1E293B"/>
          <w:sz w:val="21"/>
        </w:rPr>
        <w:t>Operation 3: UPDATE (Enrich Threat Actor with New Alias and Updated Metadata)</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(UPDATE) Query / Statement]</w:t>
              <w:br/>
            </w:r>
            <w:r>
              <w:rPr>
                <w:rFonts w:ascii="Consolas" w:hAnsi="Consolas"/>
                <w:color w:val="1E293B"/>
                <w:sz w:val="18"/>
              </w:rPr>
              <w:t>// UPDATE an existing threat actor with an additional alias and verified active status</w:t>
              <w:br/>
              <w:t>MATCH (a:ThreatActor {name: 'APT29'})</w:t>
              <w:br/>
              <w:t>SET a.aliases = a.aliases + ['BlueBravo'],</w:t>
              <w:br/>
              <w:t xml:space="preserve">    a.last_activity = '2026-10-25T14:30:00Z',</w:t>
              <w:br/>
              <w:t xml:space="preserve">    a.threat_level = 'CRITICAL'</w:t>
              <w:br/>
              <w:t>RETURN a.name AS Actor, a.aliases AS UpdatedAliases, a.threat_level AS ThreatLevel;</w:t>
            </w:r>
          </w:p>
        </w:tc>
      </w:tr>
    </w:tbl>
    <w:p>
      <w:pPr>
        <w:spacing w:after="60"/>
      </w:pP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Actor</w:t>
            </w:r>
          </w:p>
        </w:tc>
        <w:tc>
          <w:tcPr>
            <w:tcW w:type="dxa" w:w="54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UpdatedAliases</w:t>
            </w:r>
          </w:p>
        </w:tc>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ThreatLevel</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c>
          <w:tcPr>
            <w:tcW w:type="dxa" w:w="54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['Cozy Bear', 'NOBELIUM', 'Midnight Blizzard', 'UNC2452', 'YTTRIUM', 'BlueBravo']</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CRITICAL</w:t>
            </w:r>
          </w:p>
        </w:tc>
      </w:tr>
    </w:tbl>
    <w:p>
      <w:pPr>
        <w:spacing w:after="80"/>
      </w:pPr>
    </w:p>
    <w:p>
      <w:pPr>
        <w:spacing w:before="0" w:after="120" w:line="276" w:lineRule="auto"/>
      </w:pPr>
      <w:r>
        <w:rPr>
          <w:rFonts w:ascii="Calibri" w:hAnsi="Calibri"/>
          <w:b/>
          <w:color w:val="1E293B"/>
          <w:sz w:val="21"/>
        </w:rPr>
        <w:t xml:space="preserve">D. DELETE Operation: </w:t>
      </w:r>
      <w:r>
        <w:rPr>
          <w:rFonts w:ascii="Calibri" w:hAnsi="Calibri"/>
          <w:i w:val="0"/>
          <w:color w:val="1E293B"/>
          <w:sz w:val="21"/>
        </w:rPr>
        <w:t>Operation 4: DELETE (Detach and Remove Deprecated Test Entity Without Corrupting Graph)</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(DELETE) Query / Statement]</w:t>
              <w:br/>
            </w:r>
            <w:r>
              <w:rPr>
                <w:rFonts w:ascii="Consolas" w:hAnsi="Consolas"/>
                <w:color w:val="1E293B"/>
                <w:sz w:val="18"/>
              </w:rPr>
              <w:t>// Safely detach and remove deprecated test indicator</w:t>
              <w:br/>
              <w:t>MATCH (test:IP {value: '192.0.2.1'})</w:t>
              <w:br/>
              <w:t>DETACH DELETE test</w:t>
              <w:br/>
              <w:t>RETURN count(test) AS DeletedCount;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DeletedCount</w:t>
            </w:r>
          </w:p>
        </w:tc>
      </w:tr>
      <w:tr>
        <w:tc>
          <w:tcPr>
            <w:tcW w:type="dxa" w:w="93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w:t>
            </w:r>
          </w:p>
        </w:tc>
      </w:tr>
    </w:tbl>
    <w:p>
      <w:pPr>
        <w:spacing w:after="80"/>
      </w:pPr>
    </w:p>
    <w:p>
      <w:pPr>
        <w:keepNext/>
        <w:spacing w:before="280" w:after="80"/>
      </w:pPr>
      <w:r>
        <w:rPr>
          <w:rFonts w:ascii="Arial" w:hAnsi="Arial"/>
          <w:b/>
          <w:color w:val="1E3A8A"/>
          <w:sz w:val="26"/>
        </w:rPr>
        <w:t>5.2 Ten Meaningful Project-Specific Cypher Queries with Outputs</w:t>
      </w:r>
    </w:p>
    <w:p>
      <w:pPr>
        <w:spacing w:before="0" w:after="120" w:line="276" w:lineRule="auto"/>
      </w:pPr>
      <w:r>
        <w:rPr>
          <w:rFonts w:ascii="Calibri" w:hAnsi="Calibri"/>
          <w:i w:val="0"/>
          <w:color w:val="1E293B"/>
          <w:sz w:val="21"/>
        </w:rPr>
        <w:t>Below are 10 production-grade Cypher queries designed for advanced security operations and threat hunting:</w:t>
      </w:r>
    </w:p>
    <w:p>
      <w:pPr>
        <w:spacing w:before="0" w:after="120" w:line="276" w:lineRule="auto"/>
      </w:pPr>
      <w:r>
        <w:rPr>
          <w:rFonts w:ascii="Calibri" w:hAnsi="Calibri"/>
          <w:b/>
          <w:color w:val="1E293B"/>
          <w:sz w:val="21"/>
        </w:rPr>
        <w:t xml:space="preserve">Query 1 (Multi-Hop Attack Chain): </w:t>
      </w:r>
      <w:r>
        <w:rPr>
          <w:rFonts w:ascii="Calibri" w:hAnsi="Calibri"/>
          <w:i w:val="0"/>
          <w:color w:val="1E293B"/>
          <w:sz w:val="21"/>
        </w:rPr>
        <w:t>Query 1: Multi-Hop Threat Infrastructure Traversal (Actor -&gt; Malware -&gt; C2)</w:t>
      </w:r>
    </w:p>
    <w:p>
      <w:pPr>
        <w:spacing w:before="0" w:after="120" w:line="276" w:lineRule="auto"/>
      </w:pPr>
      <w:r>
        <w:rPr>
          <w:rFonts w:ascii="Calibri" w:hAnsi="Calibri"/>
          <w:i w:val="0"/>
          <w:color w:val="1E293B"/>
          <w:sz w:val="21"/>
        </w:rPr>
        <w:t>Traces the complete operational chain from a Threat Actor through deployed malware families to contacting external C2 domains/IPs:</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1 Query / Statement]</w:t>
              <w:br/>
            </w:r>
            <w:r>
              <w:rPr>
                <w:rFonts w:ascii="Consolas" w:hAnsi="Consolas"/>
                <w:color w:val="1E293B"/>
                <w:sz w:val="18"/>
              </w:rPr>
              <w:t>MATCH (actor:ThreatActor)-[:USES]-&gt;(m:Malware)-[r:CONTACTS]-&gt;(infra)</w:t>
              <w:br/>
              <w:t>RETURN actor.name AS ThreatActor, m.name AS MalwareFamily, type(r) AS Relationship, labels(infra)[0] AS InfraType, infra.value AS Indicator</w:t>
              <w:br/>
              <w:t>ORDER BY actor.name, m.name LIMIT 6;</w:t>
            </w:r>
          </w:p>
        </w:tc>
      </w:tr>
    </w:tbl>
    <w:p>
      <w:pPr>
        <w:spacing w:after="60"/>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ThreatActor</w:t>
            </w:r>
          </w:p>
        </w:tc>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MalwareFamily</w:t>
            </w:r>
          </w:p>
        </w:tc>
        <w:tc>
          <w:tcPr>
            <w:tcW w:type="dxa" w:w="1584"/>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Relationship</w:t>
            </w:r>
          </w:p>
        </w:tc>
        <w:tc>
          <w:tcPr>
            <w:tcW w:type="dxa" w:w="144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InfraType</w:t>
            </w:r>
          </w:p>
        </w:tc>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Indicator</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SUNBURST</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CONTACTS</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Domain</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avsvmcloud.com</w:t>
            </w:r>
          </w:p>
        </w:tc>
      </w:tr>
      <w:tr>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SUNBURST</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CONTACTS</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Domain</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panprocess.com</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SUNBURST</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CONTACTS</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Domain</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deftsecurity.com</w:t>
            </w:r>
          </w:p>
        </w:tc>
      </w:tr>
      <w:tr>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TEARDROP</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CONTACTS</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IP</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54.193.127.211</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KV-Botnet</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CONTACTS</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Domain</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router-auth-update.com</w:t>
            </w:r>
          </w:p>
        </w:tc>
      </w:tr>
      <w:tr>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Lazarus Group</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AppleJeus</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CONTACTS</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Domain</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secure-wallet-api.org</w:t>
            </w:r>
          </w:p>
        </w:tc>
      </w:tr>
    </w:tbl>
    <w:p>
      <w:pPr>
        <w:spacing w:after="80"/>
      </w:pPr>
    </w:p>
    <w:p>
      <w:pPr>
        <w:spacing w:before="0" w:after="120" w:line="276" w:lineRule="auto"/>
      </w:pPr>
      <w:r>
        <w:rPr>
          <w:rFonts w:ascii="Calibri" w:hAnsi="Calibri"/>
          <w:b/>
          <w:color w:val="1E293B"/>
          <w:sz w:val="21"/>
        </w:rPr>
        <w:t xml:space="preserve">Query 2 (Forensic Shortest Path): </w:t>
      </w:r>
      <w:r>
        <w:rPr>
          <w:rFonts w:ascii="Calibri" w:hAnsi="Calibri"/>
          <w:i w:val="0"/>
          <w:color w:val="1E293B"/>
          <w:sz w:val="21"/>
        </w:rPr>
        <w:t>Query 2: Shortest Path Analysis between Threat Actor and Exploited CVE</w:t>
      </w:r>
    </w:p>
    <w:p>
      <w:pPr>
        <w:spacing w:before="0" w:after="120" w:line="276" w:lineRule="auto"/>
      </w:pPr>
      <w:r>
        <w:rPr>
          <w:rFonts w:ascii="Calibri" w:hAnsi="Calibri"/>
          <w:i w:val="0"/>
          <w:color w:val="1E293B"/>
          <w:sz w:val="21"/>
        </w:rPr>
        <w:t>Finds the minimum topological hop count connecting an adversary to a vulnerability to determine direct vs tool-based exploitation:</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2 Query / Statement]</w:t>
              <w:br/>
            </w:r>
            <w:r>
              <w:rPr>
                <w:rFonts w:ascii="Consolas" w:hAnsi="Consolas"/>
                <w:color w:val="1E293B"/>
                <w:sz w:val="18"/>
              </w:rPr>
              <w:t>MATCH (a:ThreatActor {name: 'Volt Typhoon'}), (v:CVE {id: 'CVE-2023-27997'})</w:t>
              <w:br/>
              <w:t>MATCH p = shortestPath((a)-[*..4]-(v))</w:t>
              <w:br/>
              <w:t>RETURN [n IN nodes(p) | coalesce(n.name, n.id)] AS ShortestPath,</w:t>
              <w:br/>
              <w:t xml:space="preserve">       [r IN relationships(p) | type(r)] AS Relationships,</w:t>
              <w:br/>
              <w:t xml:space="preserve">       length(p) AS HopCount;</w:t>
            </w:r>
          </w:p>
        </w:tc>
      </w:tr>
    </w:tbl>
    <w:p>
      <w:pPr>
        <w:spacing w:after="60"/>
      </w:pPr>
    </w:p>
    <w:tbl>
      <w:tblPr>
        <w:tblW w:type="auto" w:w="0"/>
        <w:jc w:val="center"/>
        <w:tblLayout w:type="fixed"/>
        <w:tblLook w:firstColumn="1" w:firstRow="1" w:lastColumn="0" w:lastRow="0" w:noHBand="0" w:noVBand="1" w:val="04A0"/>
      </w:tblPr>
      <w:tblGrid>
        <w:gridCol w:w="3120"/>
        <w:gridCol w:w="3120"/>
        <w:gridCol w:w="3120"/>
      </w:tblGrid>
      <w:tr>
        <w:tc>
          <w:tcPr>
            <w:tcW w:type="dxa" w:w="432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ShortestPath</w:t>
            </w:r>
          </w:p>
        </w:tc>
        <w:tc>
          <w:tcPr>
            <w:tcW w:type="dxa" w:w="360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Relationships</w:t>
            </w:r>
          </w:p>
        </w:tc>
        <w:tc>
          <w:tcPr>
            <w:tcW w:type="dxa" w:w="144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HopCount</w:t>
            </w:r>
          </w:p>
        </w:tc>
      </w:tr>
      <w:tr>
        <w:tc>
          <w:tcPr>
            <w:tcW w:type="dxa" w:w="432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 'CVE-2023-27997']</w:t>
            </w:r>
          </w:p>
        </w:tc>
        <w:tc>
          <w:tcPr>
            <w:tcW w:type="dxa" w:w="36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['EXPLOITS']</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w:t>
            </w:r>
          </w:p>
        </w:tc>
      </w:tr>
    </w:tbl>
    <w:p>
      <w:pPr>
        <w:spacing w:after="80"/>
      </w:pPr>
    </w:p>
    <w:p>
      <w:pPr>
        <w:spacing w:before="0" w:after="120" w:line="276" w:lineRule="auto"/>
      </w:pPr>
      <w:r>
        <w:rPr>
          <w:rFonts w:ascii="Calibri" w:hAnsi="Calibri"/>
          <w:b/>
          <w:color w:val="1E293B"/>
          <w:sz w:val="21"/>
        </w:rPr>
        <w:t xml:space="preserve">Query 3 (Cross-Actor Infrastructure Overlap): </w:t>
      </w:r>
      <w:r>
        <w:rPr>
          <w:rFonts w:ascii="Calibri" w:hAnsi="Calibri"/>
          <w:i w:val="0"/>
          <w:color w:val="1E293B"/>
          <w:sz w:val="21"/>
        </w:rPr>
        <w:t>Query 3: Shared Infrastructure Discovery Across Distinct APT Groups</w:t>
      </w:r>
    </w:p>
    <w:p>
      <w:pPr>
        <w:spacing w:before="0" w:after="120" w:line="276" w:lineRule="auto"/>
      </w:pPr>
      <w:r>
        <w:rPr>
          <w:rFonts w:ascii="Calibri" w:hAnsi="Calibri"/>
          <w:i w:val="0"/>
          <w:color w:val="1E293B"/>
          <w:sz w:val="21"/>
        </w:rPr>
        <w:t>Discovers shared C2 IP addresses or proxy domains utilized by two or more distinct threat actors, revealing vendor infrastructure sharing:</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3 Query / Statement]</w:t>
              <w:br/>
            </w:r>
            <w:r>
              <w:rPr>
                <w:rFonts w:ascii="Consolas" w:hAnsi="Consolas"/>
                <w:color w:val="1E293B"/>
                <w:sz w:val="18"/>
              </w:rPr>
              <w:t>MATCH (a1:ThreatActor)-[:USES]-&gt;(:Malware)-[:CONTACTS]-&gt;(shared)&lt;-[:CONTACTS]-(:Malware)&lt;-[:USES]-(a2:ThreatActor)</w:t>
              <w:br/>
              <w:t>WHERE a1.name &lt; a2.name</w:t>
              <w:br/>
              <w:t>RETURN a1.name AS Actor1, a2.name AS Actor2, labels(shared)[0] AS AssetType, shared.value AS SharedIndicator, count(*) AS OverlapWeight;</w:t>
            </w:r>
          </w:p>
        </w:tc>
      </w:tr>
    </w:tbl>
    <w:p>
      <w:pPr>
        <w:spacing w:after="60"/>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Actor1</w:t>
            </w:r>
          </w:p>
        </w:tc>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Actor2</w:t>
            </w:r>
          </w:p>
        </w:tc>
        <w:tc>
          <w:tcPr>
            <w:tcW w:type="dxa" w:w="144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AssetType</w:t>
            </w:r>
          </w:p>
        </w:tc>
        <w:tc>
          <w:tcPr>
            <w:tcW w:type="dxa" w:w="2736"/>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SharedIndicator</w:t>
            </w:r>
          </w:p>
        </w:tc>
        <w:tc>
          <w:tcPr>
            <w:tcW w:type="dxa" w:w="144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OverlapWeight</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APT28</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Sandworm Team</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IP</w:t>
            </w:r>
          </w:p>
        </w:tc>
        <w:tc>
          <w:tcPr>
            <w:tcW w:type="dxa" w:w="273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185.193.125.14</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w:t>
            </w:r>
          </w:p>
        </w:tc>
      </w:tr>
      <w:tr>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IP</w:t>
            </w:r>
          </w:p>
        </w:tc>
        <w:tc>
          <w:tcPr>
            <w:tcW w:type="dxa" w:w="273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45.33.32.156</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w:t>
            </w:r>
          </w:p>
        </w:tc>
      </w:tr>
    </w:tbl>
    <w:p>
      <w:pPr>
        <w:spacing w:after="80"/>
      </w:pPr>
    </w:p>
    <w:p>
      <w:pPr>
        <w:spacing w:before="0" w:after="120" w:line="276" w:lineRule="auto"/>
      </w:pPr>
      <w:r>
        <w:rPr>
          <w:rFonts w:ascii="Calibri" w:hAnsi="Calibri"/>
          <w:b/>
          <w:color w:val="1E293B"/>
          <w:sz w:val="21"/>
        </w:rPr>
        <w:t xml:space="preserve">Query 4 (CVE Weaponization Matrix): </w:t>
      </w:r>
      <w:r>
        <w:rPr>
          <w:rFonts w:ascii="Calibri" w:hAnsi="Calibri"/>
          <w:i w:val="0"/>
          <w:color w:val="1E293B"/>
          <w:sz w:val="21"/>
        </w:rPr>
        <w:t>Query 4: Vulnerability Weaponization Matrix Across Adversary Groups</w:t>
      </w:r>
    </w:p>
    <w:p>
      <w:pPr>
        <w:spacing w:before="0" w:after="120" w:line="276" w:lineRule="auto"/>
      </w:pPr>
      <w:r>
        <w:rPr>
          <w:rFonts w:ascii="Calibri" w:hAnsi="Calibri"/>
          <w:i w:val="0"/>
          <w:color w:val="1E293B"/>
          <w:sz w:val="21"/>
        </w:rPr>
        <w:t>Identifies high-impact CVEs actively exploited across multiple threat actors to prioritize enterprise patching:</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4 Query / Statement]</w:t>
              <w:br/>
            </w:r>
            <w:r>
              <w:rPr>
                <w:rFonts w:ascii="Consolas" w:hAnsi="Consolas"/>
                <w:color w:val="1E293B"/>
                <w:sz w:val="18"/>
              </w:rPr>
              <w:t>MATCH (a:ThreatActor)-[:EXPLOITS]-&gt;(c:CVE)</w:t>
              <w:br/>
              <w:t>RETURN c.id AS Vulnerability, count(a) AS ThreatActorsExploiting, collect(a.name) AS ExploitedBy</w:t>
              <w:br/>
              <w:t>ORDER BY ThreatActorsExploiting DESC;</w:t>
            </w:r>
          </w:p>
        </w:tc>
      </w:tr>
    </w:tbl>
    <w:p>
      <w:pPr>
        <w:spacing w:after="6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Vulnerability</w:t>
            </w:r>
          </w:p>
        </w:tc>
        <w:tc>
          <w:tcPr>
            <w:tcW w:type="dxa" w:w="244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ThreatActorsExploiting</w:t>
            </w:r>
          </w:p>
        </w:tc>
        <w:tc>
          <w:tcPr>
            <w:tcW w:type="dxa" w:w="432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ExploitedBy</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CVE-2023-38831</w:t>
            </w:r>
          </w:p>
        </w:tc>
        <w:tc>
          <w:tcPr>
            <w:tcW w:type="dxa" w:w="244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432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['APT28', 'Sandworm Team']</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CVE-2020-10148</w:t>
            </w:r>
          </w:p>
        </w:tc>
        <w:tc>
          <w:tcPr>
            <w:tcW w:type="dxa" w:w="244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w:t>
            </w:r>
          </w:p>
        </w:tc>
        <w:tc>
          <w:tcPr>
            <w:tcW w:type="dxa" w:w="432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CVE-2023-27997</w:t>
            </w:r>
          </w:p>
        </w:tc>
        <w:tc>
          <w:tcPr>
            <w:tcW w:type="dxa" w:w="244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w:t>
            </w:r>
          </w:p>
        </w:tc>
        <w:tc>
          <w:tcPr>
            <w:tcW w:type="dxa" w:w="432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CVE-2022-26134</w:t>
            </w:r>
          </w:p>
        </w:tc>
        <w:tc>
          <w:tcPr>
            <w:tcW w:type="dxa" w:w="244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w:t>
            </w:r>
          </w:p>
        </w:tc>
        <w:tc>
          <w:tcPr>
            <w:tcW w:type="dxa" w:w="432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['Lazarus Group']</w:t>
            </w:r>
          </w:p>
        </w:tc>
      </w:tr>
    </w:tbl>
    <w:p>
      <w:pPr>
        <w:spacing w:after="80"/>
      </w:pPr>
    </w:p>
    <w:p>
      <w:pPr>
        <w:spacing w:before="0" w:after="120" w:line="276" w:lineRule="auto"/>
      </w:pPr>
      <w:r>
        <w:rPr>
          <w:rFonts w:ascii="Calibri" w:hAnsi="Calibri"/>
          <w:b/>
          <w:color w:val="1E293B"/>
          <w:sz w:val="21"/>
        </w:rPr>
        <w:t xml:space="preserve">Query 5 (High-Degree Topological Hubs): </w:t>
      </w:r>
      <w:r>
        <w:rPr>
          <w:rFonts w:ascii="Calibri" w:hAnsi="Calibri"/>
          <w:i w:val="0"/>
          <w:color w:val="1E293B"/>
          <w:sz w:val="21"/>
        </w:rPr>
        <w:t>Query 5: Centrality / Hub Node Aggregation (Most Connected Indicators)</w:t>
      </w:r>
    </w:p>
    <w:p>
      <w:pPr>
        <w:spacing w:before="0" w:after="120" w:line="276" w:lineRule="auto"/>
      </w:pPr>
      <w:r>
        <w:rPr>
          <w:rFonts w:ascii="Calibri" w:hAnsi="Calibri"/>
          <w:i w:val="0"/>
          <w:color w:val="1E293B"/>
          <w:sz w:val="21"/>
        </w:rPr>
        <w:t>Calculates degree centrality to find the critical nexus nodes that connect the highest number of distinct intelligence reports and entities:</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5 Query / Statement]</w:t>
              <w:br/>
            </w:r>
            <w:r>
              <w:rPr>
                <w:rFonts w:ascii="Consolas" w:hAnsi="Consolas"/>
                <w:color w:val="1E293B"/>
                <w:sz w:val="18"/>
              </w:rPr>
              <w:t>MATCH (n)</w:t>
              <w:br/>
              <w:t>WHERE NOT n:Report</w:t>
              <w:br/>
              <w:t>RETURN labels(n)[0] AS EntityLabel, coalesce(n.name, n.value, n.id) AS EntityName, count{(n)--()} AS TotalConnections</w:t>
              <w:br/>
              <w:t>ORDER BY TotalConnections DESC LIMIT 6;</w:t>
            </w:r>
          </w:p>
        </w:tc>
      </w:tr>
    </w:tbl>
    <w:p>
      <w:pPr>
        <w:spacing w:after="60"/>
      </w:pP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EntityLabel</w:t>
            </w:r>
          </w:p>
        </w:tc>
        <w:tc>
          <w:tcPr>
            <w:tcW w:type="dxa" w:w="504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EntityName</w:t>
            </w:r>
          </w:p>
        </w:tc>
        <w:tc>
          <w:tcPr>
            <w:tcW w:type="dxa" w:w="21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TotalConnections</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w:t>
            </w:r>
          </w:p>
        </w:tc>
        <w:tc>
          <w:tcPr>
            <w:tcW w:type="dxa" w:w="50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24</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ThreatActor</w:t>
            </w:r>
          </w:p>
        </w:tc>
        <w:tc>
          <w:tcPr>
            <w:tcW w:type="dxa" w:w="50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18</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w:t>
            </w:r>
          </w:p>
        </w:tc>
        <w:tc>
          <w:tcPr>
            <w:tcW w:type="dxa" w:w="50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SUNBURST</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14</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AttackTechnique</w:t>
            </w:r>
          </w:p>
        </w:tc>
        <w:tc>
          <w:tcPr>
            <w:tcW w:type="dxa" w:w="50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T1059.001 (PowerShell)</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12</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Sector</w:t>
            </w:r>
          </w:p>
        </w:tc>
        <w:tc>
          <w:tcPr>
            <w:tcW w:type="dxa" w:w="50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Financial Services</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11</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AttackTechnique</w:t>
            </w:r>
          </w:p>
        </w:tc>
        <w:tc>
          <w:tcPr>
            <w:tcW w:type="dxa" w:w="50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T1078 (Valid Accounts)</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9</w:t>
            </w:r>
          </w:p>
        </w:tc>
      </w:tr>
    </w:tbl>
    <w:p>
      <w:pPr>
        <w:spacing w:after="80"/>
      </w:pPr>
    </w:p>
    <w:p>
      <w:pPr>
        <w:spacing w:before="0" w:after="120" w:line="276" w:lineRule="auto"/>
      </w:pPr>
      <w:r>
        <w:rPr>
          <w:rFonts w:ascii="Calibri" w:hAnsi="Calibri"/>
          <w:b/>
          <w:color w:val="1E293B"/>
          <w:sz w:val="21"/>
        </w:rPr>
        <w:t xml:space="preserve">Query 6 (TTP Co-Occurrence): </w:t>
      </w:r>
      <w:r>
        <w:rPr>
          <w:rFonts w:ascii="Calibri" w:hAnsi="Calibri"/>
          <w:i w:val="0"/>
          <w:color w:val="1E293B"/>
          <w:sz w:val="21"/>
        </w:rPr>
        <w:t>Query 6: MITRE ATT&amp;CK Technique Co-Occurrence Analysis</w:t>
      </w:r>
    </w:p>
    <w:p>
      <w:pPr>
        <w:spacing w:before="0" w:after="120" w:line="276" w:lineRule="auto"/>
      </w:pPr>
      <w:r>
        <w:rPr>
          <w:rFonts w:ascii="Calibri" w:hAnsi="Calibri"/>
          <w:i w:val="0"/>
          <w:color w:val="1E293B"/>
          <w:sz w:val="21"/>
        </w:rPr>
        <w:t>Discovers pairs of attack techniques frequently deployed together by the same threat actors:</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6 Query / Statement]</w:t>
              <w:br/>
            </w:r>
            <w:r>
              <w:rPr>
                <w:rFonts w:ascii="Consolas" w:hAnsi="Consolas"/>
                <w:color w:val="1E293B"/>
                <w:sz w:val="18"/>
              </w:rPr>
              <w:t>MATCH (a:ThreatActor)-[:USES_TECHNIQUE]-&gt;(t1:AttackTechnique)</w:t>
              <w:br/>
              <w:t>MATCH (a)-[:USES_TECHNIQUE]-&gt;(t2:AttackTechnique)</w:t>
              <w:br/>
              <w:t>WHERE t1.id &lt; t2.id</w:t>
              <w:br/>
              <w:t>RETURN t1.id AS Technique1, t2.id AS Technique2, count(a) AS CoOccurringActors, collect(a.name) AS ActorsUsing</w:t>
              <w:br/>
              <w:t>ORDER BY CoOccurringActors DESC LIMIT 4;</w:t>
            </w:r>
          </w:p>
        </w:tc>
      </w:tr>
    </w:tbl>
    <w:p>
      <w:pPr>
        <w:spacing w:after="6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Technique1</w:t>
            </w:r>
          </w:p>
        </w:tc>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Technique2</w:t>
            </w:r>
          </w:p>
        </w:tc>
        <w:tc>
          <w:tcPr>
            <w:tcW w:type="dxa" w:w="2016"/>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CoOccurringActors</w:t>
            </w:r>
          </w:p>
        </w:tc>
        <w:tc>
          <w:tcPr>
            <w:tcW w:type="dxa" w:w="360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ActorsUsing</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T1059.001</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T1078</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4</w:t>
            </w:r>
          </w:p>
        </w:tc>
        <w:tc>
          <w:tcPr>
            <w:tcW w:type="dxa" w:w="36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 'Volt Typhoon', 'Lazarus Group', 'APT28']</w:t>
            </w:r>
          </w:p>
        </w:tc>
      </w:tr>
      <w:tr>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T1003</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T1059.001</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3</w:t>
            </w:r>
          </w:p>
        </w:tc>
        <w:tc>
          <w:tcPr>
            <w:tcW w:type="dxa" w:w="36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 'Sandworm Team', 'FIN7']</w:t>
            </w:r>
          </w:p>
        </w:tc>
      </w:tr>
      <w:tr>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T1078</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T1195.002</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36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 'Volt Typhoon']</w:t>
            </w:r>
          </w:p>
        </w:tc>
      </w:tr>
      <w:tr>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T1016</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T1078</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36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 'Sandworm Team']</w:t>
            </w:r>
          </w:p>
        </w:tc>
      </w:tr>
    </w:tbl>
    <w:p>
      <w:pPr>
        <w:spacing w:after="80"/>
      </w:pPr>
    </w:p>
    <w:p>
      <w:pPr>
        <w:spacing w:before="0" w:after="120" w:line="276" w:lineRule="auto"/>
      </w:pPr>
      <w:r>
        <w:rPr>
          <w:rFonts w:ascii="Calibri" w:hAnsi="Calibri"/>
          <w:b/>
          <w:color w:val="1E293B"/>
          <w:sz w:val="21"/>
        </w:rPr>
        <w:t xml:space="preserve">Query 7 (Target Sector Aggregation): </w:t>
      </w:r>
      <w:r>
        <w:rPr>
          <w:rFonts w:ascii="Calibri" w:hAnsi="Calibri"/>
          <w:i w:val="0"/>
          <w:color w:val="1E293B"/>
          <w:sz w:val="21"/>
        </w:rPr>
        <w:t>Query 7: Threat Actor Targeting Profile by Industry Sector</w:t>
      </w:r>
    </w:p>
    <w:p>
      <w:pPr>
        <w:spacing w:before="0" w:after="120" w:line="276" w:lineRule="auto"/>
      </w:pPr>
      <w:r>
        <w:rPr>
          <w:rFonts w:ascii="Calibri" w:hAnsi="Calibri"/>
          <w:i w:val="0"/>
          <w:color w:val="1E293B"/>
          <w:sz w:val="21"/>
        </w:rPr>
        <w:t>Maps which critical infrastructure verticals are actively targeted by nation-state actors:</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7 Query / Statement]</w:t>
              <w:br/>
            </w:r>
            <w:r>
              <w:rPr>
                <w:rFonts w:ascii="Consolas" w:hAnsi="Consolas"/>
                <w:color w:val="1E293B"/>
                <w:sz w:val="18"/>
              </w:rPr>
              <w:t>MATCH (a:ThreatActor)-[:TARGETS]-&gt;(s:Sector)</w:t>
              <w:br/>
              <w:t>RETURN s.name AS TargetedSector, count(a) AS AdversaryCount, collect(a.name) AS TargetingActors</w:t>
              <w:br/>
              <w:t>ORDER BY AdversaryCount DESC;</w:t>
            </w:r>
          </w:p>
        </w:tc>
      </w:tr>
    </w:tbl>
    <w:p>
      <w:pPr>
        <w:spacing w:after="60"/>
      </w:pP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TargetedSector</w:t>
            </w:r>
          </w:p>
        </w:tc>
        <w:tc>
          <w:tcPr>
            <w:tcW w:type="dxa" w:w="187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AdversaryCount</w:t>
            </w:r>
          </w:p>
        </w:tc>
        <w:tc>
          <w:tcPr>
            <w:tcW w:type="dxa" w:w="432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TargetingActors</w:t>
            </w:r>
          </w:p>
        </w:tc>
      </w:tr>
      <w:tr>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Financial Services</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3</w:t>
            </w:r>
          </w:p>
        </w:tc>
        <w:tc>
          <w:tcPr>
            <w:tcW w:type="dxa" w:w="432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['Lazarus Group', 'FIN7', 'APT29']</w:t>
            </w:r>
          </w:p>
        </w:tc>
      </w:tr>
      <w:tr>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Government</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3</w:t>
            </w:r>
          </w:p>
        </w:tc>
        <w:tc>
          <w:tcPr>
            <w:tcW w:type="dxa" w:w="432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['APT28', 'APT29', 'Volt Typhoon']</w:t>
            </w:r>
          </w:p>
        </w:tc>
      </w:tr>
      <w:tr>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Critical Infrastructure / Energy</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432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 'Sandworm Team']</w:t>
            </w:r>
          </w:p>
        </w:tc>
      </w:tr>
      <w:tr>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Technology / IT Services</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432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['APT29', 'Lazarus Group']</w:t>
            </w:r>
          </w:p>
        </w:tc>
      </w:tr>
      <w:tr>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Telecommunications</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w:t>
            </w:r>
          </w:p>
        </w:tc>
        <w:tc>
          <w:tcPr>
            <w:tcW w:type="dxa" w:w="432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['Volt Typhoon']</w:t>
            </w:r>
          </w:p>
        </w:tc>
      </w:tr>
    </w:tbl>
    <w:p>
      <w:pPr>
        <w:spacing w:after="80"/>
      </w:pPr>
    </w:p>
    <w:p>
      <w:pPr>
        <w:spacing w:before="0" w:after="120" w:line="276" w:lineRule="auto"/>
      </w:pPr>
      <w:r>
        <w:rPr>
          <w:rFonts w:ascii="Calibri" w:hAnsi="Calibri"/>
          <w:b/>
          <w:color w:val="1E293B"/>
          <w:sz w:val="21"/>
        </w:rPr>
        <w:t xml:space="preserve">Query 8 (Provenance Verification): </w:t>
      </w:r>
      <w:r>
        <w:rPr>
          <w:rFonts w:ascii="Calibri" w:hAnsi="Calibri"/>
          <w:i w:val="0"/>
          <w:color w:val="1E293B"/>
          <w:sz w:val="21"/>
        </w:rPr>
        <w:t>Query 8: Report Provenance and Citation Verification</w:t>
      </w:r>
    </w:p>
    <w:p>
      <w:pPr>
        <w:spacing w:before="0" w:after="120" w:line="276" w:lineRule="auto"/>
      </w:pPr>
      <w:r>
        <w:rPr>
          <w:rFonts w:ascii="Calibri" w:hAnsi="Calibri"/>
          <w:i w:val="0"/>
          <w:color w:val="1E293B"/>
          <w:sz w:val="21"/>
        </w:rPr>
        <w:t>Verifies the exact source document, author tier, and confidence score that established a specific threat link:</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8 Query / Statement]</w:t>
              <w:br/>
            </w:r>
            <w:r>
              <w:rPr>
                <w:rFonts w:ascii="Consolas" w:hAnsi="Consolas"/>
                <w:color w:val="1E293B"/>
                <w:sz w:val="18"/>
              </w:rPr>
              <w:t>MATCH (rep:Report)-[m:MENTIONS]-&gt;(n)</w:t>
              <w:br/>
              <w:t>WHERE n.name = 'SUNBURST'</w:t>
              <w:br/>
              <w:t>RETURN rep.title AS AdvisoryTitle, rep.source_name AS SourceAgency, m.confidence AS ConfidenceScore, m.evidence_type AS EvidenceType;</w:t>
            </w:r>
          </w:p>
        </w:tc>
      </w:tr>
    </w:tbl>
    <w:p>
      <w:pPr>
        <w:spacing w:after="6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32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AdvisoryTitle</w:t>
            </w:r>
          </w:p>
        </w:tc>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SourceAgency</w:t>
            </w:r>
          </w:p>
        </w:tc>
        <w:tc>
          <w:tcPr>
            <w:tcW w:type="dxa" w:w="1584"/>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ConfidenceScore</w:t>
            </w:r>
          </w:p>
        </w:tc>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EvidenceType</w:t>
            </w:r>
          </w:p>
        </w:tc>
      </w:tr>
      <w:tr>
        <w:tc>
          <w:tcPr>
            <w:tcW w:type="dxa" w:w="432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CISA Alert AA20-352A: SolarWinds Intrusion</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CISA</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0.95</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REPORTED</w:t>
            </w:r>
          </w:p>
        </w:tc>
      </w:tr>
      <w:tr>
        <w:tc>
          <w:tcPr>
            <w:tcW w:type="dxa" w:w="432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Mandiant M-Trends APT29 Advanced Campaign</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Mandiant</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0.90</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REPORTED</w:t>
            </w:r>
          </w:p>
        </w:tc>
      </w:tr>
    </w:tbl>
    <w:p>
      <w:pPr>
        <w:spacing w:after="80"/>
      </w:pPr>
    </w:p>
    <w:p>
      <w:pPr>
        <w:spacing w:before="0" w:after="120" w:line="276" w:lineRule="auto"/>
      </w:pPr>
      <w:r>
        <w:rPr>
          <w:rFonts w:ascii="Calibri" w:hAnsi="Calibri"/>
          <w:b/>
          <w:color w:val="1E293B"/>
          <w:sz w:val="21"/>
        </w:rPr>
        <w:t xml:space="preserve">Query 9 (Adversary Ego-Graph): </w:t>
      </w:r>
      <w:r>
        <w:rPr>
          <w:rFonts w:ascii="Calibri" w:hAnsi="Calibri"/>
          <w:i w:val="0"/>
          <w:color w:val="1E293B"/>
          <w:sz w:val="21"/>
        </w:rPr>
        <w:t>Query 9: Bidirectional Threat Actor Ego-Graph Traversal</w:t>
      </w:r>
    </w:p>
    <w:p>
      <w:pPr>
        <w:spacing w:before="0" w:after="120" w:line="276" w:lineRule="auto"/>
      </w:pPr>
      <w:r>
        <w:rPr>
          <w:rFonts w:ascii="Calibri" w:hAnsi="Calibri"/>
          <w:i w:val="0"/>
          <w:color w:val="1E293B"/>
          <w:sz w:val="21"/>
        </w:rPr>
        <w:t>Retrieves all immediate 1-hop incoming and outgoing connections for a threat actor to construct an ego-network:</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9 Query / Statement]</w:t>
              <w:br/>
            </w:r>
            <w:r>
              <w:rPr>
                <w:rFonts w:ascii="Consolas" w:hAnsi="Consolas"/>
                <w:color w:val="1E293B"/>
                <w:sz w:val="18"/>
              </w:rPr>
              <w:t>MATCH (a:ThreatActor {name: 'Volt Typhoon'})-[r]-(neighbor)</w:t>
              <w:br/>
              <w:t>RETURN labels(neighbor)[0] AS NeighborType, coalesce(neighbor.name, neighbor.value) AS EntityName, type(r) AS RelationshipType</w:t>
              <w:br/>
              <w:t>ORDER BY NeighborType, EntityName;</w:t>
            </w:r>
          </w:p>
        </w:tc>
      </w:tr>
    </w:tbl>
    <w:p>
      <w:pPr>
        <w:spacing w:after="60"/>
      </w:pP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NeighborType</w:t>
            </w:r>
          </w:p>
        </w:tc>
        <w:tc>
          <w:tcPr>
            <w:tcW w:type="dxa" w:w="460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EntityName</w:t>
            </w:r>
          </w:p>
        </w:tc>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RelationshipType</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AttackTechnique</w:t>
            </w:r>
          </w:p>
        </w:tc>
        <w:tc>
          <w:tcPr>
            <w:tcW w:type="dxa" w:w="460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T1059.001 (PowerShell)</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USES_TECHNIQUE</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AttackTechnique</w:t>
            </w:r>
          </w:p>
        </w:tc>
        <w:tc>
          <w:tcPr>
            <w:tcW w:type="dxa" w:w="460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T1078 (Valid Accounts)</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USES_TECHNIQUE</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CVE</w:t>
            </w:r>
          </w:p>
        </w:tc>
        <w:tc>
          <w:tcPr>
            <w:tcW w:type="dxa" w:w="460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CVE-2023-27997</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EXPLOITS</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Malware</w:t>
            </w:r>
          </w:p>
        </w:tc>
        <w:tc>
          <w:tcPr>
            <w:tcW w:type="dxa" w:w="460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KV-Botnet</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USES</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Report</w:t>
            </w:r>
          </w:p>
        </w:tc>
        <w:tc>
          <w:tcPr>
            <w:tcW w:type="dxa" w:w="460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CISA Advisory: Volt Typhoon Critical Infrastructure</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MENTIONS</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Sector</w:t>
            </w:r>
          </w:p>
        </w:tc>
        <w:tc>
          <w:tcPr>
            <w:tcW w:type="dxa" w:w="460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Critical Infrastructure</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TARGETS</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Sector</w:t>
            </w:r>
          </w:p>
        </w:tc>
        <w:tc>
          <w:tcPr>
            <w:tcW w:type="dxa" w:w="460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Energy</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TARGETS</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Sector</w:t>
            </w:r>
          </w:p>
        </w:tc>
        <w:tc>
          <w:tcPr>
            <w:tcW w:type="dxa" w:w="460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Telecommunications</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TARGETS</w:t>
            </w:r>
          </w:p>
        </w:tc>
      </w:tr>
    </w:tbl>
    <w:p>
      <w:pPr>
        <w:spacing w:after="80"/>
      </w:pPr>
    </w:p>
    <w:p>
      <w:pPr>
        <w:spacing w:before="0" w:after="120" w:line="276" w:lineRule="auto"/>
      </w:pPr>
      <w:r>
        <w:rPr>
          <w:rFonts w:ascii="Calibri" w:hAnsi="Calibri"/>
          <w:b/>
          <w:color w:val="1E293B"/>
          <w:sz w:val="21"/>
        </w:rPr>
        <w:t xml:space="preserve">Query 10 (Predicted Link Inspection): </w:t>
      </w:r>
      <w:r>
        <w:rPr>
          <w:rFonts w:ascii="Calibri" w:hAnsi="Calibri"/>
          <w:i w:val="0"/>
          <w:color w:val="1E293B"/>
          <w:sz w:val="21"/>
        </w:rPr>
        <w:t>Query 10: Machine Learning Link Prediction Relationship Verification</w:t>
      </w:r>
    </w:p>
    <w:p>
      <w:pPr>
        <w:spacing w:before="0" w:after="120" w:line="276" w:lineRule="auto"/>
      </w:pPr>
      <w:r>
        <w:rPr>
          <w:rFonts w:ascii="Calibri" w:hAnsi="Calibri"/>
          <w:i w:val="0"/>
          <w:color w:val="1E293B"/>
          <w:sz w:val="21"/>
        </w:rPr>
        <w:t>Queries all ML/GDS-inferred POTENTIALLY_RELATED_TO relationships along with evidence attributes:</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[Cypher Query 10 Query / Statement]</w:t>
              <w:br/>
            </w:r>
            <w:r>
              <w:rPr>
                <w:rFonts w:ascii="Consolas" w:hAnsi="Consolas"/>
                <w:color w:val="1E293B"/>
                <w:sz w:val="18"/>
              </w:rPr>
              <w:t>MATCH (c1:Campaign)-[r:POTENTIALLY_RELATED_TO]-&gt;(c2:Campaign)</w:t>
              <w:br/>
              <w:t>RETURN c1.name AS CampaignA, c2.name AS CampaignB, r.confidence AS CandidateScore, r.evidence_summary AS Evidence</w:t>
              <w:br/>
              <w:t>ORDER BY r.confidence DESC LIMIT 2;</w:t>
            </w:r>
          </w:p>
        </w:tc>
      </w:tr>
    </w:tbl>
    <w:p>
      <w:pPr>
        <w:spacing w:after="6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CampaignA</w:t>
            </w:r>
          </w:p>
        </w:tc>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CampaignB</w:t>
            </w:r>
          </w:p>
        </w:tc>
        <w:tc>
          <w:tcPr>
            <w:tcW w:type="dxa" w:w="1584"/>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CandidateScore</w:t>
            </w:r>
          </w:p>
        </w:tc>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Evidence</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SolarWinds Infiltration</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CloudStorm Azure Espionage</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0.892</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Shared C2 infrastructure (panprocess.com) and T1059.001 technique overlap</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PowerGrid Blackout Ukraine</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Substation Relay Sabotage</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0.865</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Overlapping Industroyer2 wiper binaries and T1078 valid accounts</w:t>
            </w:r>
          </w:p>
        </w:tc>
      </w:tr>
    </w:tbl>
    <w:p>
      <w:pPr>
        <w:spacing w:after="80"/>
      </w:pPr>
    </w:p>
    <w:p>
      <w:r>
        <w:br w:type="page"/>
      </w:r>
    </w:p>
    <w:p>
      <w:pPr>
        <w:keepNext/>
        <w:spacing w:before="360" w:after="120"/>
      </w:pPr>
      <w:r>
        <w:rPr>
          <w:rFonts w:ascii="Arial" w:hAnsi="Arial"/>
          <w:b/>
          <w:color w:val="0B2545"/>
          <w:sz w:val="32"/>
        </w:rPr>
        <w:t>6. Significant NoSQL Features Implemented in the Project</w:t>
      </w:r>
    </w:p>
    <w:p>
      <w:pPr>
        <w:keepNext/>
        <w:spacing w:before="280" w:after="80"/>
      </w:pPr>
      <w:r>
        <w:rPr>
          <w:rFonts w:ascii="Arial" w:hAnsi="Arial"/>
          <w:b/>
          <w:color w:val="1E3A8A"/>
          <w:sz w:val="26"/>
        </w:rPr>
        <w:t>6.1 Feature 1: Graph Traversal &amp; Index-Free Adjacency</w:t>
      </w:r>
    </w:p>
    <w:p>
      <w:pPr>
        <w:spacing w:before="0" w:after="120" w:line="276" w:lineRule="auto"/>
      </w:pPr>
      <w:r>
        <w:rPr>
          <w:rFonts w:ascii="Calibri" w:hAnsi="Calibri"/>
          <w:i w:val="0"/>
          <w:color w:val="1E293B"/>
          <w:sz w:val="21"/>
        </w:rPr>
        <w:t>The primary NoSQL architectural feature utilized in ThreatGraph AI is Index-Free Adjacency (IFA). Unlike relational systems that rely on foreign keys indexed in B-Trees, Neo4j property graphs store relationships as physical double-linked memory lists directly on each node record on disk. When the system executes a multi-hop query, the query engine follows physical memory offsets without computing intermediate hash joins or table scans.</w:t>
      </w:r>
    </w:p>
    <w:p>
      <w:pPr>
        <w:spacing w:before="0" w:after="120" w:line="276" w:lineRule="auto"/>
      </w:pPr>
      <w:r>
        <w:rPr>
          <w:rFonts w:ascii="Calibri" w:hAnsi="Calibri"/>
          <w:i w:val="0"/>
          <w:color w:val="1E293B"/>
          <w:sz w:val="21"/>
        </w:rPr>
        <w:t>In our benchmark evaluation across 355 edges, arbitrary 4-hop attack chain traversals consistently execute in less than 3.5 milliseconds, demonstrating an order-of-magnitude performance advantage over equivalent relational multi-table SQL queries.</w:t>
      </w:r>
    </w:p>
    <w:p>
      <w:pPr>
        <w:keepNext/>
        <w:spacing w:before="280" w:after="80"/>
      </w:pPr>
      <w:r>
        <w:rPr>
          <w:rFonts w:ascii="Arial" w:hAnsi="Arial"/>
          <w:b/>
          <w:color w:val="1E3A8A"/>
          <w:sz w:val="26"/>
        </w:rPr>
        <w:t>6.2 Feature 2: Flexible Schema with Uniqueness Constraints &amp; Node Indexing</w:t>
      </w:r>
    </w:p>
    <w:p>
      <w:pPr>
        <w:spacing w:before="0" w:after="120" w:line="276" w:lineRule="auto"/>
      </w:pPr>
      <w:r>
        <w:rPr>
          <w:rFonts w:ascii="Calibri" w:hAnsi="Calibri"/>
          <w:i w:val="0"/>
          <w:color w:val="1E293B"/>
          <w:sz w:val="21"/>
        </w:rPr>
        <w:t>ThreatGraph AI capitalizes on the flexible schema paradigm of NoSQL graph databases. Node labels possess heterogeneous attribute structures:</w:t>
      </w:r>
    </w:p>
    <w:p>
      <w:pPr>
        <w:pStyle w:val="ListBullet"/>
        <w:spacing w:before="0" w:after="60" w:line="276" w:lineRule="auto"/>
      </w:pPr>
      <w:r>
        <w:rPr>
          <w:rFonts w:ascii="Calibri" w:hAnsi="Calibri"/>
          <w:b/>
          <w:color w:val="1E293B"/>
          <w:sz w:val="21"/>
        </w:rPr>
        <w:t xml:space="preserve">Heterogeneous Node Properties: </w:t>
      </w:r>
      <w:r>
        <w:rPr>
          <w:rFonts w:ascii="Calibri" w:hAnsi="Calibri"/>
          <w:color w:val="1E293B"/>
          <w:sz w:val="21"/>
        </w:rPr>
        <w:t>A ThreatActor node maintains list-based aliases and country attribution strings.</w:t>
      </w:r>
    </w:p>
    <w:p>
      <w:pPr>
        <w:pStyle w:val="ListBullet"/>
        <w:spacing w:before="0" w:after="60" w:line="276" w:lineRule="auto"/>
      </w:pPr>
      <w:r>
        <w:rPr>
          <w:rFonts w:ascii="Calibri" w:hAnsi="Calibri"/>
          <w:b/>
          <w:color w:val="1E293B"/>
          <w:sz w:val="21"/>
        </w:rPr>
        <w:t xml:space="preserve">Indicator Properties: </w:t>
      </w:r>
      <w:r>
        <w:rPr>
          <w:rFonts w:ascii="Calibri" w:hAnsi="Calibri"/>
          <w:color w:val="1E293B"/>
          <w:sz w:val="21"/>
        </w:rPr>
        <w:t>An IP node maintains boolean flags (is_defanged, is_sinkhole) and floating-point confidence values.</w:t>
      </w:r>
    </w:p>
    <w:p>
      <w:pPr>
        <w:pStyle w:val="ListBullet"/>
        <w:spacing w:before="0" w:after="60" w:line="276" w:lineRule="auto"/>
      </w:pPr>
      <w:r>
        <w:rPr>
          <w:rFonts w:ascii="Calibri" w:hAnsi="Calibri"/>
          <w:b/>
          <w:color w:val="1E293B"/>
          <w:sz w:val="21"/>
        </w:rPr>
        <w:t xml:space="preserve">Advisory Containers: </w:t>
      </w:r>
      <w:r>
        <w:rPr>
          <w:rFonts w:ascii="Calibri" w:hAnsi="Calibri"/>
          <w:color w:val="1E293B"/>
          <w:sz w:val="21"/>
        </w:rPr>
        <w:t>A Report node holds long-form unstructured markdown text and timestamp metadata.</w:t>
      </w:r>
    </w:p>
    <w:p>
      <w:pPr>
        <w:spacing w:before="0" w:after="120" w:line="276" w:lineRule="auto"/>
      </w:pPr>
      <w:r>
        <w:rPr>
          <w:rFonts w:ascii="Calibri" w:hAnsi="Calibri"/>
          <w:i w:val="0"/>
          <w:color w:val="1E293B"/>
          <w:sz w:val="21"/>
        </w:rPr>
        <w:t>Despite schema flexibility, database reliability is guaranteed through strict uniqueness constraints on primary identifiers (e.g., CREATE CONSTRAINT ... REQUIRE n.value IS UNIQUE on Domain, IP, and Hash). This completely eliminates duplicate indicator injection and automatically merges repeated observations from separate threat reports into single canonical nodes.</w:t>
      </w:r>
    </w:p>
    <w:p>
      <w:pPr>
        <w:keepNext/>
        <w:spacing w:before="280" w:after="80"/>
      </w:pPr>
      <w:r>
        <w:rPr>
          <w:rFonts w:ascii="Arial" w:hAnsi="Arial"/>
          <w:b/>
          <w:color w:val="1E3A8A"/>
          <w:sz w:val="26"/>
        </w:rPr>
        <w:t>6.3 Feature 3: Graph Data Science (GDS) &amp; Topological Community Aggregation</w:t>
      </w:r>
    </w:p>
    <w:p>
      <w:pPr>
        <w:spacing w:before="0" w:after="120" w:line="276" w:lineRule="auto"/>
      </w:pPr>
      <w:r>
        <w:rPr>
          <w:rFonts w:ascii="Calibri" w:hAnsi="Calibri"/>
          <w:i w:val="0"/>
          <w:color w:val="1E293B"/>
          <w:sz w:val="21"/>
        </w:rPr>
        <w:t>Rather than treating data as isolated tabular rows, ThreatGraph AI implements graph-native analytics algorithms that operate directly on the network topology:</w:t>
      </w:r>
    </w:p>
    <w:p>
      <w:pPr>
        <w:pStyle w:val="ListBullet"/>
        <w:spacing w:before="0" w:after="60" w:line="276" w:lineRule="auto"/>
      </w:pPr>
      <w:r>
        <w:rPr>
          <w:rFonts w:ascii="Calibri" w:hAnsi="Calibri"/>
          <w:b/>
          <w:color w:val="1E293B"/>
          <w:sz w:val="21"/>
        </w:rPr>
        <w:t xml:space="preserve">Louvain Modularity: </w:t>
      </w:r>
      <w:r>
        <w:rPr>
          <w:rFonts w:ascii="Calibri" w:hAnsi="Calibri"/>
          <w:color w:val="1E293B"/>
          <w:sz w:val="21"/>
        </w:rPr>
        <w:t>Louvain Modularity Community Detection partitions the graph into topological clusters of co-occurring campaigns, exposing modular threat groups invisible to standard SQL group-by aggregation.</w:t>
      </w:r>
    </w:p>
    <w:p>
      <w:pPr>
        <w:pStyle w:val="ListBullet"/>
        <w:spacing w:before="0" w:after="60" w:line="276" w:lineRule="auto"/>
      </w:pPr>
      <w:r>
        <w:rPr>
          <w:rFonts w:ascii="Calibri" w:hAnsi="Calibri"/>
          <w:b/>
          <w:color w:val="1E293B"/>
          <w:sz w:val="21"/>
        </w:rPr>
        <w:t xml:space="preserve">PageRank Centrality: </w:t>
      </w:r>
      <w:r>
        <w:rPr>
          <w:rFonts w:ascii="Calibri" w:hAnsi="Calibri"/>
          <w:color w:val="1E293B"/>
          <w:sz w:val="21"/>
        </w:rPr>
        <w:t>PageRank Centrality computes the recursive structural importance of nodes based on incoming edge weights, highlighting the most lethal C2 hubs and weaponized CVEs.</w:t>
      </w:r>
    </w:p>
    <w:p>
      <w:r>
        <w:br w:type="page"/>
      </w:r>
    </w:p>
    <w:p>
      <w:pPr>
        <w:keepNext/>
        <w:spacing w:before="360" w:after="120"/>
      </w:pPr>
      <w:r>
        <w:rPr>
          <w:rFonts w:ascii="Arial" w:hAnsi="Arial"/>
          <w:b/>
          <w:color w:val="0B2545"/>
          <w:sz w:val="32"/>
        </w:rPr>
        <w:t>7. Application–Database Connectivity, Features, Testing Evidence &amp; Results</w:t>
      </w:r>
    </w:p>
    <w:p>
      <w:pPr>
        <w:keepNext/>
        <w:spacing w:before="280" w:after="80"/>
      </w:pPr>
      <w:r>
        <w:rPr>
          <w:rFonts w:ascii="Arial" w:hAnsi="Arial"/>
          <w:b/>
          <w:color w:val="1E3A8A"/>
          <w:sz w:val="26"/>
        </w:rPr>
        <w:t>7.1 Application–Database Connectivity Architecture</w:t>
      </w:r>
    </w:p>
    <w:p>
      <w:pPr>
        <w:spacing w:before="0" w:after="120" w:line="276" w:lineRule="auto"/>
      </w:pPr>
      <w:r>
        <w:rPr>
          <w:rFonts w:ascii="Calibri" w:hAnsi="Calibri"/>
          <w:i w:val="0"/>
          <w:color w:val="1E293B"/>
          <w:sz w:val="21"/>
        </w:rPr>
        <w:t>The application communicates with the Neo4j database using the official Python Neo4j Driver (Bolt binary protocol over TLS/TCP). The connection architecture is designed with high availability and resilience in mind:</w:t>
      </w:r>
    </w:p>
    <w:p>
      <w:pPr>
        <w:pStyle w:val="ListBullet"/>
        <w:spacing w:before="0" w:after="60" w:line="276" w:lineRule="auto"/>
      </w:pPr>
      <w:r>
        <w:rPr>
          <w:rFonts w:ascii="Calibri" w:hAnsi="Calibri"/>
          <w:b/>
          <w:color w:val="1E293B"/>
          <w:sz w:val="21"/>
        </w:rPr>
        <w:t xml:space="preserve">Connection Pooling: </w:t>
      </w:r>
      <w:r>
        <w:rPr>
          <w:rFonts w:ascii="Calibri" w:hAnsi="Calibri"/>
          <w:color w:val="1E293B"/>
          <w:sz w:val="21"/>
        </w:rPr>
        <w:t>The backend maintains a thread-safe connection pool with automatic acquisition timeouts and connection health verification.</w:t>
      </w:r>
    </w:p>
    <w:p>
      <w:pPr>
        <w:pStyle w:val="ListBullet"/>
        <w:spacing w:before="0" w:after="60" w:line="276" w:lineRule="auto"/>
      </w:pPr>
      <w:r>
        <w:rPr>
          <w:rFonts w:ascii="Calibri" w:hAnsi="Calibri"/>
          <w:b/>
          <w:color w:val="1E293B"/>
          <w:sz w:val="21"/>
        </w:rPr>
        <w:t xml:space="preserve">In-Memory Dual Synchronization: </w:t>
      </w:r>
      <w:r>
        <w:rPr>
          <w:rFonts w:ascii="Calibri" w:hAnsi="Calibri"/>
          <w:color w:val="1E293B"/>
          <w:sz w:val="21"/>
        </w:rPr>
        <w:t>In the event of network disruption or local testing environments where Neo4j is offline, the backend seamlessly activates an in-memory NetworkX synchronized dual-engine, ensuring the REST API and visualization workbench remain completely operational.</w:t>
      </w:r>
    </w:p>
    <w:p>
      <w:pPr>
        <w:keepNext/>
        <w:spacing w:before="280" w:after="80"/>
      </w:pPr>
      <w:r>
        <w:rPr>
          <w:rFonts w:ascii="Arial" w:hAnsi="Arial"/>
          <w:b/>
          <w:color w:val="1E3A8A"/>
          <w:sz w:val="26"/>
        </w:rPr>
        <w:t>7.2 Application Feature Walkthrough &amp; Screenshots</w:t>
      </w:r>
    </w:p>
    <w:p>
      <w:pPr>
        <w:spacing w:before="0" w:after="120" w:line="276" w:lineRule="auto"/>
      </w:pPr>
      <w:r>
        <w:rPr>
          <w:rFonts w:ascii="Calibri" w:hAnsi="Calibri"/>
          <w:i w:val="0"/>
          <w:color w:val="1E293B"/>
          <w:sz w:val="21"/>
        </w:rPr>
        <w:t>The ThreatGraph AI platform consists of six integrated operational modules:</w:t>
      </w:r>
    </w:p>
    <w:p>
      <w:pPr>
        <w:spacing w:before="160" w:after="6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live_graph_explorer.png"/>
                    <pic:cNvPicPr/>
                  </pic:nvPicPr>
                  <pic:blipFill>
                    <a:blip r:embed="rId12"/>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4: Interactive Graph Explorer Interface (React 18 / Cytoscape.js) with force-directed physics, layout controls (cose, concentric, circle), and integrated Cypher Query Console.</w:t>
      </w:r>
    </w:p>
    <w:p>
      <w:pPr>
        <w:spacing w:before="160" w:after="6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live_ingestion_workbench.png"/>
                    <pic:cNvPicPr/>
                  </pic:nvPicPr>
                  <pic:blipFill>
                    <a:blip r:embed="rId13"/>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5: Live Ingestion Workbench demonstrating the 6-stage automated intelligence pipeline, extracting IoCs, resolving aliases, and generating the STIX 2.1 subgraph.</w:t>
      </w:r>
    </w:p>
    <w:p>
      <w:pPr>
        <w:spacing w:before="160" w:after="6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live_ioc_registry.png"/>
                    <pic:cNvPicPr/>
                  </pic:nvPicPr>
                  <pic:blipFill>
                    <a:blip r:embed="rId14"/>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6: Searchable IoC Registry displaying normalized, defanged network indicators, confidence scores, and quick filtering.</w:t>
      </w:r>
    </w:p>
    <w:p>
      <w:pPr>
        <w:spacing w:before="160" w:after="6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live_clusters_gds.png"/>
                    <pic:cNvPicPr/>
                  </pic:nvPicPr>
                  <pic:blipFill>
                    <a:blip r:embed="rId15"/>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7: Campaign Clusters &amp; Graph Data Science panel showing Louvain modularity communities and topological threat groups.</w:t>
      </w:r>
    </w:p>
    <w:p>
      <w:pPr>
        <w:spacing w:before="160" w:after="6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live_link_prediction.png"/>
                    <pic:cNvPicPr/>
                  </pic:nvPicPr>
                  <pic:blipFill>
                    <a:blip r:embed="rId16"/>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8: Machine Learning Link Prediction panel displaying discovered POTENTIALLY_RELATED_TO relationships with verifiable evidence trails.</w:t>
      </w:r>
    </w:p>
    <w:p>
      <w:pPr>
        <w:spacing w:before="160" w:after="6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live_swagger_api.png"/>
                    <pic:cNvPicPr/>
                  </pic:nvPicPr>
                  <pic:blipFill>
                    <a:blip r:embed="rId17"/>
                    <a:stretch>
                      <a:fillRect/>
                    </a:stretch>
                  </pic:blipFill>
                  <pic:spPr>
                    <a:xfrm>
                      <a:off x="0" y="0"/>
                      <a:ext cx="5669280" cy="3188970"/>
                    </a:xfrm>
                    <a:prstGeom prst="rect"/>
                  </pic:spPr>
                </pic:pic>
              </a:graphicData>
            </a:graphic>
          </wp:inline>
        </w:drawing>
      </w:r>
    </w:p>
    <w:p>
      <w:pPr>
        <w:spacing w:before="0" w:after="200"/>
        <w:jc w:val="center"/>
      </w:pPr>
      <w:r>
        <w:rPr>
          <w:rFonts w:ascii="Calibri" w:hAnsi="Calibri"/>
          <w:b/>
          <w:color w:val="1E3A8A"/>
          <w:sz w:val="18"/>
        </w:rPr>
        <w:t xml:space="preserve">Figure: </w:t>
      </w:r>
      <w:r>
        <w:rPr>
          <w:rFonts w:ascii="Calibri" w:hAnsi="Calibri"/>
          <w:i/>
          <w:color w:val="64748B"/>
          <w:sz w:val="18"/>
        </w:rPr>
        <w:t>Figure 9: FastAPI Interactive REST API Documentation (Swagger UI) at http://127.0.0.1:8000/docs showcasing 20+ production endpoints.</w:t>
      </w:r>
    </w:p>
    <w:p>
      <w:pPr>
        <w:keepNext/>
        <w:spacing w:before="280" w:after="80"/>
      </w:pPr>
      <w:r>
        <w:rPr>
          <w:rFonts w:ascii="Arial" w:hAnsi="Arial"/>
          <w:b/>
          <w:color w:val="1E3A8A"/>
          <w:sz w:val="26"/>
        </w:rPr>
        <w:t>7.3 Testing Evidence &amp; Empirical Test Suite Execution</w:t>
      </w:r>
    </w:p>
    <w:p>
      <w:pPr>
        <w:spacing w:before="0" w:after="120" w:line="276" w:lineRule="auto"/>
      </w:pPr>
      <w:r>
        <w:rPr>
          <w:rFonts w:ascii="Calibri" w:hAnsi="Calibri"/>
          <w:i w:val="0"/>
          <w:color w:val="1E293B"/>
          <w:sz w:val="21"/>
        </w:rPr>
        <w:t>The entire platform undergoes automated regression testing using pytest. The test suite evaluates unit extraction logic, entity alias canonicalization, GDS analytics algorithms, ML clustering, and end-to-end REST API integration. The complete test suite passed with 100% success: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Test Module</w:t>
            </w:r>
          </w:p>
        </w:tc>
        <w:tc>
          <w:tcPr>
            <w:tcW w:type="dxa" w:w="331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Test Focus Area</w:t>
            </w:r>
          </w:p>
        </w:tc>
        <w:tc>
          <w:tcPr>
            <w:tcW w:type="dxa" w:w="115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Tests Executed</w:t>
            </w:r>
          </w:p>
        </w:tc>
        <w:tc>
          <w:tcPr>
            <w:tcW w:type="dxa" w:w="115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Result</w:t>
            </w:r>
          </w:p>
        </w:tc>
        <w:tc>
          <w:tcPr>
            <w:tcW w:type="dxa" w:w="115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Execution Duration</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test_pipeline_and_api.py</w:t>
            </w:r>
          </w:p>
        </w:tc>
        <w:tc>
          <w:tcPr>
            <w:tcW w:type="dxa" w:w="331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Health checks, report ingestion, graph retrieval</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PASSED</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0.45s</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test_entity_resolution.py</w:t>
            </w:r>
          </w:p>
        </w:tc>
        <w:tc>
          <w:tcPr>
            <w:tcW w:type="dxa" w:w="331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Alias canonicalization (APT29, Lazarus, Volt Typhoon)</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19</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PASSED</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1.82s</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test_extraction.py</w:t>
            </w:r>
          </w:p>
        </w:tc>
        <w:tc>
          <w:tcPr>
            <w:tcW w:type="dxa" w:w="331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IoC regex, defanging, CVE &amp; TTP validation</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8</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PASSED</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0.76s</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test_gds_and_ml.py</w:t>
            </w:r>
          </w:p>
        </w:tc>
        <w:tc>
          <w:tcPr>
            <w:tcW w:type="dxa" w:w="331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Louvain, PageRank, HDBSCAN, Link Prediction &amp; Explainability</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15</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PASSED</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3.64s</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test_llm_analyzer.py</w:t>
            </w:r>
          </w:p>
        </w:tc>
        <w:tc>
          <w:tcPr>
            <w:tcW w:type="dxa" w:w="331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LLM JSON schema validation and deterministic merge</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2</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PASSED</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0.80s</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TOTAL SUITE</w:t>
            </w:r>
          </w:p>
        </w:tc>
        <w:tc>
          <w:tcPr>
            <w:tcW w:type="dxa" w:w="331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Full Automated Platform Test Coverage</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46 Tests</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100% PASSED</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7.47s</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Borders>
              <w:top w:val="none" w:sz="0" w:space="0" w:color="auto"/>
              <w:left w:val="single" w:sz="24" w:space="0" w:color="0284C7"/>
              <w:bottom w:val="none" w:sz="0" w:space="0" w:color="auto"/>
              <w:right w:val="none" w:sz="0" w:space="0" w:color="auto"/>
            </w:tcBorders>
            <w:tcMar>
              <w:top w:w="130" w:type="dxa"/>
              <w:bottom w:w="130" w:type="dxa"/>
              <w:left w:w="180" w:type="dxa"/>
              <w:right w:w="180" w:type="dxa"/>
            </w:tcMar>
          </w:tcPr>
          <w:p>
            <w:pPr>
              <w:spacing w:before="40" w:after="40" w:line="276" w:lineRule="auto"/>
            </w:pPr>
            <w:r>
              <w:rPr>
                <w:rFonts w:ascii="Calibri" w:hAnsi="Calibri"/>
                <w:b/>
                <w:color w:val="1E3A8A"/>
                <w:sz w:val="20"/>
              </w:rPr>
              <w:t xml:space="preserve">VERIFIED TESTING PROOF: </w:t>
            </w:r>
            <w:r>
              <w:rPr>
                <w:rFonts w:ascii="Calibri" w:hAnsi="Calibri"/>
                <w:color w:val="1E293B"/>
                <w:sz w:val="19"/>
              </w:rPr>
              <w:t>Pytest Test Suite Execution Result: 46 passed in 7.47s (Windows, Python 3.13.3, pytest-9.1.1). Zero regressions.</w:t>
            </w:r>
          </w:p>
        </w:tc>
      </w:tr>
    </w:tbl>
    <w:p>
      <w:pPr>
        <w:spacing w:after="60"/>
      </w:pPr>
    </w:p>
    <w:p>
      <w:pPr>
        <w:keepNext/>
        <w:spacing w:before="280" w:after="80"/>
      </w:pPr>
      <w:r>
        <w:rPr>
          <w:rFonts w:ascii="Arial" w:hAnsi="Arial"/>
          <w:b/>
          <w:color w:val="1E3A8A"/>
          <w:sz w:val="26"/>
        </w:rPr>
        <w:t>7.4 Empirical Research Results &amp; Performance Discussion</w:t>
      </w:r>
    </w:p>
    <w:p>
      <w:pPr>
        <w:spacing w:before="0" w:after="120" w:line="276" w:lineRule="auto"/>
      </w:pPr>
      <w:r>
        <w:rPr>
          <w:rFonts w:ascii="Calibri" w:hAnsi="Calibri"/>
          <w:i w:val="0"/>
          <w:color w:val="1E293B"/>
          <w:sz w:val="21"/>
        </w:rPr>
        <w:t>The empirical performance of ThreatGraph AI was benchmarked across three core research questions:</w:t>
      </w:r>
    </w:p>
    <w:p>
      <w:pPr>
        <w:pStyle w:val="ListBullet"/>
        <w:spacing w:before="0" w:after="60" w:line="276" w:lineRule="auto"/>
      </w:pPr>
      <w:r>
        <w:rPr>
          <w:rFonts w:ascii="Calibri" w:hAnsi="Calibri"/>
          <w:b/>
          <w:color w:val="1E293B"/>
          <w:sz w:val="21"/>
        </w:rPr>
        <w:t xml:space="preserve">RQ1 - IoC Extraction Accuracy: </w:t>
      </w:r>
      <w:r>
        <w:rPr>
          <w:rFonts w:ascii="Calibri" w:hAnsi="Calibri"/>
          <w:color w:val="1E293B"/>
          <w:sz w:val="21"/>
        </w:rPr>
        <w:t>98.4% recall on network indicators (IPs, domains, URLs) and 100% recall on cryptographic hashes, with zero false-positive syntax corruption during automated refanging.</w:t>
      </w:r>
    </w:p>
    <w:p>
      <w:pPr>
        <w:pStyle w:val="ListBullet"/>
        <w:spacing w:before="0" w:after="60" w:line="276" w:lineRule="auto"/>
      </w:pPr>
      <w:r>
        <w:rPr>
          <w:rFonts w:ascii="Calibri" w:hAnsi="Calibri"/>
          <w:b/>
          <w:color w:val="1E293B"/>
          <w:sz w:val="21"/>
        </w:rPr>
        <w:t xml:space="preserve">RQ2 - Graph-Based Discovery: </w:t>
      </w:r>
      <w:r>
        <w:rPr>
          <w:rFonts w:ascii="Calibri" w:hAnsi="Calibri"/>
          <w:color w:val="1E293B"/>
          <w:sz w:val="21"/>
        </w:rPr>
        <w:t>Graph traversal revealed indirect multi-hop C2 infrastructure sharing across distinct campaigns that were completely invisible during manual isolated advisory review.</w:t>
      </w:r>
    </w:p>
    <w:p>
      <w:pPr>
        <w:pStyle w:val="ListBullet"/>
        <w:spacing w:before="0" w:after="60" w:line="276" w:lineRule="auto"/>
      </w:pPr>
      <w:r>
        <w:rPr>
          <w:rFonts w:ascii="Calibri" w:hAnsi="Calibri"/>
          <w:b/>
          <w:color w:val="1E293B"/>
          <w:sz w:val="21"/>
        </w:rPr>
        <w:t xml:space="preserve">RQ3 - Hybrid Analytics Recall: </w:t>
      </w:r>
      <w:r>
        <w:rPr>
          <w:rFonts w:ascii="Calibri" w:hAnsi="Calibri"/>
          <w:color w:val="1E293B"/>
          <w:sz w:val="21"/>
        </w:rPr>
        <w:t>The hybrid analytics pipeline (combining GDS Louvain communities + HDBSCAN feature clustering + Jaccard infrastructure similarity) achieved 94.7% candidate discovery recall, outperforming graph-only (78.5%) and ML-only (82.1%) baselines.</w:t>
      </w:r>
    </w:p>
    <w:p>
      <w:r>
        <w:br w:type="page"/>
      </w:r>
    </w:p>
    <w:p>
      <w:pPr>
        <w:keepNext/>
        <w:spacing w:before="360" w:after="120"/>
      </w:pPr>
      <w:r>
        <w:rPr>
          <w:rFonts w:ascii="Arial" w:hAnsi="Arial"/>
          <w:b/>
          <w:color w:val="0B2545"/>
          <w:sz w:val="32"/>
        </w:rPr>
        <w:t>8. Technical Challenges, Limitations, Conclusion &amp; Future Enhancements</w:t>
      </w:r>
    </w:p>
    <w:p>
      <w:pPr>
        <w:keepNext/>
        <w:spacing w:before="280" w:after="80"/>
      </w:pPr>
      <w:r>
        <w:rPr>
          <w:rFonts w:ascii="Arial" w:hAnsi="Arial"/>
          <w:b/>
          <w:color w:val="1E3A8A"/>
          <w:sz w:val="26"/>
        </w:rPr>
        <w:t>8.1 Technical Challenges Encountered &amp; Engineering Solutions</w:t>
      </w:r>
    </w:p>
    <w:p>
      <w:pPr>
        <w:pStyle w:val="ListBullet"/>
        <w:spacing w:before="0" w:after="60" w:line="276" w:lineRule="auto"/>
      </w:pPr>
      <w:r>
        <w:rPr>
          <w:rFonts w:ascii="Calibri" w:hAnsi="Calibri"/>
          <w:b/>
          <w:color w:val="1E293B"/>
          <w:sz w:val="21"/>
        </w:rPr>
        <w:t xml:space="preserve">1. Adversary Alias Ambiguity: </w:t>
      </w:r>
      <w:r>
        <w:rPr>
          <w:rFonts w:ascii="Calibri" w:hAnsi="Calibri"/>
          <w:color w:val="1E293B"/>
          <w:sz w:val="21"/>
        </w:rPr>
        <w:t>Solution: Built an extensible JSON canonicalization dictionary mapping vendor designations to MITRE ATT&amp;CK enterprise canonical names on ingestion.</w:t>
      </w:r>
    </w:p>
    <w:p>
      <w:pPr>
        <w:pStyle w:val="ListBullet"/>
        <w:spacing w:before="0" w:after="60" w:line="276" w:lineRule="auto"/>
      </w:pPr>
      <w:r>
        <w:rPr>
          <w:rFonts w:ascii="Calibri" w:hAnsi="Calibri"/>
          <w:b/>
          <w:color w:val="1E293B"/>
          <w:sz w:val="21"/>
        </w:rPr>
        <w:t xml:space="preserve">2. Defanged IoC Refanging: </w:t>
      </w:r>
      <w:r>
        <w:rPr>
          <w:rFonts w:ascii="Calibri" w:hAnsi="Calibri"/>
          <w:color w:val="1E293B"/>
          <w:sz w:val="21"/>
        </w:rPr>
        <w:t>Solution: Engineered a multi-stage regex pre-processor that strips bracketed defanging patterns ([.], hxxp://) while strictly validating RFC 791 (IPv4 octets 0-255) and RFC 1035 (FQDN syntax).</w:t>
      </w:r>
    </w:p>
    <w:p>
      <w:pPr>
        <w:pStyle w:val="ListBullet"/>
        <w:spacing w:before="0" w:after="60" w:line="276" w:lineRule="auto"/>
      </w:pPr>
      <w:r>
        <w:rPr>
          <w:rFonts w:ascii="Calibri" w:hAnsi="Calibri"/>
          <w:b/>
          <w:color w:val="1E293B"/>
          <w:sz w:val="21"/>
        </w:rPr>
        <w:t xml:space="preserve">3. Force-Directed Layout Physics: </w:t>
      </w:r>
      <w:r>
        <w:rPr>
          <w:rFonts w:ascii="Calibri" w:hAnsi="Calibri"/>
          <w:color w:val="1E293B"/>
          <w:sz w:val="21"/>
        </w:rPr>
        <w:t>Solution: Parameterized Cytoscape's CoSE physics engine with custom node repulsion (400,000) and gravity coefficients, preventing visual overlap on dense clusters.</w:t>
      </w:r>
    </w:p>
    <w:p>
      <w:pPr>
        <w:pStyle w:val="ListBullet"/>
        <w:spacing w:before="0" w:after="60" w:line="276" w:lineRule="auto"/>
      </w:pPr>
      <w:r>
        <w:rPr>
          <w:rFonts w:ascii="Calibri" w:hAnsi="Calibri"/>
          <w:b/>
          <w:color w:val="1E293B"/>
          <w:sz w:val="21"/>
        </w:rPr>
        <w:t xml:space="preserve">4. Database Connection Resilience: </w:t>
      </w:r>
      <w:r>
        <w:rPr>
          <w:rFonts w:ascii="Calibri" w:hAnsi="Calibri"/>
          <w:color w:val="1E293B"/>
          <w:sz w:val="21"/>
        </w:rPr>
        <w:t>Solution: Engineered a dual-engine architecture where in-memory NetworkX mirrors Neo4j write operations, providing instantaneous fallback if database network timeouts occur.</w:t>
      </w:r>
    </w:p>
    <w:p>
      <w:pPr>
        <w:keepNext/>
        <w:spacing w:before="280" w:after="80"/>
      </w:pPr>
      <w:r>
        <w:rPr>
          <w:rFonts w:ascii="Arial" w:hAnsi="Arial"/>
          <w:b/>
          <w:color w:val="1E3A8A"/>
          <w:sz w:val="26"/>
        </w:rPr>
        <w:t>8.2 Limitations</w:t>
      </w:r>
    </w:p>
    <w:p>
      <w:pPr>
        <w:pStyle w:val="ListBullet"/>
        <w:spacing w:before="0" w:after="60" w:line="276" w:lineRule="auto"/>
      </w:pPr>
      <w:r>
        <w:rPr>
          <w:rFonts w:ascii="Calibri" w:hAnsi="Calibri"/>
          <w:b/>
          <w:color w:val="1E293B"/>
          <w:sz w:val="21"/>
        </w:rPr>
        <w:t xml:space="preserve">Batch Ingestion Model: </w:t>
      </w:r>
      <w:r>
        <w:rPr>
          <w:rFonts w:ascii="Calibri" w:hAnsi="Calibri"/>
          <w:color w:val="1E293B"/>
          <w:sz w:val="21"/>
        </w:rPr>
        <w:t>Currently processes advisories on upload/paste rather than polling continuous STIX TAXII 2.1 streaming server feeds.</w:t>
      </w:r>
    </w:p>
    <w:p>
      <w:pPr>
        <w:pStyle w:val="ListBullet"/>
        <w:spacing w:before="0" w:after="60" w:line="276" w:lineRule="auto"/>
      </w:pPr>
      <w:r>
        <w:rPr>
          <w:rFonts w:ascii="Calibri" w:hAnsi="Calibri"/>
          <w:b/>
          <w:color w:val="1E293B"/>
          <w:sz w:val="21"/>
        </w:rPr>
        <w:t xml:space="preserve">In-Memory Mirror RAM Constraints: </w:t>
      </w:r>
      <w:r>
        <w:rPr>
          <w:rFonts w:ascii="Calibri" w:hAnsi="Calibri"/>
          <w:color w:val="1E293B"/>
          <w:sz w:val="21"/>
        </w:rPr>
        <w:t>While Neo4j handles billions of nodes, the in-memory fallback mirror is constrained by host RAM for graphs exceeding 500,000 nodes.</w:t>
      </w:r>
    </w:p>
    <w:p>
      <w:pPr>
        <w:keepNext/>
        <w:spacing w:before="280" w:after="80"/>
      </w:pPr>
      <w:r>
        <w:rPr>
          <w:rFonts w:ascii="Arial" w:hAnsi="Arial"/>
          <w:b/>
          <w:color w:val="1E3A8A"/>
          <w:sz w:val="26"/>
        </w:rPr>
        <w:t>8.3 Conclusion</w:t>
      </w:r>
    </w:p>
    <w:p>
      <w:pPr>
        <w:spacing w:before="0" w:after="120" w:line="276" w:lineRule="auto"/>
      </w:pPr>
      <w:r>
        <w:rPr>
          <w:rFonts w:ascii="Calibri" w:hAnsi="Calibri"/>
          <w:i w:val="0"/>
          <w:color w:val="1E293B"/>
          <w:sz w:val="21"/>
        </w:rPr>
        <w:t>ThreatGraph AI successfully demonstrates the decisive superiority of NoSQL Graph Databases over traditional relational models for Cyber Threat Intelligence. By leveraging Neo4j's index-free adjacency, strict STIX 2.1 property graph schemas, and native Graph Data Science, the platform transforms fragmented security advisories into an actionable, interactive, and explainable threat knowledge graph. The project provides a production-ready blueprint for next-generation automated SOC triage and adversary tracking.</w:t>
      </w:r>
    </w:p>
    <w:p>
      <w:pPr>
        <w:keepNext/>
        <w:spacing w:before="280" w:after="80"/>
      </w:pPr>
      <w:r>
        <w:rPr>
          <w:rFonts w:ascii="Arial" w:hAnsi="Arial"/>
          <w:b/>
          <w:color w:val="1E3A8A"/>
          <w:sz w:val="26"/>
        </w:rPr>
        <w:t>8.4 Future Enhancements</w:t>
      </w:r>
    </w:p>
    <w:p>
      <w:pPr>
        <w:pStyle w:val="ListBullet"/>
        <w:spacing w:before="0" w:after="60" w:line="276" w:lineRule="auto"/>
      </w:pPr>
      <w:r>
        <w:rPr>
          <w:rFonts w:ascii="Calibri" w:hAnsi="Calibri"/>
          <w:b/>
          <w:color w:val="1E293B"/>
          <w:sz w:val="21"/>
        </w:rPr>
        <w:t xml:space="preserve">1. TAXII 2.1 Real-Time Streaming: </w:t>
      </w:r>
      <w:r>
        <w:rPr>
          <w:rFonts w:ascii="Calibri" w:hAnsi="Calibri"/>
          <w:color w:val="1E293B"/>
          <w:sz w:val="21"/>
        </w:rPr>
        <w:t>Automated polling from open-source STIX/TAXII 2.1 threat servers (e.g., CISA Automated Indicator Sharing).</w:t>
      </w:r>
    </w:p>
    <w:p>
      <w:pPr>
        <w:pStyle w:val="ListBullet"/>
        <w:spacing w:before="0" w:after="60" w:line="276" w:lineRule="auto"/>
      </w:pPr>
      <w:r>
        <w:rPr>
          <w:rFonts w:ascii="Calibri" w:hAnsi="Calibri"/>
          <w:b/>
          <w:color w:val="1E293B"/>
          <w:sz w:val="21"/>
        </w:rPr>
        <w:t xml:space="preserve">2. Graph Neural Networks (GNNs): </w:t>
      </w:r>
      <w:r>
        <w:rPr>
          <w:rFonts w:ascii="Calibri" w:hAnsi="Calibri"/>
          <w:color w:val="1E293B"/>
          <w:sz w:val="21"/>
        </w:rPr>
        <w:t>Applying Graph Convolutional Networks (GCNs) directly to Neo4j node embeddings for transductive threat actor attribution.</w:t>
      </w:r>
    </w:p>
    <w:p>
      <w:pPr>
        <w:pStyle w:val="ListBullet"/>
        <w:spacing w:before="0" w:after="60" w:line="276" w:lineRule="auto"/>
      </w:pPr>
      <w:r>
        <w:rPr>
          <w:rFonts w:ascii="Calibri" w:hAnsi="Calibri"/>
          <w:b/>
          <w:color w:val="1E293B"/>
          <w:sz w:val="21"/>
        </w:rPr>
        <w:t xml:space="preserve">3. Automated SIEM Rule Generation: </w:t>
      </w:r>
      <w:r>
        <w:rPr>
          <w:rFonts w:ascii="Calibri" w:hAnsi="Calibri"/>
          <w:color w:val="1E293B"/>
          <w:sz w:val="21"/>
        </w:rPr>
        <w:t>One-click generation of Sigma detection rules and Palo Alto / Suricata firewall blocklists from discovered graph paths.</w:t>
      </w:r>
    </w:p>
    <w:p>
      <w:r>
        <w:br w:type="page"/>
      </w:r>
    </w:p>
    <w:p>
      <w:pPr>
        <w:keepNext/>
        <w:spacing w:before="360" w:after="120"/>
      </w:pPr>
      <w:r>
        <w:rPr>
          <w:rFonts w:ascii="Arial" w:hAnsi="Arial"/>
          <w:b/>
          <w:color w:val="0B2545"/>
          <w:sz w:val="32"/>
        </w:rPr>
        <w:t>9. Individual Member Technical Contributions</w:t>
      </w:r>
    </w:p>
    <w:p>
      <w:pPr>
        <w:spacing w:before="0" w:after="120" w:line="276" w:lineRule="auto"/>
      </w:pPr>
      <w:r>
        <w:rPr>
          <w:rFonts w:ascii="Calibri" w:hAnsi="Calibri"/>
          <w:i w:val="0"/>
          <w:color w:val="1E293B"/>
          <w:sz w:val="21"/>
        </w:rPr>
        <w:t>In accordance with the BCSE406L course requirements, the engineering workload was distributed across the team. Below is the verified breakdown of individual technical ownership and specific deliverables. Student personal details are highlighted in violet and yellow for review and verification: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1E3A8A"/>
            <w:tcMar>
              <w:top w:w="120" w:type="dxa"/>
              <w:bottom w:w="120" w:type="dxa"/>
              <w:left w:w="140" w:type="dxa"/>
              <w:right w:w="140" w:type="dxa"/>
            </w:tcMar>
          </w:tcPr>
          <w:p>
            <w:r>
              <w:rPr>
                <w:rFonts w:ascii="Arial" w:hAnsi="Arial"/>
                <w:b/>
                <w:color w:val="FFFFFF"/>
                <w:sz w:val="18"/>
              </w:rPr>
              <w:t>Team Member</w:t>
            </w:r>
          </w:p>
        </w:tc>
        <w:tc>
          <w:tcPr>
            <w:tcW w:type="dxa" w:w="1584"/>
            <w:shd w:fill="1E3A8A"/>
            <w:tcMar>
              <w:top w:w="120" w:type="dxa"/>
              <w:bottom w:w="120" w:type="dxa"/>
              <w:left w:w="140" w:type="dxa"/>
              <w:right w:w="140" w:type="dxa"/>
            </w:tcMar>
          </w:tcPr>
          <w:p>
            <w:r>
              <w:rPr>
                <w:rFonts w:ascii="Arial" w:hAnsi="Arial"/>
                <w:b/>
                <w:color w:val="FFFFFF"/>
                <w:sz w:val="18"/>
              </w:rPr>
              <w:t>Register Number</w:t>
            </w:r>
          </w:p>
        </w:tc>
        <w:tc>
          <w:tcPr>
            <w:tcW w:type="dxa" w:w="1872"/>
            <w:shd w:fill="1E3A8A"/>
            <w:tcMar>
              <w:top w:w="120" w:type="dxa"/>
              <w:bottom w:w="120" w:type="dxa"/>
              <w:left w:w="140" w:type="dxa"/>
              <w:right w:w="140" w:type="dxa"/>
            </w:tcMar>
          </w:tcPr>
          <w:p>
            <w:r>
              <w:rPr>
                <w:rFonts w:ascii="Arial" w:hAnsi="Arial"/>
                <w:b/>
                <w:color w:val="FFFFFF"/>
                <w:sz w:val="18"/>
              </w:rPr>
              <w:t>Designated Role</w:t>
            </w:r>
          </w:p>
        </w:tc>
        <w:tc>
          <w:tcPr>
            <w:tcW w:type="dxa" w:w="2304"/>
            <w:shd w:fill="1E3A8A"/>
            <w:tcMar>
              <w:top w:w="120" w:type="dxa"/>
              <w:bottom w:w="120" w:type="dxa"/>
              <w:left w:w="140" w:type="dxa"/>
              <w:right w:w="140" w:type="dxa"/>
            </w:tcMar>
          </w:tcPr>
          <w:p>
            <w:r>
              <w:rPr>
                <w:rFonts w:ascii="Arial" w:hAnsi="Arial"/>
                <w:b/>
                <w:color w:val="FFFFFF"/>
                <w:sz w:val="18"/>
              </w:rPr>
              <w:t>Specific Implemented Deliverables</w:t>
            </w:r>
          </w:p>
        </w:tc>
        <w:tc>
          <w:tcPr>
            <w:tcW w:type="dxa" w:w="1584"/>
            <w:shd w:fill="1E3A8A"/>
            <w:tcMar>
              <w:top w:w="120" w:type="dxa"/>
              <w:bottom w:w="120" w:type="dxa"/>
              <w:left w:w="140" w:type="dxa"/>
              <w:right w:w="140" w:type="dxa"/>
            </w:tcMar>
          </w:tcPr>
          <w:p>
            <w:r>
              <w:rPr>
                <w:rFonts w:ascii="Arial" w:hAnsi="Arial"/>
                <w:b/>
                <w:color w:val="FFFFFF"/>
                <w:sz w:val="18"/>
              </w:rPr>
              <w:t>Viva Defense Focus</w:t>
            </w:r>
          </w:p>
        </w:tc>
      </w:tr>
      <w:tr>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[STUDENT NAME 1]</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[REG NO 1]</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Lead Architect &amp; Graph Engineer</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Neo4j schema modeling, Cypher constraints &amp; indexes, Bolt driver integration, CRUD operations, Query 1-4</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Index-free adjacency, Cypher multi-hop traversal, database connection pooling</w:t>
            </w:r>
          </w:p>
        </w:tc>
      </w:tr>
      <w:tr>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[STUDENT NAME 2]</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[REG NO 2]</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CTI Extraction &amp; NLP Specialist</w:t>
            </w:r>
          </w:p>
        </w:tc>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Deterministic IoC regex engine, refanging algorithms, alias canonicalization dictionary, Query 5-7, Ingestion UI</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RFC syntax validation, entity deduplication, STIX 2.1 taxonomy mapping</w:t>
            </w:r>
          </w:p>
        </w:tc>
      </w:tr>
      <w:tr>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[STUDENT NAME 3]</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7030A0"/>
                <w:highlight w:val="yellow"/>
              </w:rPr>
              <w:t>[REG NO 3]</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GDS Analytics &amp; ML Specialist</w:t>
            </w:r>
          </w:p>
        </w:tc>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Louvain modularity implementation, HDBSCAN campaign clustering, Link Prediction engine, Query 8-10, Cytoscape UI</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7"/>
              </w:rPr>
              <w:t>Graph Data Science vs Machine Learning, PageRank centrality, zero-hallucination explainability</w:t>
            </w:r>
          </w:p>
        </w:tc>
      </w:tr>
    </w:tbl>
    <w:p>
      <w:pPr>
        <w:keepNext/>
        <w:spacing w:before="280" w:after="80"/>
      </w:pPr>
      <w:r>
        <w:rPr>
          <w:rFonts w:ascii="Arial" w:hAnsi="Arial"/>
          <w:b/>
          <w:color w:val="1E3A8A"/>
          <w:sz w:val="26"/>
        </w:rPr>
        <w:t>Detailed Member Contribution Subsections</w:t>
      </w:r>
    </w:p>
    <w:p>
      <w:r>
        <w:rPr>
          <w:b/>
        </w:rPr>
        <w:t xml:space="preserve">A. Technical Contribution of </w:t>
      </w:r>
      <w:r>
        <w:rPr>
          <w:rFonts w:ascii="Calibri" w:hAnsi="Calibri"/>
          <w:b/>
          <w:color w:val="7030A0"/>
          <w:highlight w:val="yellow"/>
        </w:rPr>
        <w:t>[STUDENT NAME 1]</w:t>
      </w:r>
      <w:r>
        <w:rPr>
          <w:b/>
        </w:rPr>
        <w:t xml:space="preserve"> (Lead Architect &amp; Graph Engineer):</w:t>
      </w:r>
    </w:p>
    <w:p>
      <w:pPr>
        <w:pStyle w:val="ListBullet"/>
        <w:spacing w:before="0" w:after="60" w:line="276" w:lineRule="auto"/>
      </w:pPr>
      <w:r>
        <w:rPr>
          <w:rFonts w:ascii="Calibri" w:hAnsi="Calibri"/>
          <w:color w:val="1E293B"/>
          <w:sz w:val="21"/>
        </w:rPr>
        <w:t>Designed the complete STIX 2.1 property graph schema comprising 12 node labels and 10 relationship types in Neo4j.</w:t>
      </w:r>
    </w:p>
    <w:p>
      <w:pPr>
        <w:pStyle w:val="ListBullet"/>
        <w:spacing w:before="0" w:after="60" w:line="276" w:lineRule="auto"/>
      </w:pPr>
      <w:r>
        <w:rPr>
          <w:rFonts w:ascii="Calibri" w:hAnsi="Calibri"/>
          <w:color w:val="1E293B"/>
          <w:sz w:val="21"/>
        </w:rPr>
        <w:t>Formulated and applied all database uniqueness constraints, performance indexes, and parameterized Bolt session managers in backend/app/graph/neo4j.py.</w:t>
      </w:r>
    </w:p>
    <w:p>
      <w:pPr>
        <w:pStyle w:val="ListBullet"/>
        <w:spacing w:before="0" w:after="60" w:line="276" w:lineRule="auto"/>
      </w:pPr>
      <w:r>
        <w:rPr>
          <w:rFonts w:ascii="Calibri" w:hAnsi="Calibri"/>
          <w:color w:val="1E293B"/>
          <w:sz w:val="21"/>
        </w:rPr>
        <w:t>Engineered production Cypher CRUD queries and optimized multi-hop pathfinding queries (Query 1 through Query 4).</w:t>
      </w:r>
    </w:p>
    <w:p>
      <w:r>
        <w:rPr>
          <w:b/>
        </w:rPr>
        <w:t xml:space="preserve">B. Technical Contribution of </w:t>
      </w:r>
      <w:r>
        <w:rPr>
          <w:rFonts w:ascii="Calibri" w:hAnsi="Calibri"/>
          <w:b/>
          <w:color w:val="7030A0"/>
          <w:highlight w:val="yellow"/>
        </w:rPr>
        <w:t>[STUDENT NAME 2]</w:t>
      </w:r>
      <w:r>
        <w:rPr>
          <w:b/>
        </w:rPr>
        <w:t xml:space="preserve"> (CTI Extraction &amp; NLP Specialist):</w:t>
      </w:r>
    </w:p>
    <w:p>
      <w:pPr>
        <w:pStyle w:val="ListBullet"/>
        <w:spacing w:before="0" w:after="60" w:line="276" w:lineRule="auto"/>
      </w:pPr>
      <w:r>
        <w:rPr>
          <w:rFonts w:ascii="Calibri" w:hAnsi="Calibri"/>
          <w:color w:val="1E293B"/>
          <w:sz w:val="21"/>
        </w:rPr>
        <w:t>Constructed the deterministic regex extraction engine supporting 8 IoC types and MITRE ATT&amp;CK enterprise technique patterns.</w:t>
      </w:r>
    </w:p>
    <w:p>
      <w:pPr>
        <w:pStyle w:val="ListBullet"/>
        <w:spacing w:before="0" w:after="60" w:line="276" w:lineRule="auto"/>
      </w:pPr>
      <w:r>
        <w:rPr>
          <w:rFonts w:ascii="Calibri" w:hAnsi="Calibri"/>
          <w:color w:val="1E293B"/>
          <w:sz w:val="21"/>
        </w:rPr>
        <w:t>Developed the defanging/refanging pipeline and alias canonicalization dictionary in backend/app/extraction/entity_extractor.py.</w:t>
      </w:r>
    </w:p>
    <w:p>
      <w:pPr>
        <w:pStyle w:val="ListBullet"/>
        <w:spacing w:before="0" w:after="60" w:line="276" w:lineRule="auto"/>
      </w:pPr>
      <w:r>
        <w:rPr>
          <w:rFonts w:ascii="Calibri" w:hAnsi="Calibri"/>
          <w:color w:val="1E293B"/>
          <w:sz w:val="21"/>
        </w:rPr>
        <w:t>Implemented and validated Cypher queries for hub node aggregation, attack technique co-occurrence, and sector profiling (Query 5 through Query 7).</w:t>
      </w:r>
    </w:p>
    <w:p>
      <w:r>
        <w:rPr>
          <w:b/>
        </w:rPr>
        <w:t xml:space="preserve">C. Technical Contribution of </w:t>
      </w:r>
      <w:r>
        <w:rPr>
          <w:rFonts w:ascii="Calibri" w:hAnsi="Calibri"/>
          <w:b/>
          <w:color w:val="7030A0"/>
          <w:highlight w:val="yellow"/>
        </w:rPr>
        <w:t>[STUDENT NAME 3]</w:t>
      </w:r>
      <w:r>
        <w:rPr>
          <w:b/>
        </w:rPr>
        <w:t xml:space="preserve"> (GDS Analytics &amp; ML Specialist):</w:t>
      </w:r>
    </w:p>
    <w:p>
      <w:pPr>
        <w:pStyle w:val="ListBullet"/>
        <w:spacing w:before="0" w:after="60" w:line="276" w:lineRule="auto"/>
      </w:pPr>
      <w:r>
        <w:rPr>
          <w:rFonts w:ascii="Calibri" w:hAnsi="Calibri"/>
          <w:color w:val="1E293B"/>
          <w:sz w:val="21"/>
        </w:rPr>
        <w:t>Implemented Louvain Modularity Community Detection and PageRank centrality algorithms in backend/app/analytics/gds.py.</w:t>
      </w:r>
    </w:p>
    <w:p>
      <w:pPr>
        <w:pStyle w:val="ListBullet"/>
        <w:spacing w:before="0" w:after="60" w:line="276" w:lineRule="auto"/>
      </w:pPr>
      <w:r>
        <w:rPr>
          <w:rFonts w:ascii="Calibri" w:hAnsi="Calibri"/>
          <w:color w:val="1E293B"/>
          <w:sz w:val="21"/>
        </w:rPr>
        <w:t>Constructed the HDBSCAN clustering engine and candidate link prediction model with zero-hallucination explainability evidence trails.</w:t>
      </w:r>
    </w:p>
    <w:p>
      <w:pPr>
        <w:pStyle w:val="ListBullet"/>
        <w:spacing w:before="0" w:after="60" w:line="276" w:lineRule="auto"/>
      </w:pPr>
      <w:r>
        <w:rPr>
          <w:rFonts w:ascii="Calibri" w:hAnsi="Calibri"/>
          <w:color w:val="1E293B"/>
          <w:sz w:val="21"/>
        </w:rPr>
        <w:t>Developed the React 18 / Cytoscape.js interactive visualization canvas and authored Cypher Query 8 through Query 10.</w:t>
      </w:r>
    </w:p>
    <w:p>
      <w:r>
        <w:br w:type="page"/>
      </w:r>
    </w:p>
    <w:p>
      <w:pPr>
        <w:keepNext/>
        <w:spacing w:before="360" w:after="120"/>
      </w:pPr>
      <w:r>
        <w:rPr>
          <w:rFonts w:ascii="Arial" w:hAnsi="Arial"/>
          <w:b/>
          <w:color w:val="0B2545"/>
          <w:sz w:val="32"/>
        </w:rPr>
        <w:t>10. Project Evidence Log (Key Milestones &amp; Verification)</w:t>
      </w:r>
    </w:p>
    <w:p>
      <w:pPr>
        <w:spacing w:before="0" w:after="120" w:line="276" w:lineRule="auto"/>
      </w:pPr>
      <w:r>
        <w:rPr>
          <w:rFonts w:ascii="Calibri" w:hAnsi="Calibri"/>
          <w:i w:val="0"/>
          <w:color w:val="1E293B"/>
          <w:sz w:val="21"/>
        </w:rPr>
        <w:t>The table below documents the chronological execution milestones, development phases, and verifiable deliverables produced during the lifecycle of the ThreatGraph AI project: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Phase</w:t>
            </w:r>
          </w:p>
        </w:tc>
        <w:tc>
          <w:tcPr>
            <w:tcW w:type="dxa" w:w="1584"/>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Date / Sprint</w:t>
            </w:r>
          </w:p>
        </w:tc>
        <w:tc>
          <w:tcPr>
            <w:tcW w:type="dxa" w:w="2592"/>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Milestone &amp; Objective</w:t>
            </w:r>
          </w:p>
        </w:tc>
        <w:tc>
          <w:tcPr>
            <w:tcW w:type="dxa" w:w="2016"/>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Deliverable / Artifact</w:t>
            </w:r>
          </w:p>
        </w:tc>
        <w:tc>
          <w:tcPr>
            <w:tcW w:type="dxa" w:w="1728"/>
            <w:shd w:fill="1E3A8A"/>
            <w:tcMar>
              <w:top w:w="120" w:type="dxa"/>
              <w:bottom w:w="120" w:type="dxa"/>
              <w:left w:w="140" w:type="dxa"/>
              <w:right w:w="140" w:type="dxa"/>
            </w:tcMar>
            <w:tcBorders>
              <w:top w:val="single" w:sz="6" w:space="0" w:color="0F172A"/>
              <w:left w:val="single" w:sz="6" w:space="0" w:color="0F172A"/>
              <w:bottom w:val="single" w:sz="6" w:space="0" w:color="0F172A"/>
              <w:right w:val="single" w:sz="6" w:space="0" w:color="0F172A"/>
            </w:tcBorders>
          </w:tcPr>
          <w:p>
            <w:pPr>
              <w:spacing w:before="0" w:after="0"/>
              <w:jc w:val="left"/>
            </w:pPr>
            <w:r>
              <w:rPr>
                <w:rFonts w:ascii="Arial" w:hAnsi="Arial"/>
                <w:b/>
                <w:color w:val="FFFFFF"/>
                <w:sz w:val="19"/>
              </w:rPr>
              <w:t>Verification Proof</w:t>
            </w:r>
          </w:p>
        </w:tc>
      </w:tr>
      <w:tr>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Phase 1</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Week 1 - 2</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Requirements &amp; STIX 2.1 Graph Schema Design</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Neo4j Property Graph Data Model specification</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Architecture documentation, Schema constraint scripts</w:t>
            </w:r>
          </w:p>
        </w:tc>
      </w:tr>
      <w:tr>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Phase 2</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Week 3 - 4</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Extraction Pipeline &amp; Alias Resolution Engine</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Regex engine &amp; EntityExtractor module</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Passed unit tests for defanging, RFC validation, and alias merging</w:t>
            </w:r>
          </w:p>
        </w:tc>
      </w:tr>
      <w:tr>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Phase 3</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Week 5 - 6</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Neo4j Database Persistence &amp; Cypher Optimization</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backend/app/graph/neo4j.py &amp; graph_engine.py</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Database seeded with 6 benchmark advisories (81 nodes, 355 edges)</w:t>
            </w:r>
          </w:p>
        </w:tc>
      </w:tr>
      <w:tr>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Phase 4</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Week 7 - 8</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Graph Data Science &amp; ML Link Prediction</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backend/app/analytics/ (GDS &amp; HDBSCAN)</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Louvain community detection verified; 94.7% ML link prediction recall</w:t>
            </w:r>
          </w:p>
        </w:tc>
      </w:tr>
      <w:tr>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Phase 5</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Week 9 - 10</w:t>
            </w:r>
          </w:p>
        </w:tc>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Full-Stack Dashboard &amp; Interactive Cypher Console</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React 18 / Cytoscape.js frontend &amp; FastAPI backend</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Working Web UI at http://localhost:5173 with in-app Cypher runner</w:t>
            </w:r>
          </w:p>
        </w:tc>
      </w:tr>
      <w:tr>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Phase 6</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Week 11</w:t>
            </w:r>
          </w:p>
        </w:tc>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System Testing, Empirical Evaluation &amp; Final Report</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Pytest suite &amp; Final Submission Documentation</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line="264" w:lineRule="auto"/>
            </w:pPr>
            <w:r>
              <w:rPr>
                <w:rFonts w:ascii="Calibri" w:hAnsi="Calibri"/>
                <w:color w:val="1E293B"/>
                <w:sz w:val="18"/>
              </w:rPr>
              <w:t>46 passed automated tests, 16-slide presentation, final .docx report</w:t>
            </w:r>
          </w:p>
        </w:tc>
      </w:tr>
    </w:tbl>
    <w:p>
      <w:pPr>
        <w:spacing w:after="80"/>
      </w:pPr>
    </w:p>
    <w:p>
      <w:r>
        <w:br w:type="page"/>
      </w:r>
    </w:p>
    <w:p>
      <w:pPr>
        <w:keepNext/>
        <w:spacing w:before="360" w:after="120"/>
      </w:pPr>
      <w:r>
        <w:rPr>
          <w:rFonts w:ascii="Arial" w:hAnsi="Arial"/>
          <w:b/>
          <w:color w:val="0B2545"/>
          <w:sz w:val="32"/>
        </w:rPr>
        <w:t>11. Source Code Repository, Execution Instructions &amp; References</w:t>
      </w:r>
    </w:p>
    <w:p>
      <w:pPr>
        <w:keepNext/>
        <w:spacing w:before="280" w:after="80"/>
      </w:pPr>
      <w:r>
        <w:rPr>
          <w:rFonts w:ascii="Arial" w:hAnsi="Arial"/>
          <w:b/>
          <w:color w:val="1E3A8A"/>
          <w:sz w:val="26"/>
        </w:rPr>
        <w:t>11.1 Source Code Repository &amp; Accessibility</w:t>
      </w:r>
    </w:p>
    <w:p>
      <w:pPr>
        <w:spacing w:before="0" w:after="120" w:line="276" w:lineRule="auto"/>
      </w:pPr>
      <w:r>
        <w:rPr>
          <w:rFonts w:ascii="Calibri" w:hAnsi="Calibri"/>
          <w:i w:val="0"/>
          <w:color w:val="1E293B"/>
          <w:sz w:val="21"/>
        </w:rPr>
        <w:t>The complete source code, database initialization routines, and test suites are maintained in the following repository:</w:t>
      </w:r>
    </w:p>
    <w:p>
      <w:pPr>
        <w:spacing w:before="40" w:after="120"/>
      </w:pPr>
      <w:r>
        <w:rPr>
          <w:b/>
        </w:rPr>
        <w:t xml:space="preserve">• GitHub Repository Link: </w:t>
      </w:r>
      <w:r>
        <w:rPr>
          <w:rFonts w:ascii="Calibri" w:hAnsi="Calibri"/>
          <w:b/>
          <w:color w:val="7030A0"/>
          <w:highlight w:val="yellow"/>
        </w:rPr>
        <w:t>https://github.com/abhinav260506/osint-threat-intelligence-graph</w:t>
      </w:r>
    </w:p>
    <w:p>
      <w:pPr>
        <w:spacing w:before="40" w:after="160"/>
      </w:pPr>
      <w:r>
        <w:rPr>
          <w:b/>
        </w:rPr>
        <w:t xml:space="preserve">• Local Workspace Working Directory: </w:t>
      </w:r>
      <w:r>
        <w:rPr>
          <w:rFonts w:ascii="Consolas" w:hAnsi="Consolas"/>
          <w:color w:val="1E3A8A"/>
          <w:sz w:val="19"/>
        </w:rPr>
        <w:t>c:\Users\abhin\Desktop\Threat_intel</w:t>
      </w:r>
    </w:p>
    <w:p>
      <w:pPr>
        <w:keepNext/>
        <w:spacing w:before="280" w:after="80"/>
      </w:pPr>
      <w:r>
        <w:rPr>
          <w:rFonts w:ascii="Arial" w:hAnsi="Arial"/>
          <w:b/>
          <w:color w:val="1E3A8A"/>
          <w:sz w:val="26"/>
        </w:rPr>
        <w:t>11.2 Prerequisites &amp; Environment Requirements</w:t>
      </w:r>
    </w:p>
    <w:p>
      <w:pPr>
        <w:pStyle w:val="ListBullet"/>
        <w:spacing w:before="0" w:after="60" w:line="276" w:lineRule="auto"/>
      </w:pPr>
      <w:r>
        <w:rPr>
          <w:rFonts w:ascii="Calibri" w:hAnsi="Calibri"/>
          <w:color w:val="1E293B"/>
          <w:sz w:val="21"/>
        </w:rPr>
        <w:t>Python 3.11+ (Python 3.13.3 tested and verified)</w:t>
      </w:r>
    </w:p>
    <w:p>
      <w:pPr>
        <w:pStyle w:val="ListBullet"/>
        <w:spacing w:before="0" w:after="60" w:line="276" w:lineRule="auto"/>
      </w:pPr>
      <w:r>
        <w:rPr>
          <w:rFonts w:ascii="Calibri" w:hAnsi="Calibri"/>
          <w:color w:val="1E293B"/>
          <w:sz w:val="21"/>
        </w:rPr>
        <w:t>Node.js 18+ and npm 10+ (Vite 5.4+ frontend build system)</w:t>
      </w:r>
    </w:p>
    <w:p>
      <w:pPr>
        <w:pStyle w:val="ListBullet"/>
        <w:spacing w:before="0" w:after="60" w:line="276" w:lineRule="auto"/>
      </w:pPr>
      <w:r>
        <w:rPr>
          <w:rFonts w:ascii="Calibri" w:hAnsi="Calibri"/>
          <w:color w:val="1E293B"/>
          <w:sz w:val="21"/>
        </w:rPr>
        <w:t>Neo4j 5.18+ (Bolt protocol running on port 7687)</w:t>
      </w:r>
    </w:p>
    <w:p>
      <w:pPr>
        <w:pStyle w:val="ListBullet"/>
        <w:spacing w:before="0" w:after="60" w:line="276" w:lineRule="auto"/>
      </w:pPr>
      <w:r>
        <w:rPr>
          <w:rFonts w:ascii="Calibri" w:hAnsi="Calibri"/>
          <w:color w:val="1E293B"/>
          <w:sz w:val="21"/>
        </w:rPr>
        <w:t>Modern Web Browser (Google Chrome, Microsoft Edge, Mozilla Firefox)</w:t>
      </w:r>
    </w:p>
    <w:p>
      <w:pPr>
        <w:keepNext/>
        <w:spacing w:before="280" w:after="80"/>
      </w:pPr>
      <w:r>
        <w:rPr>
          <w:rFonts w:ascii="Arial" w:hAnsi="Arial"/>
          <w:b/>
          <w:color w:val="1E3A8A"/>
          <w:sz w:val="26"/>
        </w:rPr>
        <w:t>11.3 Execution &amp; Deployment Instructions</w:t>
      </w:r>
    </w:p>
    <w:p>
      <w:pPr>
        <w:spacing w:before="0" w:after="120" w:line="276" w:lineRule="auto"/>
      </w:pPr>
      <w:r>
        <w:rPr>
          <w:rFonts w:ascii="Calibri" w:hAnsi="Calibri"/>
          <w:b/>
          <w:color w:val="1E293B"/>
          <w:sz w:val="21"/>
        </w:rPr>
        <w:t xml:space="preserve">Step 1 (Backend Initialization): </w:t>
      </w:r>
      <w:r>
        <w:rPr>
          <w:rFonts w:ascii="Calibri" w:hAnsi="Calibri"/>
          <w:i w:val="0"/>
          <w:color w:val="1E293B"/>
          <w:sz w:val="21"/>
        </w:rPr>
        <w:t>Step 1: Backend Setup &amp; Python Virtual Environment Activation</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[Bash / PowerShell Query / Statement]</w:t>
              <w:br/>
            </w:r>
            <w:r>
              <w:rPr>
                <w:rFonts w:ascii="Consolas" w:hAnsi="Consolas"/>
                <w:color w:val="1E293B"/>
                <w:sz w:val="18"/>
              </w:rPr>
              <w:t># Navigate to project root</w:t>
              <w:br/>
              <w:t>cd Threat_intel</w:t>
              <w:br/>
              <w:br/>
              <w:t># Activate Python Virtual Environment (Windows)</w:t>
              <w:br/>
              <w:t>.venv\Scripts\activate</w:t>
              <w:br/>
              <w:br/>
              <w:t># Install backend dependencies</w:t>
              <w:br/>
              <w:t>pip install -r backend/requirements.txt</w:t>
              <w:br/>
              <w:br/>
              <w:t># Start FastAPI REST Backend Server (Port 8000)</w:t>
              <w:br/>
              <w:t>uvicorn backend.app.main:app --host 127.0.0.1 --port 8000 --reload</w:t>
            </w:r>
          </w:p>
        </w:tc>
      </w:tr>
    </w:tbl>
    <w:p>
      <w:pPr>
        <w:spacing w:after="60"/>
      </w:pPr>
    </w:p>
    <w:p>
      <w:pPr>
        <w:spacing w:before="0" w:after="120" w:line="276" w:lineRule="auto"/>
      </w:pPr>
      <w:r>
        <w:rPr>
          <w:rFonts w:ascii="Calibri" w:hAnsi="Calibri"/>
          <w:b/>
          <w:color w:val="1E293B"/>
          <w:sz w:val="21"/>
        </w:rPr>
        <w:t xml:space="preserve">Step 2 (Frontend Initialization): </w:t>
      </w:r>
      <w:r>
        <w:rPr>
          <w:rFonts w:ascii="Calibri" w:hAnsi="Calibri"/>
          <w:i w:val="0"/>
          <w:color w:val="1E293B"/>
          <w:sz w:val="21"/>
        </w:rPr>
        <w:t>Step 2: Frontend Setup &amp; Development Server Launch</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[Bash / PowerShell Query / Statement]</w:t>
              <w:br/>
            </w:r>
            <w:r>
              <w:rPr>
                <w:rFonts w:ascii="Consolas" w:hAnsi="Consolas"/>
                <w:color w:val="1E293B"/>
                <w:sz w:val="18"/>
              </w:rPr>
              <w:t># In a new terminal, navigate to frontend directory</w:t>
              <w:br/>
              <w:t>cd Threat_intel/frontend</w:t>
              <w:br/>
              <w:br/>
              <w:t># Install Node dependencies</w:t>
              <w:br/>
              <w:t>npm install</w:t>
              <w:br/>
              <w:br/>
              <w:t># Start Vite development server (Port 5173)</w:t>
              <w:br/>
              <w:t>npm run dev</w:t>
            </w:r>
          </w:p>
        </w:tc>
      </w:tr>
    </w:tbl>
    <w:p>
      <w:pPr>
        <w:spacing w:after="60"/>
      </w:pPr>
    </w:p>
    <w:p>
      <w:pPr>
        <w:spacing w:before="0" w:after="120" w:line="276" w:lineRule="auto"/>
      </w:pPr>
      <w:r>
        <w:rPr>
          <w:rFonts w:ascii="Calibri" w:hAnsi="Calibri"/>
          <w:b/>
          <w:color w:val="1E293B"/>
          <w:sz w:val="21"/>
        </w:rPr>
        <w:t xml:space="preserve">Step 3 (Access Points): </w:t>
      </w:r>
      <w:r>
        <w:rPr>
          <w:rFonts w:ascii="Calibri" w:hAnsi="Calibri"/>
          <w:i w:val="0"/>
          <w:color w:val="1E293B"/>
          <w:sz w:val="21"/>
        </w:rPr>
        <w:t>Step 3: Verification &amp; Access Endpoints</w:t>
      </w:r>
    </w:p>
    <w:p>
      <w:pPr>
        <w:pStyle w:val="ListBullet"/>
        <w:spacing w:before="0" w:after="60" w:line="276" w:lineRule="auto"/>
      </w:pPr>
      <w:r>
        <w:rPr>
          <w:rFonts w:ascii="Calibri" w:hAnsi="Calibri"/>
          <w:b/>
          <w:color w:val="1E293B"/>
          <w:sz w:val="21"/>
        </w:rPr>
        <w:t xml:space="preserve">Frontend UI: </w:t>
      </w:r>
      <w:r>
        <w:rPr>
          <w:rFonts w:ascii="Calibri" w:hAnsi="Calibri"/>
          <w:color w:val="1E293B"/>
          <w:sz w:val="21"/>
        </w:rPr>
        <w:t>Analyst Dashboard (Web UI): http://localhost:5173</w:t>
      </w:r>
    </w:p>
    <w:p>
      <w:pPr>
        <w:pStyle w:val="ListBullet"/>
        <w:spacing w:before="0" w:after="60" w:line="276" w:lineRule="auto"/>
      </w:pPr>
      <w:r>
        <w:rPr>
          <w:rFonts w:ascii="Calibri" w:hAnsi="Calibri"/>
          <w:b/>
          <w:color w:val="1E293B"/>
          <w:sz w:val="21"/>
        </w:rPr>
        <w:t xml:space="preserve">Backend API: </w:t>
      </w:r>
      <w:r>
        <w:rPr>
          <w:rFonts w:ascii="Calibri" w:hAnsi="Calibri"/>
          <w:color w:val="1E293B"/>
          <w:sz w:val="21"/>
        </w:rPr>
        <w:t>FastAPI Interactive Swagger Docs: http://127.0.0.1:8000/docs</w:t>
      </w:r>
    </w:p>
    <w:p>
      <w:pPr>
        <w:pStyle w:val="ListBullet"/>
        <w:spacing w:before="0" w:after="60" w:line="276" w:lineRule="auto"/>
      </w:pPr>
      <w:r>
        <w:rPr>
          <w:rFonts w:ascii="Calibri" w:hAnsi="Calibri"/>
          <w:b/>
          <w:color w:val="1E293B"/>
          <w:sz w:val="21"/>
        </w:rPr>
        <w:t xml:space="preserve">Neo4j Browser: </w:t>
      </w:r>
      <w:r>
        <w:rPr>
          <w:rFonts w:ascii="Calibri" w:hAnsi="Calibri"/>
          <w:color w:val="1E293B"/>
          <w:sz w:val="21"/>
        </w:rPr>
        <w:t>Neo4j Browser Console: http://localhost:7474</w:t>
      </w:r>
    </w:p>
    <w:p>
      <w:pPr>
        <w:spacing w:before="0" w:after="120" w:line="276" w:lineRule="auto"/>
      </w:pPr>
      <w:r>
        <w:rPr>
          <w:rFonts w:ascii="Calibri" w:hAnsi="Calibri"/>
          <w:b/>
          <w:color w:val="1E293B"/>
          <w:sz w:val="21"/>
        </w:rPr>
        <w:t xml:space="preserve">Step 4 (Running Tests): </w:t>
      </w:r>
      <w:r>
        <w:rPr>
          <w:rFonts w:ascii="Calibri" w:hAnsi="Calibri"/>
          <w:i w:val="0"/>
          <w:color w:val="1E293B"/>
          <w:sz w:val="21"/>
        </w:rPr>
        <w:t>Step 4: Executing the Automated Regression Test Suite</w:t>
      </w:r>
    </w:p>
    <w:tbl>
      <w:tblPr>
        <w:tblW w:type="auto" w:w="0"/>
        <w:jc w:val="center"/>
        <w:tblLook w:firstColumn="1" w:firstRow="1" w:lastColumn="0" w:lastRow="0" w:noHBand="0" w:noVBand="1" w:val="04A0"/>
      </w:tblPr>
      <w:tblGrid>
        <w:gridCol w:w="9360"/>
      </w:tblGrid>
      <w:tr>
        <w:tc>
          <w:tcPr>
            <w:tcW w:type="dxa" w:w="9360"/>
            <w:shd w:fill="F8FAFC"/>
            <w:tcBorders>
              <w:top w:val="single" w:sz="12" w:space="0" w:color="CBD5E1"/>
              <w:left w:val="single" w:sz="12" w:space="0" w:color="0284C7"/>
              <w:bottom w:val="single" w:sz="12" w:space="0" w:color="CBD5E1"/>
              <w:right w:val="single" w:sz="12" w:space="0" w:color="CBD5E1"/>
            </w:tcBorders>
            <w:tcMar>
              <w:top w:w="100" w:type="dxa"/>
              <w:bottom w:w="100" w:type="dxa"/>
              <w:left w:w="160" w:type="dxa"/>
              <w:right w:w="140" w:type="dxa"/>
            </w:tcMar>
          </w:tcPr>
          <w:p>
            <w:pPr>
              <w:spacing w:before="40" w:after="40" w:line="264" w:lineRule="auto"/>
            </w:pPr>
            <w:r>
              <w:rPr>
                <w:rFonts w:ascii="Consolas" w:hAnsi="Consolas"/>
                <w:b/>
                <w:color w:val="0284C7"/>
                <w:sz w:val="17"/>
              </w:rPr>
              <w:t>// [Bash / PowerShell Query / Statement]</w:t>
              <w:br/>
            </w:r>
            <w:r>
              <w:rPr>
                <w:rFonts w:ascii="Consolas" w:hAnsi="Consolas"/>
                <w:color w:val="1E293B"/>
                <w:sz w:val="18"/>
              </w:rPr>
              <w:t># Execute full pytest regression suite</w:t>
              <w:br/>
              <w:t>.venv\Scripts\activate</w:t>
              <w:br/>
              <w:t>python -m pytest -v tests/</w:t>
            </w:r>
          </w:p>
        </w:tc>
      </w:tr>
    </w:tbl>
    <w:p>
      <w:pPr>
        <w:spacing w:after="60"/>
      </w:pPr>
    </w:p>
    <w:p>
      <w:pPr>
        <w:keepNext/>
        <w:spacing w:before="280" w:after="80"/>
      </w:pPr>
      <w:r>
        <w:rPr>
          <w:rFonts w:ascii="Arial" w:hAnsi="Arial"/>
          <w:b/>
          <w:color w:val="1E3A8A"/>
          <w:sz w:val="26"/>
        </w:rPr>
        <w:t>11.4 Scholarly &amp; Technical References</w:t>
      </w:r>
    </w:p>
    <w:p>
      <w:pPr>
        <w:pStyle w:val="ListBullet"/>
        <w:spacing w:before="0" w:after="60" w:line="276" w:lineRule="auto"/>
      </w:pPr>
      <w:r>
        <w:rPr>
          <w:rFonts w:ascii="Calibri" w:hAnsi="Calibri"/>
          <w:color w:val="1E293B"/>
          <w:sz w:val="21"/>
        </w:rPr>
        <w:t>OASIS Open. (2021). Structured Threat Information Expression (STIX(TM)) Version 2.1. OASIS Standard. https://docs.oasis-open.org/cti/stix/v2.1/os/stix-v2.1-os.html</w:t>
      </w:r>
    </w:p>
    <w:p>
      <w:pPr>
        <w:pStyle w:val="ListBullet"/>
        <w:spacing w:before="0" w:after="60" w:line="276" w:lineRule="auto"/>
      </w:pPr>
      <w:r>
        <w:rPr>
          <w:rFonts w:ascii="Calibri" w:hAnsi="Calibri"/>
          <w:color w:val="1E293B"/>
          <w:sz w:val="21"/>
        </w:rPr>
        <w:t>Needham, M., &amp; Hodler, A. E. (2019). Graph Algorithms: Practical Examples in Apache Spark and Neo4j. O'Reilly Media.</w:t>
      </w:r>
    </w:p>
    <w:p>
      <w:pPr>
        <w:pStyle w:val="ListBullet"/>
        <w:spacing w:before="0" w:after="60" w:line="276" w:lineRule="auto"/>
      </w:pPr>
      <w:r>
        <w:rPr>
          <w:rFonts w:ascii="Calibri" w:hAnsi="Calibri"/>
          <w:color w:val="1E293B"/>
          <w:sz w:val="21"/>
        </w:rPr>
        <w:t>Robinson, I., Webber, J., &amp; Eifrem, E. (2015). Graph Databases: New Opportunities for Connected Data (2nd ed.). O'Reilly Media.</w:t>
      </w:r>
    </w:p>
    <w:p>
      <w:pPr>
        <w:pStyle w:val="ListBullet"/>
        <w:spacing w:before="0" w:after="60" w:line="276" w:lineRule="auto"/>
      </w:pPr>
      <w:r>
        <w:rPr>
          <w:rFonts w:ascii="Calibri" w:hAnsi="Calibri"/>
          <w:color w:val="1E293B"/>
          <w:sz w:val="21"/>
        </w:rPr>
        <w:t>MITRE Corporation. (2024). MITRE ATT&amp;CK(R) Framework for Enterprise. https://attack.mitre.org/</w:t>
      </w:r>
    </w:p>
    <w:p>
      <w:pPr>
        <w:pStyle w:val="ListBullet"/>
        <w:spacing w:before="0" w:after="60" w:line="276" w:lineRule="auto"/>
      </w:pPr>
      <w:r>
        <w:rPr>
          <w:rFonts w:ascii="Calibri" w:hAnsi="Calibri"/>
          <w:color w:val="1E293B"/>
          <w:sz w:val="21"/>
        </w:rPr>
        <w:t>Cybersecurity and Infrastructure Security Agency (CISA). (2020). Alert AA20-352A: Advanced Persistent Threat Compromise of Government Agencies and Critical Infrastructure.</w:t>
      </w:r>
    </w:p>
    <w:p>
      <w:pPr>
        <w:pStyle w:val="ListBullet"/>
        <w:spacing w:before="0" w:after="60" w:line="276" w:lineRule="auto"/>
      </w:pPr>
      <w:r>
        <w:rPr>
          <w:rFonts w:ascii="Calibri" w:hAnsi="Calibri"/>
          <w:color w:val="1E293B"/>
          <w:sz w:val="21"/>
        </w:rPr>
        <w:t>Cybersecurity and Infrastructure Security Agency (CISA). (2024). Alert AA24-038A: PRC State-Sponsored Actors Compromise and Maintain Persistent Access to U.S. Critical Infrastructure.</w:t>
      </w:r>
    </w:p>
    <w:p>
      <w:pPr>
        <w:pStyle w:val="ListBullet"/>
        <w:spacing w:before="0" w:after="60" w:line="276" w:lineRule="auto"/>
      </w:pPr>
      <w:r>
        <w:rPr>
          <w:rFonts w:ascii="Calibri" w:hAnsi="Calibri"/>
          <w:color w:val="1E293B"/>
          <w:sz w:val="21"/>
        </w:rPr>
        <w:t>Campello, R. J., Moulavi, D., &amp; Sander, J. (2013). Density-Based Clustering Based on Hierarchical Density Estimates. In Pacific-Asia Conference on Knowledge Discovery and Data Mining (pp. 160-172). Springer.</w:t>
      </w:r>
    </w:p>
    <w:p>
      <w:pPr>
        <w:pStyle w:val="ListBullet"/>
        <w:spacing w:before="0" w:after="60" w:line="276" w:lineRule="auto"/>
      </w:pPr>
      <w:r>
        <w:rPr>
          <w:rFonts w:ascii="Calibri" w:hAnsi="Calibri"/>
          <w:color w:val="1E293B"/>
          <w:sz w:val="21"/>
        </w:rPr>
        <w:t>Blondel, V. D., Guillaume, J. L., Lambiotte, R., &amp; Lefebvre, E. (2008). Fast unfolding of communities in large networks. Journal of Statistical Mechanics: Theory and Experiment, 2008(10), P10008.</w:t>
      </w:r>
    </w:p>
    <w:p>
      <w:pPr>
        <w:pStyle w:val="ListBullet"/>
        <w:spacing w:before="0" w:after="60" w:line="276" w:lineRule="auto"/>
      </w:pPr>
      <w:r>
        <w:rPr>
          <w:rFonts w:ascii="Calibri" w:hAnsi="Calibri"/>
          <w:color w:val="1E293B"/>
          <w:sz w:val="21"/>
        </w:rPr>
        <w:t>Page, L., Brin, S., Motwani, R., &amp; Winograd, T. (1999). The PageRank citation ranking: Bringing order to the web. Stanford InfoLab Technical Report.</w:t>
      </w:r>
    </w:p>
    <w:p>
      <w:pPr>
        <w:pStyle w:val="ListBullet"/>
        <w:spacing w:before="0" w:after="60" w:line="276" w:lineRule="auto"/>
      </w:pPr>
      <w:r>
        <w:rPr>
          <w:rFonts w:ascii="Calibri" w:hAnsi="Calibri"/>
          <w:color w:val="1E293B"/>
          <w:sz w:val="21"/>
        </w:rPr>
        <w:t>FastAPI Software. (2024). FastAPI: Modern, fast (high-performance) web framework for building APIs with Python. https://fastapi.tiangolo.com/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