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Delivery Failure Root-Cause Analysis — POC Solution</w:t>
      </w:r>
    </w:p>
    <w:p>
      <w:pPr>
        <w:pStyle w:val="BodyText"/>
        <w:bidi w:val="0"/>
        <w:jc w:val="left"/>
        <w:rPr/>
      </w:pPr>
      <w:r>
        <w:rPr>
          <w:b/>
        </w:rPr>
        <w:t>Goal:</w:t>
      </w:r>
      <w:r>
        <w:rPr/>
        <w:t xml:space="preserve"> aggregate the fragmented logistics data sources (orders, fleet logs, warehouse logs, external conditions, customer feedback), correlate events across them, and generate human-readable, evidence-grounded explanations and recommendations for delivery failures and delays — answering questions such as </w:t>
      </w:r>
      <w:r>
        <w:rPr>
          <w:i/>
        </w:rPr>
        <w:t>"Why were deliveries delayed in city X yesterday?"</w:t>
      </w:r>
      <w:r>
        <w:rPr/>
        <w:t xml:space="preserve"> without manual cross-system investigation.</w:t>
      </w:r>
    </w:p>
    <w:p>
      <w:pPr>
        <w:pStyle w:val="Heading2"/>
        <w:bidi w:val="0"/>
        <w:jc w:val="left"/>
        <w:rPr/>
      </w:pPr>
      <w:r>
        <w:rPr/>
        <w:t>1. Solution Overview</w:t>
      </w:r>
    </w:p>
    <w:p>
      <w:pPr>
        <w:pStyle w:val="BodyText"/>
        <w:bidi w:val="0"/>
        <w:jc w:val="left"/>
        <w:rPr/>
      </w:pPr>
      <w:r>
        <w:rPr/>
        <w:t xml:space="preserve">The POC is a lightweight, fully local </w:t>
      </w:r>
      <w:r>
        <w:rPr>
          <w:b/>
        </w:rPr>
        <w:t>TypeScript/Node.js + SQLite</w:t>
      </w:r>
      <w:r>
        <w:rPr/>
        <w:t xml:space="preserve"> application:</w:t>
      </w:r>
    </w:p>
    <w:p>
      <w:pPr>
        <w:pStyle w:val="PreformattedText"/>
        <w:bidi w:val="0"/>
        <w:jc w:val="left"/>
        <w:rPr/>
      </w:pPr>
      <w:r>
        <w:rPr/>
        <w:t>sample-data-set/*.csv  (8 provided files — read-only)</w:t>
      </w:r>
    </w:p>
    <w:p>
      <w:pPr>
        <w:pStyle w:val="PreformattedText"/>
        <w:bidi w:val="0"/>
        <w:jc w:val="left"/>
        <w:rPr/>
      </w:pPr>
      <w:r>
        <w:rPr/>
        <w:t xml:space="preserve">        </w:t>
      </w:r>
      <w:r>
        <w:rPr/>
        <w:t>|</w:t>
      </w:r>
    </w:p>
    <w:p>
      <w:pPr>
        <w:pStyle w:val="PreformattedText"/>
        <w:bidi w:val="0"/>
        <w:jc w:val="left"/>
        <w:rPr/>
      </w:pPr>
      <w:r>
        <w:rPr/>
        <w:t xml:space="preserve">        </w:t>
      </w:r>
      <w:r>
        <w:rPr/>
        <w:t>|  src/ingest.ts   csv-parse, type coercion, 17-check data-quality report</w:t>
      </w:r>
    </w:p>
    <w:p>
      <w:pPr>
        <w:pStyle w:val="PreformattedText"/>
        <w:bidi w:val="0"/>
        <w:jc w:val="left"/>
        <w:rPr/>
      </w:pPr>
      <w:r>
        <w:rPr/>
        <w:t xml:space="preserve">        </w:t>
      </w:r>
      <w:r>
        <w:rPr/>
        <w:t>v</w:t>
      </w:r>
    </w:p>
    <w:p>
      <w:pPr>
        <w:pStyle w:val="PreformattedText"/>
        <w:bidi w:val="0"/>
        <w:jc w:val="left"/>
        <w:rPr/>
      </w:pPr>
      <w:r>
        <w:rPr/>
        <w:t xml:space="preserve">  </w:t>
      </w:r>
      <w:r>
        <w:rPr/>
        <w:t>logistics.db  (SQLite)</w:t>
      </w:r>
    </w:p>
    <w:p>
      <w:pPr>
        <w:pStyle w:val="PreformattedText"/>
        <w:bidi w:val="0"/>
        <w:jc w:val="left"/>
        <w:rPr/>
      </w:pPr>
      <w:r>
        <w:rPr/>
        <w:t xml:space="preserve">        </w:t>
      </w:r>
      <w:r>
        <w:rPr/>
        <w:t>|  schema.sql: 8 base tables + 10 indexes + 8 views</w:t>
      </w:r>
    </w:p>
    <w:p>
      <w:pPr>
        <w:pStyle w:val="PreformattedText"/>
        <w:bidi w:val="0"/>
        <w:jc w:val="left"/>
        <w:rPr/>
      </w:pPr>
      <w:r>
        <w:rPr/>
        <w:t xml:space="preserve">        </w:t>
      </w:r>
      <w:r>
        <w:rPr/>
        <w:t>|  (v_order_outcome, v_order_fleet, v_order_warehouse, v_order_external,</w:t>
      </w:r>
    </w:p>
    <w:p>
      <w:pPr>
        <w:pStyle w:val="PreformattedText"/>
        <w:bidi w:val="0"/>
        <w:jc w:val="left"/>
        <w:rPr/>
      </w:pPr>
      <w:r>
        <w:rPr/>
        <w:t xml:space="preserve">        </w:t>
      </w:r>
      <w:r>
        <w:rPr/>
        <w:t>|   v_order_feedback, order_360, v_order_warehouse_pairs, v_order_driver_pairs)</w:t>
      </w:r>
    </w:p>
    <w:p>
      <w:pPr>
        <w:pStyle w:val="PreformattedText"/>
        <w:bidi w:val="0"/>
        <w:jc w:val="left"/>
        <w:rPr/>
      </w:pPr>
      <w:r>
        <w:rPr/>
        <w:t xml:space="preserve">        </w:t>
      </w:r>
      <w:r>
        <w:rPr/>
        <w:t>v</w:t>
      </w:r>
    </w:p>
    <w:p>
      <w:pPr>
        <w:pStyle w:val="PreformattedText"/>
        <w:bidi w:val="0"/>
        <w:jc w:val="left"/>
        <w:rPr/>
      </w:pPr>
      <w:r>
        <w:rPr/>
        <w:t xml:space="preserve">  </w:t>
      </w:r>
      <w:r>
        <w:rPr/>
        <w:t>src/insights/*   deterministic engine: UC1-UC6</w:t>
      </w:r>
    </w:p>
    <w:p>
      <w:pPr>
        <w:pStyle w:val="PreformattedText"/>
        <w:bidi w:val="0"/>
        <w:jc w:val="left"/>
        <w:rPr/>
      </w:pPr>
      <w:r>
        <w:rPr/>
        <w:t xml:space="preserve">        </w:t>
      </w:r>
      <w:r>
        <w:rPr/>
        <w:t>|           filter -&gt; outcome split -&gt; recorded causes -&gt; corroboration</w:t>
      </w:r>
    </w:p>
    <w:p>
      <w:pPr>
        <w:pStyle w:val="PreformattedText"/>
        <w:bidi w:val="0"/>
        <w:jc w:val="left"/>
        <w:rPr/>
      </w:pPr>
      <w:r>
        <w:rPr/>
        <w:t xml:space="preserve">        </w:t>
      </w:r>
      <w:r>
        <w:rPr/>
        <w:t>|           -&gt; association lifts vs baseline -&gt; evidence JSON</w:t>
      </w:r>
    </w:p>
    <w:p>
      <w:pPr>
        <w:pStyle w:val="PreformattedText"/>
        <w:bidi w:val="0"/>
        <w:jc w:val="left"/>
        <w:rPr/>
      </w:pPr>
      <w:r>
        <w:rPr/>
        <w:t xml:space="preserve">        </w:t>
      </w:r>
      <w:r>
        <w:rPr/>
        <w:t>v</w:t>
      </w:r>
    </w:p>
    <w:p>
      <w:pPr>
        <w:pStyle w:val="PreformattedText"/>
        <w:bidi w:val="0"/>
        <w:jc w:val="left"/>
        <w:rPr/>
      </w:pPr>
      <w:r>
        <w:rPr/>
        <w:t xml:space="preserve">  </w:t>
      </w:r>
      <w:r>
        <w:rPr/>
        <w:t>src/narrative/*  OpenAI renderer (optional, strictly grounded in the evidence JSON)</w:t>
      </w:r>
    </w:p>
    <w:p>
      <w:pPr>
        <w:pStyle w:val="PreformattedText"/>
        <w:bidi w:val="0"/>
        <w:jc w:val="left"/>
        <w:rPr/>
      </w:pPr>
      <w:r>
        <w:rPr/>
        <w:t xml:space="preserve">        </w:t>
      </w:r>
      <w:r>
        <w:rPr/>
        <w:t>|           -&gt; deterministic template renderer as guaranteed fallback</w:t>
      </w:r>
    </w:p>
    <w:p>
      <w:pPr>
        <w:pStyle w:val="PreformattedText"/>
        <w:bidi w:val="0"/>
        <w:jc w:val="left"/>
        <w:rPr/>
      </w:pPr>
      <w:r>
        <w:rPr/>
        <w:t xml:space="preserve">        </w:t>
      </w:r>
      <w:r>
        <w:rPr/>
        <w:t>v</w:t>
      </w:r>
    </w:p>
    <w:p>
      <w:pPr>
        <w:pStyle w:val="PreformattedText"/>
        <w:bidi w:val="0"/>
        <w:jc w:val="left"/>
        <w:rPr/>
      </w:pPr>
      <w:r>
        <w:rPr/>
        <w:t xml:space="preserve">  </w:t>
      </w:r>
      <w:r>
        <w:rPr/>
        <w:t>src/cli.ts       menu of the six use cases, parameter validation against DB values,</w:t>
      </w:r>
    </w:p>
    <w:p>
      <w:pPr>
        <w:pStyle w:val="PreformattedText"/>
        <w:bidi w:val="0"/>
        <w:spacing w:before="600" w:after="283"/>
        <w:jc w:val="left"/>
        <w:rPr/>
      </w:pPr>
      <w:r>
        <w:rPr/>
        <w:t xml:space="preserve">                   </w:t>
      </w:r>
      <w:r>
        <w:rPr/>
        <w:t>every answer saved as JSON (evidence) + TXT (narrative)</w:t>
      </w:r>
    </w:p>
    <w:p>
      <w:pPr>
        <w:pStyle w:val="BodyText"/>
        <w:bidi w:val="0"/>
        <w:jc w:val="left"/>
        <w:rPr/>
      </w:pPr>
      <w:r>
        <w:rPr>
          <w:b/>
        </w:rPr>
        <w:t>Design principle:</w:t>
      </w:r>
      <w:r>
        <w:rPr/>
        <w:t xml:space="preserve"> every number in every narrative is computed by the deterministic SQL/TypeScript engine. The optional LLM layer only rewrites the computed evidence into prose and is forbidden from calculating or inventing facts; if it is unavailable or fails, a deterministic template produces the same content. The six use cases therefore never depend on LLM availability.</w:t>
      </w:r>
    </w:p>
    <w:p>
      <w:pPr>
        <w:pStyle w:val="Heading2"/>
        <w:bidi w:val="0"/>
        <w:jc w:val="left"/>
        <w:rPr/>
      </w:pPr>
      <w:r>
        <w:rPr/>
        <w:t>2. Data Landscape</w:t>
      </w:r>
    </w:p>
    <w:tbl>
      <w:tblPr>
        <w:tblW w:w="11339" w:type="dxa"/>
        <w:jc w:val="left"/>
        <w:tblInd w:w="0" w:type="dxa"/>
        <w:tblLayout w:type="fixed"/>
        <w:tblCellMar>
          <w:top w:w="28" w:type="dxa"/>
          <w:left w:w="28" w:type="dxa"/>
          <w:bottom w:w="28" w:type="dxa"/>
          <w:right w:w="28" w:type="dxa"/>
        </w:tblCellMar>
      </w:tblPr>
      <w:tblGrid>
        <w:gridCol w:w="2272"/>
        <w:gridCol w:w="1291"/>
        <w:gridCol w:w="2339"/>
        <w:gridCol w:w="5437"/>
      </w:tblGrid>
      <w:tr>
        <w:trPr/>
        <w:tc>
          <w:tcPr>
            <w:tcW w:w="2272" w:type="dxa"/>
            <w:tcBorders/>
            <w:vAlign w:val="center"/>
          </w:tcPr>
          <w:p>
            <w:pPr>
              <w:pStyle w:val="TableHeading"/>
              <w:suppressLineNumbers/>
              <w:shd w:fill="DBE5F1" w:val="clear"/>
              <w:bidi w:val="0"/>
              <w:spacing w:before="0" w:after="283"/>
              <w:jc w:val="left"/>
              <w:rPr/>
            </w:pPr>
            <w:r>
              <w:rPr/>
              <w:t>Dataset</w:t>
            </w:r>
          </w:p>
        </w:tc>
        <w:tc>
          <w:tcPr>
            <w:tcW w:w="1291" w:type="dxa"/>
            <w:tcBorders/>
            <w:vAlign w:val="center"/>
          </w:tcPr>
          <w:p>
            <w:pPr>
              <w:pStyle w:val="TableHeading"/>
              <w:suppressLineNumbers/>
              <w:shd w:fill="DBE5F1" w:val="clear"/>
              <w:bidi w:val="0"/>
              <w:spacing w:before="0" w:after="283"/>
              <w:jc w:val="left"/>
              <w:rPr/>
            </w:pPr>
            <w:r>
              <w:rPr/>
              <w:t>Rows</w:t>
            </w:r>
          </w:p>
        </w:tc>
        <w:tc>
          <w:tcPr>
            <w:tcW w:w="2339" w:type="dxa"/>
            <w:tcBorders/>
            <w:vAlign w:val="center"/>
          </w:tcPr>
          <w:p>
            <w:pPr>
              <w:pStyle w:val="TableHeading"/>
              <w:suppressLineNumbers/>
              <w:shd w:fill="DBE5F1" w:val="clear"/>
              <w:bidi w:val="0"/>
              <w:spacing w:before="0" w:after="283"/>
              <w:jc w:val="left"/>
              <w:rPr/>
            </w:pPr>
            <w:r>
              <w:rPr/>
              <w:t>Key / links</w:t>
            </w:r>
          </w:p>
        </w:tc>
        <w:tc>
          <w:tcPr>
            <w:tcW w:w="5437" w:type="dxa"/>
            <w:tcBorders/>
            <w:vAlign w:val="center"/>
          </w:tcPr>
          <w:p>
            <w:pPr>
              <w:pStyle w:val="TableHeading"/>
              <w:suppressLineNumbers/>
              <w:shd w:fill="DBE5F1" w:val="clear"/>
              <w:bidi w:val="0"/>
              <w:spacing w:before="0" w:after="283"/>
              <w:jc w:val="left"/>
              <w:rPr/>
            </w:pPr>
            <w:r>
              <w:rPr/>
              <w:t>Analytical role</w:t>
            </w:r>
          </w:p>
        </w:tc>
      </w:tr>
      <w:tr>
        <w:trPr/>
        <w:tc>
          <w:tcPr>
            <w:tcW w:w="2272" w:type="dxa"/>
            <w:tcBorders/>
            <w:vAlign w:val="center"/>
          </w:tcPr>
          <w:p>
            <w:pPr>
              <w:pStyle w:val="TableContents"/>
              <w:bidi w:val="0"/>
              <w:spacing w:before="0" w:after="283"/>
              <w:jc w:val="left"/>
              <w:rPr/>
            </w:pPr>
            <w:r>
              <w:rPr/>
              <w:t>orders.csv</w:t>
            </w:r>
          </w:p>
        </w:tc>
        <w:tc>
          <w:tcPr>
            <w:tcW w:w="1291" w:type="dxa"/>
            <w:tcBorders/>
            <w:vAlign w:val="center"/>
          </w:tcPr>
          <w:p>
            <w:pPr>
              <w:pStyle w:val="TableContents"/>
              <w:bidi w:val="0"/>
              <w:spacing w:before="0" w:after="283"/>
              <w:jc w:val="left"/>
              <w:rPr/>
            </w:pPr>
            <w:r>
              <w:rPr/>
              <w:t>10,000</w:t>
            </w:r>
          </w:p>
        </w:tc>
        <w:tc>
          <w:tcPr>
            <w:tcW w:w="2339" w:type="dxa"/>
            <w:tcBorders/>
            <w:vAlign w:val="center"/>
          </w:tcPr>
          <w:p>
            <w:pPr>
              <w:pStyle w:val="TableContents"/>
              <w:bidi w:val="0"/>
              <w:spacing w:before="0" w:after="283"/>
              <w:jc w:val="left"/>
              <w:rPr/>
            </w:pPr>
            <w:r>
              <w:rPr/>
              <w:t>order_id; client_id → clients</w:t>
            </w:r>
          </w:p>
        </w:tc>
        <w:tc>
          <w:tcPr>
            <w:tcW w:w="5437" w:type="dxa"/>
            <w:tcBorders/>
            <w:vAlign w:val="center"/>
          </w:tcPr>
          <w:p>
            <w:pPr>
              <w:pStyle w:val="TableContents"/>
              <w:bidi w:val="0"/>
              <w:spacing w:before="0" w:after="283"/>
              <w:jc w:val="left"/>
              <w:rPr/>
            </w:pPr>
            <w:r>
              <w:rPr/>
              <w:t>Anchor fact table: status, order/promised/actual dates, city, payment mode, amount, recorded failure_reason</w:t>
            </w:r>
          </w:p>
        </w:tc>
      </w:tr>
      <w:tr>
        <w:trPr/>
        <w:tc>
          <w:tcPr>
            <w:tcW w:w="2272" w:type="dxa"/>
            <w:tcBorders/>
            <w:vAlign w:val="center"/>
          </w:tcPr>
          <w:p>
            <w:pPr>
              <w:pStyle w:val="TableContents"/>
              <w:bidi w:val="0"/>
              <w:spacing w:before="0" w:after="283"/>
              <w:jc w:val="left"/>
              <w:rPr/>
            </w:pPr>
            <w:r>
              <w:rPr/>
              <w:t>clients.csv</w:t>
            </w:r>
          </w:p>
        </w:tc>
        <w:tc>
          <w:tcPr>
            <w:tcW w:w="1291" w:type="dxa"/>
            <w:tcBorders/>
            <w:vAlign w:val="center"/>
          </w:tcPr>
          <w:p>
            <w:pPr>
              <w:pStyle w:val="TableContents"/>
              <w:bidi w:val="0"/>
              <w:spacing w:before="0" w:after="283"/>
              <w:jc w:val="left"/>
              <w:rPr/>
            </w:pPr>
            <w:r>
              <w:rPr/>
              <w:t>500</w:t>
            </w:r>
          </w:p>
        </w:tc>
        <w:tc>
          <w:tcPr>
            <w:tcW w:w="2339" w:type="dxa"/>
            <w:tcBorders/>
            <w:vAlign w:val="center"/>
          </w:tcPr>
          <w:p>
            <w:pPr>
              <w:pStyle w:val="TableContents"/>
              <w:bidi w:val="0"/>
              <w:spacing w:before="0" w:after="283"/>
              <w:jc w:val="left"/>
              <w:rPr/>
            </w:pPr>
            <w:r>
              <w:rPr/>
              <w:t>client_id</w:t>
            </w:r>
          </w:p>
        </w:tc>
        <w:tc>
          <w:tcPr>
            <w:tcW w:w="5437" w:type="dxa"/>
            <w:tcBorders/>
            <w:vAlign w:val="center"/>
          </w:tcPr>
          <w:p>
            <w:pPr>
              <w:pStyle w:val="TableContents"/>
              <w:bidi w:val="0"/>
              <w:spacing w:before="0" w:after="283"/>
              <w:jc w:val="left"/>
              <w:rPr/>
            </w:pPr>
            <w:r>
              <w:rPr/>
              <w:t>Client dimension (name, city)</w:t>
            </w:r>
          </w:p>
        </w:tc>
      </w:tr>
      <w:tr>
        <w:trPr/>
        <w:tc>
          <w:tcPr>
            <w:tcW w:w="2272" w:type="dxa"/>
            <w:tcBorders/>
            <w:vAlign w:val="center"/>
          </w:tcPr>
          <w:p>
            <w:pPr>
              <w:pStyle w:val="TableContents"/>
              <w:bidi w:val="0"/>
              <w:spacing w:before="0" w:after="283"/>
              <w:jc w:val="left"/>
              <w:rPr/>
            </w:pPr>
            <w:r>
              <w:rPr/>
              <w:t>drivers.csv</w:t>
            </w:r>
          </w:p>
        </w:tc>
        <w:tc>
          <w:tcPr>
            <w:tcW w:w="1291" w:type="dxa"/>
            <w:tcBorders/>
            <w:vAlign w:val="center"/>
          </w:tcPr>
          <w:p>
            <w:pPr>
              <w:pStyle w:val="TableContents"/>
              <w:bidi w:val="0"/>
              <w:spacing w:before="0" w:after="283"/>
              <w:jc w:val="left"/>
              <w:rPr/>
            </w:pPr>
            <w:r>
              <w:rPr/>
              <w:t>2,000</w:t>
            </w:r>
          </w:p>
        </w:tc>
        <w:tc>
          <w:tcPr>
            <w:tcW w:w="2339" w:type="dxa"/>
            <w:tcBorders/>
            <w:vAlign w:val="center"/>
          </w:tcPr>
          <w:p>
            <w:pPr>
              <w:pStyle w:val="TableContents"/>
              <w:bidi w:val="0"/>
              <w:spacing w:before="0" w:after="283"/>
              <w:jc w:val="left"/>
              <w:rPr/>
            </w:pPr>
            <w:r>
              <w:rPr/>
              <w:t>driver_id</w:t>
            </w:r>
          </w:p>
        </w:tc>
        <w:tc>
          <w:tcPr>
            <w:tcW w:w="5437" w:type="dxa"/>
            <w:tcBorders/>
            <w:vAlign w:val="center"/>
          </w:tcPr>
          <w:p>
            <w:pPr>
              <w:pStyle w:val="TableContents"/>
              <w:bidi w:val="0"/>
              <w:spacing w:before="0" w:after="283"/>
              <w:jc w:val="left"/>
              <w:rPr/>
            </w:pPr>
            <w:r>
              <w:rPr/>
              <w:t>Driver dimension (partner company, city, active status)</w:t>
            </w:r>
          </w:p>
        </w:tc>
      </w:tr>
      <w:tr>
        <w:trPr/>
        <w:tc>
          <w:tcPr>
            <w:tcW w:w="2272" w:type="dxa"/>
            <w:tcBorders/>
            <w:vAlign w:val="center"/>
          </w:tcPr>
          <w:p>
            <w:pPr>
              <w:pStyle w:val="TableContents"/>
              <w:bidi w:val="0"/>
              <w:spacing w:before="0" w:after="283"/>
              <w:jc w:val="left"/>
              <w:rPr/>
            </w:pPr>
            <w:r>
              <w:rPr/>
              <w:t>warehouses.csv</w:t>
            </w:r>
          </w:p>
        </w:tc>
        <w:tc>
          <w:tcPr>
            <w:tcW w:w="1291" w:type="dxa"/>
            <w:tcBorders/>
            <w:vAlign w:val="center"/>
          </w:tcPr>
          <w:p>
            <w:pPr>
              <w:pStyle w:val="TableContents"/>
              <w:bidi w:val="0"/>
              <w:spacing w:before="0" w:after="283"/>
              <w:jc w:val="left"/>
              <w:rPr/>
            </w:pPr>
            <w:r>
              <w:rPr/>
              <w:t>50</w:t>
            </w:r>
          </w:p>
        </w:tc>
        <w:tc>
          <w:tcPr>
            <w:tcW w:w="2339" w:type="dxa"/>
            <w:tcBorders/>
            <w:vAlign w:val="center"/>
          </w:tcPr>
          <w:p>
            <w:pPr>
              <w:pStyle w:val="TableContents"/>
              <w:bidi w:val="0"/>
              <w:spacing w:before="0" w:after="283"/>
              <w:jc w:val="left"/>
              <w:rPr/>
            </w:pPr>
            <w:r>
              <w:rPr/>
              <w:t>warehouse_id</w:t>
            </w:r>
          </w:p>
        </w:tc>
        <w:tc>
          <w:tcPr>
            <w:tcW w:w="5437" w:type="dxa"/>
            <w:tcBorders/>
            <w:vAlign w:val="center"/>
          </w:tcPr>
          <w:p>
            <w:pPr>
              <w:pStyle w:val="TableContents"/>
              <w:bidi w:val="0"/>
              <w:spacing w:before="0" w:after="283"/>
              <w:jc w:val="left"/>
              <w:rPr/>
            </w:pPr>
            <w:r>
              <w:rPr/>
              <w:t>Warehouse dimension (city, capacity)</w:t>
            </w:r>
          </w:p>
        </w:tc>
      </w:tr>
      <w:tr>
        <w:trPr/>
        <w:tc>
          <w:tcPr>
            <w:tcW w:w="2272" w:type="dxa"/>
            <w:tcBorders/>
            <w:vAlign w:val="center"/>
          </w:tcPr>
          <w:p>
            <w:pPr>
              <w:pStyle w:val="TableContents"/>
              <w:bidi w:val="0"/>
              <w:spacing w:before="0" w:after="283"/>
              <w:jc w:val="left"/>
              <w:rPr/>
            </w:pPr>
            <w:r>
              <w:rPr/>
              <w:t>fleet_logs.csv</w:t>
            </w:r>
          </w:p>
        </w:tc>
        <w:tc>
          <w:tcPr>
            <w:tcW w:w="1291" w:type="dxa"/>
            <w:tcBorders/>
            <w:vAlign w:val="center"/>
          </w:tcPr>
          <w:p>
            <w:pPr>
              <w:pStyle w:val="TableContents"/>
              <w:bidi w:val="0"/>
              <w:spacing w:before="0" w:after="283"/>
              <w:jc w:val="left"/>
              <w:rPr/>
            </w:pPr>
            <w:r>
              <w:rPr/>
              <w:t>10,000</w:t>
            </w:r>
          </w:p>
        </w:tc>
        <w:tc>
          <w:tcPr>
            <w:tcW w:w="2339" w:type="dxa"/>
            <w:tcBorders/>
            <w:vAlign w:val="center"/>
          </w:tcPr>
          <w:p>
            <w:pPr>
              <w:pStyle w:val="TableContents"/>
              <w:bidi w:val="0"/>
              <w:spacing w:before="0" w:after="283"/>
              <w:jc w:val="left"/>
              <w:rPr/>
            </w:pPr>
            <w:r>
              <w:rPr/>
              <w:t>order_id, driver_id</w:t>
            </w:r>
          </w:p>
        </w:tc>
        <w:tc>
          <w:tcPr>
            <w:tcW w:w="5437" w:type="dxa"/>
            <w:tcBorders/>
            <w:vAlign w:val="center"/>
          </w:tcPr>
          <w:p>
            <w:pPr>
              <w:pStyle w:val="TableContents"/>
              <w:bidi w:val="0"/>
              <w:spacing w:before="0" w:after="283"/>
              <w:jc w:val="left"/>
              <w:rPr/>
            </w:pPr>
            <w:r>
              <w:rPr/>
              <w:t>GPS delay notes (congestion / breakdown / address not found), trip times</w:t>
            </w:r>
          </w:p>
        </w:tc>
      </w:tr>
      <w:tr>
        <w:trPr/>
        <w:tc>
          <w:tcPr>
            <w:tcW w:w="2272" w:type="dxa"/>
            <w:tcBorders/>
            <w:vAlign w:val="center"/>
          </w:tcPr>
          <w:p>
            <w:pPr>
              <w:pStyle w:val="TableContents"/>
              <w:bidi w:val="0"/>
              <w:spacing w:before="0" w:after="283"/>
              <w:jc w:val="left"/>
              <w:rPr/>
            </w:pPr>
            <w:r>
              <w:rPr/>
              <w:t>warehouse_logs.csv</w:t>
            </w:r>
          </w:p>
        </w:tc>
        <w:tc>
          <w:tcPr>
            <w:tcW w:w="1291" w:type="dxa"/>
            <w:tcBorders/>
            <w:vAlign w:val="center"/>
          </w:tcPr>
          <w:p>
            <w:pPr>
              <w:pStyle w:val="TableContents"/>
              <w:bidi w:val="0"/>
              <w:spacing w:before="0" w:after="283"/>
              <w:jc w:val="left"/>
              <w:rPr/>
            </w:pPr>
            <w:r>
              <w:rPr/>
              <w:t>10,000</w:t>
            </w:r>
          </w:p>
        </w:tc>
        <w:tc>
          <w:tcPr>
            <w:tcW w:w="2339" w:type="dxa"/>
            <w:tcBorders/>
            <w:vAlign w:val="center"/>
          </w:tcPr>
          <w:p>
            <w:pPr>
              <w:pStyle w:val="TableContents"/>
              <w:bidi w:val="0"/>
              <w:spacing w:before="0" w:after="283"/>
              <w:jc w:val="left"/>
              <w:rPr/>
            </w:pPr>
            <w:r>
              <w:rPr/>
              <w:t>order_id, warehouse_id</w:t>
            </w:r>
          </w:p>
        </w:tc>
        <w:tc>
          <w:tcPr>
            <w:tcW w:w="5437" w:type="dxa"/>
            <w:tcBorders/>
            <w:vAlign w:val="center"/>
          </w:tcPr>
          <w:p>
            <w:pPr>
              <w:pStyle w:val="TableContents"/>
              <w:bidi w:val="0"/>
              <w:spacing w:before="0" w:after="283"/>
              <w:jc w:val="left"/>
              <w:rPr/>
            </w:pPr>
            <w:r>
              <w:rPr/>
              <w:t>Picking/dispatch timestamps and delay notes</w:t>
            </w:r>
          </w:p>
        </w:tc>
      </w:tr>
      <w:tr>
        <w:trPr/>
        <w:tc>
          <w:tcPr>
            <w:tcW w:w="2272" w:type="dxa"/>
            <w:tcBorders/>
            <w:vAlign w:val="center"/>
          </w:tcPr>
          <w:p>
            <w:pPr>
              <w:pStyle w:val="TableContents"/>
              <w:bidi w:val="0"/>
              <w:spacing w:before="0" w:after="283"/>
              <w:jc w:val="left"/>
              <w:rPr/>
            </w:pPr>
            <w:r>
              <w:rPr/>
              <w:t>external_factors.csv</w:t>
            </w:r>
          </w:p>
        </w:tc>
        <w:tc>
          <w:tcPr>
            <w:tcW w:w="1291" w:type="dxa"/>
            <w:tcBorders/>
            <w:vAlign w:val="center"/>
          </w:tcPr>
          <w:p>
            <w:pPr>
              <w:pStyle w:val="TableContents"/>
              <w:bidi w:val="0"/>
              <w:spacing w:before="0" w:after="283"/>
              <w:jc w:val="left"/>
              <w:rPr/>
            </w:pPr>
            <w:r>
              <w:rPr/>
              <w:t>10,000</w:t>
            </w:r>
          </w:p>
        </w:tc>
        <w:tc>
          <w:tcPr>
            <w:tcW w:w="2339" w:type="dxa"/>
            <w:tcBorders/>
            <w:vAlign w:val="center"/>
          </w:tcPr>
          <w:p>
            <w:pPr>
              <w:pStyle w:val="TableContents"/>
              <w:bidi w:val="0"/>
              <w:spacing w:before="0" w:after="283"/>
              <w:jc w:val="left"/>
              <w:rPr/>
            </w:pPr>
            <w:r>
              <w:rPr/>
              <w:t>order_id</w:t>
            </w:r>
          </w:p>
        </w:tc>
        <w:tc>
          <w:tcPr>
            <w:tcW w:w="5437" w:type="dxa"/>
            <w:tcBorders/>
            <w:vAlign w:val="center"/>
          </w:tcPr>
          <w:p>
            <w:pPr>
              <w:pStyle w:val="TableContents"/>
              <w:bidi w:val="0"/>
              <w:spacing w:before="0" w:after="283"/>
              <w:jc w:val="left"/>
              <w:rPr/>
            </w:pPr>
            <w:r>
              <w:rPr/>
              <w:t>Traffic, weather, event (festival/holiday/strike) per order</w:t>
            </w:r>
          </w:p>
        </w:tc>
      </w:tr>
      <w:tr>
        <w:trPr/>
        <w:tc>
          <w:tcPr>
            <w:tcW w:w="2272" w:type="dxa"/>
            <w:tcBorders/>
            <w:vAlign w:val="center"/>
          </w:tcPr>
          <w:p>
            <w:pPr>
              <w:pStyle w:val="TableContents"/>
              <w:bidi w:val="0"/>
              <w:spacing w:before="0" w:after="283"/>
              <w:jc w:val="left"/>
              <w:rPr/>
            </w:pPr>
            <w:r>
              <w:rPr/>
              <w:t>feedback.csv</w:t>
            </w:r>
          </w:p>
        </w:tc>
        <w:tc>
          <w:tcPr>
            <w:tcW w:w="1291" w:type="dxa"/>
            <w:tcBorders/>
            <w:vAlign w:val="center"/>
          </w:tcPr>
          <w:p>
            <w:pPr>
              <w:pStyle w:val="TableContents"/>
              <w:bidi w:val="0"/>
              <w:spacing w:before="0" w:after="283"/>
              <w:jc w:val="left"/>
              <w:rPr/>
            </w:pPr>
            <w:r>
              <w:rPr/>
              <w:t>10,000</w:t>
            </w:r>
          </w:p>
        </w:tc>
        <w:tc>
          <w:tcPr>
            <w:tcW w:w="2339" w:type="dxa"/>
            <w:tcBorders/>
            <w:vAlign w:val="center"/>
          </w:tcPr>
          <w:p>
            <w:pPr>
              <w:pStyle w:val="TableContents"/>
              <w:bidi w:val="0"/>
              <w:spacing w:before="0" w:after="283"/>
              <w:jc w:val="left"/>
              <w:rPr/>
            </w:pPr>
            <w:r>
              <w:rPr/>
              <w:t>order_id</w:t>
            </w:r>
          </w:p>
        </w:tc>
        <w:tc>
          <w:tcPr>
            <w:tcW w:w="5437" w:type="dxa"/>
            <w:tcBorders/>
            <w:vAlign w:val="center"/>
          </w:tcPr>
          <w:p>
            <w:pPr>
              <w:pStyle w:val="TableContents"/>
              <w:bidi w:val="0"/>
              <w:spacing w:before="0" w:after="283"/>
              <w:jc w:val="left"/>
              <w:rPr/>
            </w:pPr>
            <w:r>
              <w:rPr/>
              <w:t>Customer feedback text (sentiment/rating fields proved unreliable)</w:t>
            </w:r>
          </w:p>
        </w:tc>
      </w:tr>
    </w:tbl>
    <w:p>
      <w:pPr>
        <w:pStyle w:val="Heading3"/>
        <w:bidi w:val="0"/>
        <w:jc w:val="left"/>
        <w:rPr/>
      </w:pPr>
      <w:r>
        <w:rPr/>
        <w:t>Entity relationships (as they actually exist in the data)</w:t>
      </w:r>
    </w:p>
    <w:p>
      <w:pPr>
        <w:pStyle w:val="PreformattedText"/>
        <w:bidi w:val="0"/>
        <w:jc w:val="left"/>
        <w:rPr/>
      </w:pPr>
      <w:r>
        <w:rPr/>
        <w:t xml:space="preserve">                              </w:t>
      </w:r>
      <w:r>
        <w:rPr/>
        <w:t>clients</w:t>
      </w:r>
    </w:p>
    <w:p>
      <w:pPr>
        <w:pStyle w:val="PreformattedText"/>
        <w:bidi w:val="0"/>
        <w:jc w:val="left"/>
        <w:rPr/>
      </w:pPr>
      <w:r>
        <w:rPr/>
        <w:t xml:space="preserve">                                 </w:t>
      </w:r>
      <w:r>
        <w:rPr/>
        <w:t>^</w:t>
      </w:r>
    </w:p>
    <w:p>
      <w:pPr>
        <w:pStyle w:val="PreformattedText"/>
        <w:bidi w:val="0"/>
        <w:jc w:val="left"/>
        <w:rPr/>
      </w:pPr>
      <w:r>
        <w:rPr/>
        <w:t xml:space="preserve">                                 </w:t>
      </w:r>
      <w:r>
        <w:rPr/>
        <w:t>|  client_id (1:N)</w:t>
      </w:r>
    </w:p>
    <w:p>
      <w:pPr>
        <w:pStyle w:val="PreformattedText"/>
        <w:bidi w:val="0"/>
        <w:jc w:val="left"/>
        <w:rPr/>
      </w:pPr>
      <w:r>
        <w:rPr/>
        <w:t xml:space="preserve"> </w:t>
      </w:r>
      <w:r>
        <w:rPr/>
        <w:t>+---------------------------  orders  ---------------------------+</w:t>
      </w:r>
    </w:p>
    <w:p>
      <w:pPr>
        <w:pStyle w:val="PreformattedText"/>
        <w:bidi w:val="0"/>
        <w:jc w:val="left"/>
        <w:rPr/>
      </w:pPr>
      <w:r>
        <w:rPr/>
        <w:t xml:space="preserve"> </w:t>
      </w:r>
      <w:r>
        <w:rPr/>
        <w:t>|  order_id (PK), city, state, order_date,                       |</w:t>
      </w:r>
    </w:p>
    <w:p>
      <w:pPr>
        <w:pStyle w:val="PreformattedText"/>
        <w:bidi w:val="0"/>
        <w:jc w:val="left"/>
        <w:rPr/>
      </w:pPr>
      <w:r>
        <w:rPr/>
        <w:t xml:space="preserve"> </w:t>
      </w:r>
      <w:r>
        <w:rPr/>
        <w:t>|  promised_delivery_date, actual_delivery_date,                 |</w:t>
      </w:r>
    </w:p>
    <w:p>
      <w:pPr>
        <w:pStyle w:val="PreformattedText"/>
        <w:bidi w:val="0"/>
        <w:jc w:val="left"/>
        <w:rPr/>
      </w:pPr>
      <w:r>
        <w:rPr/>
        <w:t xml:space="preserve"> </w:t>
      </w:r>
      <w:r>
        <w:rPr/>
        <w:t>|  status, payment_mode, amount, failure_reason                  |</w:t>
      </w:r>
    </w:p>
    <w:p>
      <w:pPr>
        <w:pStyle w:val="PreformattedText"/>
        <w:bidi w:val="0"/>
        <w:jc w:val="left"/>
        <w:rPr/>
      </w:pPr>
      <w:r>
        <w:rPr/>
        <w:t xml:space="preserve"> </w:t>
      </w:r>
      <w:r>
        <w:rPr/>
        <w:t>+----+--------------+------------------+------------------+------+</w:t>
      </w:r>
    </w:p>
    <w:p>
      <w:pPr>
        <w:pStyle w:val="PreformattedText"/>
        <w:bidi w:val="0"/>
        <w:jc w:val="left"/>
        <w:rPr/>
      </w:pPr>
      <w:r>
        <w:rPr/>
        <w:t xml:space="preserve">      </w:t>
      </w:r>
      <w:r>
        <w:rPr/>
        <w:t>| order_id     | order_id         | order_id         | order_id</w:t>
      </w:r>
    </w:p>
    <w:p>
      <w:pPr>
        <w:pStyle w:val="PreformattedText"/>
        <w:bidi w:val="0"/>
        <w:jc w:val="left"/>
        <w:rPr/>
      </w:pPr>
      <w:r>
        <w:rPr/>
        <w:t xml:space="preserve">      </w:t>
      </w:r>
      <w:r>
        <w:rPr/>
        <w:t>v (1:N)        v (1:N)            v (1:N)            v (1:N)</w:t>
      </w:r>
    </w:p>
    <w:p>
      <w:pPr>
        <w:pStyle w:val="PreformattedText"/>
        <w:bidi w:val="0"/>
        <w:jc w:val="left"/>
        <w:rPr/>
      </w:pPr>
      <w:r>
        <w:rPr/>
        <w:t xml:space="preserve">  </w:t>
      </w:r>
      <w:r>
        <w:rPr/>
        <w:t>fleet_logs     warehouse_logs    external_factors     feedback</w:t>
      </w:r>
    </w:p>
    <w:p>
      <w:pPr>
        <w:pStyle w:val="PreformattedText"/>
        <w:bidi w:val="0"/>
        <w:jc w:val="left"/>
        <w:rPr/>
      </w:pPr>
      <w:r>
        <w:rPr/>
        <w:t xml:space="preserve">      </w:t>
      </w:r>
      <w:r>
        <w:rPr/>
        <w:t>|               |</w:t>
      </w:r>
    </w:p>
    <w:p>
      <w:pPr>
        <w:pStyle w:val="PreformattedText"/>
        <w:bidi w:val="0"/>
        <w:jc w:val="left"/>
        <w:rPr/>
      </w:pPr>
      <w:r>
        <w:rPr/>
        <w:t xml:space="preserve">      </w:t>
      </w:r>
      <w:r>
        <w:rPr/>
        <w:t>| driver_id     | warehouse_id</w:t>
      </w:r>
    </w:p>
    <w:p>
      <w:pPr>
        <w:pStyle w:val="PreformattedText"/>
        <w:bidi w:val="0"/>
        <w:jc w:val="left"/>
        <w:rPr/>
      </w:pPr>
      <w:r>
        <w:rPr/>
        <w:t xml:space="preserve">      </w:t>
      </w:r>
      <w:r>
        <w:rPr/>
        <w:t>v (N:1)         v (N:1)</w:t>
      </w:r>
    </w:p>
    <w:p>
      <w:pPr>
        <w:pStyle w:val="PreformattedText"/>
        <w:bidi w:val="0"/>
        <w:spacing w:before="600" w:after="283"/>
        <w:jc w:val="left"/>
        <w:rPr/>
      </w:pPr>
      <w:r>
        <w:rPr/>
        <w:t xml:space="preserve">   </w:t>
      </w:r>
      <w:r>
        <w:rPr/>
        <w:t>drivers        warehouses</w:t>
      </w:r>
    </w:p>
    <w:p>
      <w:pPr>
        <w:pStyle w:val="BodyText"/>
        <w:bidi w:val="0"/>
        <w:jc w:val="left"/>
        <w:rPr/>
      </w:pPr>
      <w:r>
        <w:rPr>
          <w:b/>
        </w:rPr>
        <w:t>Important structural fact:</w:t>
      </w:r>
      <w:r>
        <w:rPr/>
        <w:t xml:space="preserve"> orders carry </w:t>
      </w:r>
      <w:r>
        <w:rPr>
          <w:i/>
        </w:rPr>
        <w:t>no</w:t>
      </w:r>
      <w:r>
        <w:rPr/>
        <w:t xml:space="preserve"> direct warehouse or driver column — those relationships exist only through the log tables. 2,598 orders were handled by more than one warehouse and 2,586 by more than one driver, so warehouse/driver analysis is </w:t>
      </w:r>
      <w:r>
        <w:rPr>
          <w:b/>
        </w:rPr>
        <w:t>pair-level</w:t>
      </w:r>
      <w:r>
        <w:rPr/>
        <w:t xml:space="preserve">: an order counts toward every entity that touched it (“orders </w:t>
      </w:r>
      <w:r>
        <w:rPr>
          <w:i/>
        </w:rPr>
        <w:t>involving</w:t>
      </w:r>
      <w:r>
        <w:rPr/>
        <w:t xml:space="preserve"> Warehouse X”).</w:t>
      </w:r>
    </w:p>
    <w:p>
      <w:pPr>
        <w:pStyle w:val="Heading3"/>
        <w:bidi w:val="0"/>
        <w:jc w:val="left"/>
        <w:rPr/>
      </w:pPr>
      <w:r>
        <w:rPr/>
        <w:t>Data-quality findings (verified by profiling; they shaped the design)</w:t>
      </w:r>
    </w:p>
    <w:tbl>
      <w:tblPr>
        <w:tblW w:w="11339" w:type="dxa"/>
        <w:jc w:val="left"/>
        <w:tblInd w:w="0" w:type="dxa"/>
        <w:tblLayout w:type="fixed"/>
        <w:tblCellMar>
          <w:top w:w="28" w:type="dxa"/>
          <w:left w:w="28" w:type="dxa"/>
          <w:bottom w:w="28" w:type="dxa"/>
          <w:right w:w="28" w:type="dxa"/>
        </w:tblCellMar>
      </w:tblPr>
      <w:tblGrid>
        <w:gridCol w:w="5469"/>
        <w:gridCol w:w="5870"/>
      </w:tblGrid>
      <w:tr>
        <w:trPr/>
        <w:tc>
          <w:tcPr>
            <w:tcW w:w="5469" w:type="dxa"/>
            <w:tcBorders/>
            <w:vAlign w:val="center"/>
          </w:tcPr>
          <w:p>
            <w:pPr>
              <w:pStyle w:val="TableHeading"/>
              <w:suppressLineNumbers/>
              <w:shd w:fill="DBE5F1" w:val="clear"/>
              <w:bidi w:val="0"/>
              <w:spacing w:before="0" w:after="283"/>
              <w:jc w:val="left"/>
              <w:rPr/>
            </w:pPr>
            <w:r>
              <w:rPr/>
              <w:t>Finding</w:t>
            </w:r>
          </w:p>
        </w:tc>
        <w:tc>
          <w:tcPr>
            <w:tcW w:w="5870" w:type="dxa"/>
            <w:tcBorders/>
            <w:vAlign w:val="center"/>
          </w:tcPr>
          <w:p>
            <w:pPr>
              <w:pStyle w:val="TableHeading"/>
              <w:suppressLineNumbers/>
              <w:shd w:fill="DBE5F1" w:val="clear"/>
              <w:bidi w:val="0"/>
              <w:spacing w:before="0" w:after="283"/>
              <w:jc w:val="left"/>
              <w:rPr/>
            </w:pPr>
            <w:r>
              <w:rPr/>
              <w:t>Design response</w:t>
            </w:r>
          </w:p>
        </w:tc>
      </w:tr>
      <w:tr>
        <w:trPr/>
        <w:tc>
          <w:tcPr>
            <w:tcW w:w="5469" w:type="dxa"/>
            <w:tcBorders/>
            <w:vAlign w:val="center"/>
          </w:tcPr>
          <w:p>
            <w:pPr>
              <w:pStyle w:val="TableContents"/>
              <w:bidi w:val="0"/>
              <w:spacing w:before="0" w:after="283"/>
              <w:jc w:val="left"/>
              <w:rPr/>
            </w:pPr>
            <w:r>
              <w:rPr/>
              <w:t>97% of warehouse/external/fleet timestamps are &gt;3 days away from the linked order date</w:t>
            </w:r>
          </w:p>
        </w:tc>
        <w:tc>
          <w:tcPr>
            <w:tcW w:w="5870" w:type="dxa"/>
            <w:tcBorders/>
            <w:vAlign w:val="center"/>
          </w:tcPr>
          <w:p>
            <w:pPr>
              <w:pStyle w:val="TableContents"/>
              <w:bidi w:val="0"/>
              <w:spacing w:before="0" w:after="283"/>
              <w:jc w:val="left"/>
              <w:rPr/>
            </w:pPr>
            <w:r>
              <w:rPr/>
              <w:t xml:space="preserve">All time filtering anchors on </w:t>
            </w:r>
            <w:r>
              <w:rPr>
                <w:rStyle w:val="SourceText"/>
              </w:rPr>
              <w:t>orders</w:t>
            </w:r>
            <w:r>
              <w:rPr/>
              <w:t xml:space="preserve"> dates only</w:t>
            </w:r>
          </w:p>
        </w:tc>
      </w:tr>
      <w:tr>
        <w:trPr/>
        <w:tc>
          <w:tcPr>
            <w:tcW w:w="5469" w:type="dxa"/>
            <w:tcBorders/>
            <w:vAlign w:val="center"/>
          </w:tcPr>
          <w:p>
            <w:pPr>
              <w:pStyle w:val="TableContents"/>
              <w:bidi w:val="0"/>
              <w:spacing w:before="0" w:after="283"/>
              <w:jc w:val="left"/>
              <w:rPr/>
            </w:pPr>
            <w:r>
              <w:rPr/>
              <w:t>Feedback sentiment/rating contradict the text (e.g. "Negative" with rating 5)</w:t>
            </w:r>
          </w:p>
        </w:tc>
        <w:tc>
          <w:tcPr>
            <w:tcW w:w="5870" w:type="dxa"/>
            <w:tcBorders/>
            <w:vAlign w:val="center"/>
          </w:tcPr>
          <w:p>
            <w:pPr>
              <w:pStyle w:val="TableContents"/>
              <w:bidi w:val="0"/>
              <w:spacing w:before="0" w:after="283"/>
              <w:jc w:val="left"/>
              <w:rPr/>
            </w:pPr>
            <w:r>
              <w:rPr/>
              <w:t>Only the feedback text is used; sentiment/rating excluded</w:t>
            </w:r>
          </w:p>
        </w:tc>
      </w:tr>
      <w:tr>
        <w:trPr/>
        <w:tc>
          <w:tcPr>
            <w:tcW w:w="5469" w:type="dxa"/>
            <w:tcBorders/>
            <w:vAlign w:val="center"/>
          </w:tcPr>
          <w:p>
            <w:pPr>
              <w:pStyle w:val="TableContents"/>
              <w:bidi w:val="0"/>
              <w:spacing w:before="0" w:after="283"/>
              <w:jc w:val="left"/>
              <w:rPr/>
            </w:pPr>
            <w:r>
              <w:rPr/>
              <w:t>Each log table covers only ~63% of orders, with up to 6–9 rows per order</w:t>
            </w:r>
          </w:p>
        </w:tc>
        <w:tc>
          <w:tcPr>
            <w:tcW w:w="5870" w:type="dxa"/>
            <w:tcBorders/>
            <w:vAlign w:val="center"/>
          </w:tcPr>
          <w:p>
            <w:pPr>
              <w:pStyle w:val="TableContents"/>
              <w:bidi w:val="0"/>
              <w:spacing w:before="0" w:after="283"/>
              <w:jc w:val="left"/>
              <w:rPr/>
            </w:pPr>
            <w:r>
              <w:rPr/>
              <w:t>Per-order flag aggregation views prevent join fan-out; coverage caveat attached to every answer</w:t>
            </w:r>
          </w:p>
        </w:tc>
      </w:tr>
      <w:tr>
        <w:trPr/>
        <w:tc>
          <w:tcPr>
            <w:tcW w:w="5469" w:type="dxa"/>
            <w:tcBorders/>
            <w:vAlign w:val="center"/>
          </w:tcPr>
          <w:p>
            <w:pPr>
              <w:pStyle w:val="TableContents"/>
              <w:bidi w:val="0"/>
              <w:spacing w:before="0" w:after="283"/>
              <w:jc w:val="left"/>
              <w:rPr/>
            </w:pPr>
            <w:r>
              <w:rPr/>
              <w:t>Driver's registered city matches the order city in only ~11% of fleet logs</w:t>
            </w:r>
          </w:p>
        </w:tc>
        <w:tc>
          <w:tcPr>
            <w:tcW w:w="5870" w:type="dxa"/>
            <w:tcBorders/>
            <w:vAlign w:val="center"/>
          </w:tcPr>
          <w:p>
            <w:pPr>
              <w:pStyle w:val="TableContents"/>
              <w:bidi w:val="0"/>
              <w:spacing w:before="0" w:after="283"/>
              <w:jc w:val="left"/>
              <w:rPr/>
            </w:pPr>
            <w:r>
              <w:rPr/>
              <w:t>Driver geography not used as an analytical dimension</w:t>
            </w:r>
          </w:p>
        </w:tc>
      </w:tr>
      <w:tr>
        <w:trPr/>
        <w:tc>
          <w:tcPr>
            <w:tcW w:w="5469" w:type="dxa"/>
            <w:tcBorders/>
            <w:vAlign w:val="center"/>
          </w:tcPr>
          <w:p>
            <w:pPr>
              <w:pStyle w:val="TableContents"/>
              <w:bidi w:val="0"/>
              <w:spacing w:before="0" w:after="283"/>
              <w:jc w:val="left"/>
              <w:rPr/>
            </w:pPr>
            <w:r>
              <w:rPr/>
              <w:t>~50% of orders have created_at after order_date</w:t>
            </w:r>
          </w:p>
        </w:tc>
        <w:tc>
          <w:tcPr>
            <w:tcW w:w="5870" w:type="dxa"/>
            <w:tcBorders/>
            <w:vAlign w:val="center"/>
          </w:tcPr>
          <w:p>
            <w:pPr>
              <w:pStyle w:val="TableContents"/>
              <w:bidi w:val="0"/>
              <w:spacing w:before="0" w:after="283"/>
              <w:jc w:val="left"/>
              <w:rPr/>
            </w:pPr>
            <w:r>
              <w:rPr/>
              <w:t>created_at treated as ingestion noise</w:t>
            </w:r>
          </w:p>
        </w:tc>
      </w:tr>
      <w:tr>
        <w:trPr/>
        <w:tc>
          <w:tcPr>
            <w:tcW w:w="5469" w:type="dxa"/>
            <w:tcBorders/>
            <w:vAlign w:val="center"/>
          </w:tcPr>
          <w:p>
            <w:pPr>
              <w:pStyle w:val="TableContents"/>
              <w:bidi w:val="0"/>
              <w:spacing w:before="0" w:after="283"/>
              <w:jc w:val="left"/>
              <w:rPr/>
            </w:pPr>
            <w:r>
              <w:rPr/>
              <w:t>1,271 of 1,942 delivered orders were delivered late</w:t>
            </w:r>
          </w:p>
        </w:tc>
        <w:tc>
          <w:tcPr>
            <w:tcW w:w="5870" w:type="dxa"/>
            <w:tcBorders/>
            <w:vAlign w:val="center"/>
          </w:tcPr>
          <w:p>
            <w:pPr>
              <w:pStyle w:val="TableContents"/>
              <w:bidi w:val="0"/>
              <w:spacing w:before="0" w:after="283"/>
              <w:jc w:val="left"/>
              <w:rPr/>
            </w:pPr>
            <w:r>
              <w:rPr/>
              <w:t>"Delay" is computed as actual &gt; promised, not from status alone</w:t>
            </w:r>
          </w:p>
        </w:tc>
      </w:tr>
    </w:tbl>
    <w:p>
      <w:pPr>
        <w:pStyle w:val="Heading2"/>
        <w:bidi w:val="0"/>
        <w:jc w:val="left"/>
        <w:rPr/>
      </w:pPr>
      <w:r>
        <w:rPr/>
        <w:t>3. Correlation Methodology — Three Evidence Tiers</w:t>
      </w:r>
    </w:p>
    <w:p>
      <w:pPr>
        <w:pStyle w:val="BodyText"/>
        <w:bidi w:val="0"/>
        <w:jc w:val="left"/>
        <w:rPr/>
      </w:pPr>
      <w:r>
        <w:rPr/>
        <w:t>The engine never claims causality it cannot support. Every fact in an answer belongs to one of three tiers, and the narrative language is constrained per tier (enforced in the template renderer and in the LLM prompt):</w:t>
      </w:r>
    </w:p>
    <w:tbl>
      <w:tblPr>
        <w:tblW w:w="11339" w:type="dxa"/>
        <w:jc w:val="left"/>
        <w:tblInd w:w="0" w:type="dxa"/>
        <w:tblLayout w:type="fixed"/>
        <w:tblCellMar>
          <w:top w:w="28" w:type="dxa"/>
          <w:left w:w="28" w:type="dxa"/>
          <w:bottom w:w="28" w:type="dxa"/>
          <w:right w:w="28" w:type="dxa"/>
        </w:tblCellMar>
      </w:tblPr>
      <w:tblGrid>
        <w:gridCol w:w="2161"/>
        <w:gridCol w:w="6051"/>
        <w:gridCol w:w="3127"/>
      </w:tblGrid>
      <w:tr>
        <w:trPr/>
        <w:tc>
          <w:tcPr>
            <w:tcW w:w="2161" w:type="dxa"/>
            <w:tcBorders/>
            <w:vAlign w:val="center"/>
          </w:tcPr>
          <w:p>
            <w:pPr>
              <w:pStyle w:val="TableHeading"/>
              <w:suppressLineNumbers/>
              <w:shd w:fill="DBE5F1" w:val="clear"/>
              <w:bidi w:val="0"/>
              <w:spacing w:before="0" w:after="283"/>
              <w:jc w:val="left"/>
              <w:rPr/>
            </w:pPr>
            <w:r>
              <w:rPr/>
              <w:t>Tier</w:t>
            </w:r>
          </w:p>
        </w:tc>
        <w:tc>
          <w:tcPr>
            <w:tcW w:w="6051" w:type="dxa"/>
            <w:tcBorders/>
            <w:vAlign w:val="center"/>
          </w:tcPr>
          <w:p>
            <w:pPr>
              <w:pStyle w:val="TableHeading"/>
              <w:suppressLineNumbers/>
              <w:shd w:fill="DBE5F1" w:val="clear"/>
              <w:bidi w:val="0"/>
              <w:spacing w:before="0" w:after="283"/>
              <w:jc w:val="left"/>
              <w:rPr/>
            </w:pPr>
            <w:r>
              <w:rPr/>
              <w:t>Source</w:t>
            </w:r>
          </w:p>
        </w:tc>
        <w:tc>
          <w:tcPr>
            <w:tcW w:w="3127" w:type="dxa"/>
            <w:tcBorders/>
            <w:vAlign w:val="center"/>
          </w:tcPr>
          <w:p>
            <w:pPr>
              <w:pStyle w:val="TableHeading"/>
              <w:suppressLineNumbers/>
              <w:shd w:fill="DBE5F1" w:val="clear"/>
              <w:bidi w:val="0"/>
              <w:spacing w:before="0" w:after="283"/>
              <w:jc w:val="left"/>
              <w:rPr/>
            </w:pPr>
            <w:r>
              <w:rPr/>
              <w:t>Language allowed</w:t>
            </w:r>
          </w:p>
        </w:tc>
      </w:tr>
      <w:tr>
        <w:trPr/>
        <w:tc>
          <w:tcPr>
            <w:tcW w:w="2161" w:type="dxa"/>
            <w:tcBorders/>
            <w:vAlign w:val="center"/>
          </w:tcPr>
          <w:p>
            <w:pPr>
              <w:pStyle w:val="TableContents"/>
              <w:bidi w:val="0"/>
              <w:spacing w:before="0" w:after="283"/>
              <w:jc w:val="left"/>
              <w:rPr>
                <w:b/>
              </w:rPr>
            </w:pPr>
            <w:r>
              <w:rPr>
                <w:b/>
              </w:rPr>
              <w:t>1. Recorded cause</w:t>
            </w:r>
          </w:p>
        </w:tc>
        <w:tc>
          <w:tcPr>
            <w:tcW w:w="6051" w:type="dxa"/>
            <w:tcBorders/>
            <w:vAlign w:val="center"/>
          </w:tcPr>
          <w:p>
            <w:pPr>
              <w:pStyle w:val="TableContents"/>
              <w:bidi w:val="0"/>
              <w:spacing w:before="0" w:after="283"/>
              <w:jc w:val="left"/>
              <w:rPr/>
            </w:pPr>
            <w:r>
              <w:rPr>
                <w:rStyle w:val="SourceText"/>
              </w:rPr>
              <w:t>orders.failure_reason</w:t>
            </w:r>
            <w:r>
              <w:rPr/>
              <w:t xml:space="preserve"> — present on 100% of failed orders</w:t>
            </w:r>
          </w:p>
        </w:tc>
        <w:tc>
          <w:tcPr>
            <w:tcW w:w="3127" w:type="dxa"/>
            <w:tcBorders/>
            <w:vAlign w:val="center"/>
          </w:tcPr>
          <w:p>
            <w:pPr>
              <w:pStyle w:val="TableContents"/>
              <w:bidi w:val="0"/>
              <w:spacing w:before="0" w:after="283"/>
              <w:jc w:val="left"/>
              <w:rPr/>
            </w:pPr>
            <w:r>
              <w:rPr/>
              <w:t>Causal: "failed due to Stockout"</w:t>
            </w:r>
          </w:p>
        </w:tc>
      </w:tr>
      <w:tr>
        <w:trPr/>
        <w:tc>
          <w:tcPr>
            <w:tcW w:w="2161" w:type="dxa"/>
            <w:tcBorders/>
            <w:vAlign w:val="center"/>
          </w:tcPr>
          <w:p>
            <w:pPr>
              <w:pStyle w:val="TableContents"/>
              <w:bidi w:val="0"/>
              <w:spacing w:before="0" w:after="283"/>
              <w:jc w:val="left"/>
              <w:rPr>
                <w:b/>
              </w:rPr>
            </w:pPr>
            <w:r>
              <w:rPr>
                <w:b/>
              </w:rPr>
              <w:t>2. Corroboration</w:t>
            </w:r>
          </w:p>
        </w:tc>
        <w:tc>
          <w:tcPr>
            <w:tcW w:w="6051" w:type="dxa"/>
            <w:tcBorders/>
            <w:vAlign w:val="center"/>
          </w:tcPr>
          <w:p>
            <w:pPr>
              <w:pStyle w:val="TableContents"/>
              <w:bidi w:val="0"/>
              <w:spacing w:before="0" w:after="283"/>
              <w:jc w:val="left"/>
              <w:rPr/>
            </w:pPr>
            <w:r>
              <w:rPr/>
              <w:t>Per-order cross-check of the recorded reason against matching log evidence (e.g. "Incorrect address" × fleet "Address not found" note)</w:t>
            </w:r>
          </w:p>
        </w:tc>
        <w:tc>
          <w:tcPr>
            <w:tcW w:w="3127" w:type="dxa"/>
            <w:tcBorders/>
            <w:vAlign w:val="center"/>
          </w:tcPr>
          <w:p>
            <w:pPr>
              <w:pStyle w:val="TableContents"/>
              <w:bidi w:val="0"/>
              <w:spacing w:before="0" w:after="283"/>
              <w:jc w:val="left"/>
              <w:rPr/>
            </w:pPr>
            <w:r>
              <w:rPr/>
              <w:t>"corroborated by ... in N/M orders"</w:t>
            </w:r>
          </w:p>
        </w:tc>
      </w:tr>
      <w:tr>
        <w:trPr/>
        <w:tc>
          <w:tcPr>
            <w:tcW w:w="2161" w:type="dxa"/>
            <w:tcBorders/>
            <w:vAlign w:val="center"/>
          </w:tcPr>
          <w:p>
            <w:pPr>
              <w:pStyle w:val="TableContents"/>
              <w:bidi w:val="0"/>
              <w:spacing w:before="0" w:after="283"/>
              <w:jc w:val="left"/>
              <w:rPr>
                <w:b/>
              </w:rPr>
            </w:pPr>
            <w:r>
              <w:rPr>
                <w:b/>
              </w:rPr>
              <w:t>3. Association</w:t>
            </w:r>
          </w:p>
        </w:tc>
        <w:tc>
          <w:tcPr>
            <w:tcW w:w="6051" w:type="dxa"/>
            <w:tcBorders/>
            <w:vAlign w:val="center"/>
          </w:tcPr>
          <w:p>
            <w:pPr>
              <w:pStyle w:val="TableContents"/>
              <w:bidi w:val="0"/>
              <w:spacing w:before="0" w:after="283"/>
              <w:jc w:val="left"/>
              <w:rPr/>
            </w:pPr>
            <w:r>
              <w:rPr/>
              <w:t>Rate of an evidence flag in the population vs a stated baseline (lift), surfaced only with support n ≥ 30</w:t>
            </w:r>
          </w:p>
        </w:tc>
        <w:tc>
          <w:tcPr>
            <w:tcW w:w="3127" w:type="dxa"/>
            <w:tcBorders/>
            <w:vAlign w:val="center"/>
          </w:tcPr>
          <w:p>
            <w:pPr>
              <w:pStyle w:val="TableContents"/>
              <w:bidi w:val="0"/>
              <w:spacing w:before="0" w:after="283"/>
              <w:jc w:val="left"/>
              <w:rPr/>
            </w:pPr>
            <w:r>
              <w:rPr/>
              <w:t>"associated with / co-occurred with" — never causal</w:t>
            </w:r>
          </w:p>
        </w:tc>
      </w:tr>
    </w:tbl>
    <w:p>
      <w:pPr>
        <w:pStyle w:val="BodyTextcaveat"/>
        <w:bidi w:val="0"/>
        <w:jc w:val="left"/>
        <w:rPr/>
      </w:pPr>
      <w:r>
        <w:rPr>
          <w:b/>
        </w:rPr>
        <w:t>Honesty note:</w:t>
      </w:r>
      <w:r>
        <w:rPr/>
        <w:t xml:space="preserve"> the provided synthetic dataset shows weak cross-table correlations (association lifts are typically a few percentage points). The engine reports weak signals as weak instead of manufacturing narratives — the recorded failure reason plus its corroboration rate is the reliable core of every answer, and every answer ends with explicit caveats.</w:t>
      </w:r>
    </w:p>
    <w:p>
      <w:pPr>
        <w:pStyle w:val="Heading2"/>
        <w:bidi w:val="0"/>
        <w:jc w:val="left"/>
        <w:rPr/>
      </w:pPr>
      <w:r>
        <w:rPr/>
        <w:t>4. How Each Use Case Is Answered</w:t>
      </w:r>
    </w:p>
    <w:tbl>
      <w:tblPr>
        <w:tblW w:w="11339" w:type="dxa"/>
        <w:jc w:val="left"/>
        <w:tblInd w:w="0" w:type="dxa"/>
        <w:tblLayout w:type="fixed"/>
        <w:tblCellMar>
          <w:top w:w="28" w:type="dxa"/>
          <w:left w:w="28" w:type="dxa"/>
          <w:bottom w:w="28" w:type="dxa"/>
          <w:right w:w="28" w:type="dxa"/>
        </w:tblCellMar>
      </w:tblPr>
      <w:tblGrid>
        <w:gridCol w:w="826"/>
        <w:gridCol w:w="2722"/>
        <w:gridCol w:w="7791"/>
      </w:tblGrid>
      <w:tr>
        <w:trPr/>
        <w:tc>
          <w:tcPr>
            <w:tcW w:w="826" w:type="dxa"/>
            <w:tcBorders/>
            <w:vAlign w:val="center"/>
          </w:tcPr>
          <w:p>
            <w:pPr>
              <w:pStyle w:val="TableHeading"/>
              <w:suppressLineNumbers/>
              <w:shd w:fill="DBE5F1" w:val="clear"/>
              <w:bidi w:val="0"/>
              <w:spacing w:before="0" w:after="283"/>
              <w:jc w:val="left"/>
              <w:rPr/>
            </w:pPr>
            <w:r>
              <w:rPr/>
              <w:t>#</w:t>
            </w:r>
          </w:p>
        </w:tc>
        <w:tc>
          <w:tcPr>
            <w:tcW w:w="2722" w:type="dxa"/>
            <w:tcBorders/>
            <w:vAlign w:val="center"/>
          </w:tcPr>
          <w:p>
            <w:pPr>
              <w:pStyle w:val="TableHeading"/>
              <w:suppressLineNumbers/>
              <w:shd w:fill="DBE5F1" w:val="clear"/>
              <w:bidi w:val="0"/>
              <w:spacing w:before="0" w:after="283"/>
              <w:jc w:val="left"/>
              <w:rPr/>
            </w:pPr>
            <w:r>
              <w:rPr/>
              <w:t>Question</w:t>
            </w:r>
          </w:p>
        </w:tc>
        <w:tc>
          <w:tcPr>
            <w:tcW w:w="7791" w:type="dxa"/>
            <w:tcBorders/>
            <w:vAlign w:val="center"/>
          </w:tcPr>
          <w:p>
            <w:pPr>
              <w:pStyle w:val="TableHeading"/>
              <w:suppressLineNumbers/>
              <w:shd w:fill="DBE5F1" w:val="clear"/>
              <w:bidi w:val="0"/>
              <w:spacing w:before="0" w:after="283"/>
              <w:jc w:val="left"/>
              <w:rPr/>
            </w:pPr>
            <w:r>
              <w:rPr/>
              <w:t>Engine logic (over the order_360 view)</w:t>
            </w:r>
          </w:p>
        </w:tc>
      </w:tr>
      <w:tr>
        <w:trPr/>
        <w:tc>
          <w:tcPr>
            <w:tcW w:w="826" w:type="dxa"/>
            <w:tcBorders/>
            <w:vAlign w:val="center"/>
          </w:tcPr>
          <w:p>
            <w:pPr>
              <w:pStyle w:val="TableContents"/>
              <w:bidi w:val="0"/>
              <w:spacing w:before="0" w:after="283"/>
              <w:jc w:val="left"/>
              <w:rPr/>
            </w:pPr>
            <w:r>
              <w:rPr/>
              <w:t>1</w:t>
            </w:r>
          </w:p>
        </w:tc>
        <w:tc>
          <w:tcPr>
            <w:tcW w:w="2722" w:type="dxa"/>
            <w:tcBorders/>
            <w:vAlign w:val="center"/>
          </w:tcPr>
          <w:p>
            <w:pPr>
              <w:pStyle w:val="TableContents"/>
              <w:bidi w:val="0"/>
              <w:spacing w:before="0" w:after="283"/>
              <w:jc w:val="left"/>
              <w:rPr/>
            </w:pPr>
            <w:r>
              <w:rPr/>
              <w:t>Why were deliveries delayed in city X on day D?</w:t>
            </w:r>
          </w:p>
        </w:tc>
        <w:tc>
          <w:tcPr>
            <w:tcW w:w="7791" w:type="dxa"/>
            <w:tcBorders/>
            <w:vAlign w:val="center"/>
          </w:tcPr>
          <w:p>
            <w:pPr>
              <w:pStyle w:val="TableContents"/>
              <w:bidi w:val="0"/>
              <w:spacing w:before="0" w:after="283"/>
              <w:jc w:val="left"/>
              <w:rPr/>
            </w:pPr>
            <w:r>
              <w:rPr/>
              <w:t>Orders due (promised date = D) in X → outcome split → recorded reasons for failures + corroboration → association lifts vs the city's own baseline. Late-but-delivered orders have no recorded reason; they rely on tier-3 evidence only (stated in the answer).</w:t>
            </w:r>
          </w:p>
        </w:tc>
      </w:tr>
      <w:tr>
        <w:trPr/>
        <w:tc>
          <w:tcPr>
            <w:tcW w:w="826" w:type="dxa"/>
            <w:tcBorders/>
            <w:vAlign w:val="center"/>
          </w:tcPr>
          <w:p>
            <w:pPr>
              <w:pStyle w:val="TableContents"/>
              <w:bidi w:val="0"/>
              <w:spacing w:before="0" w:after="283"/>
              <w:jc w:val="left"/>
              <w:rPr/>
            </w:pPr>
            <w:r>
              <w:rPr/>
              <w:t>2</w:t>
            </w:r>
          </w:p>
        </w:tc>
        <w:tc>
          <w:tcPr>
            <w:tcW w:w="2722" w:type="dxa"/>
            <w:tcBorders/>
            <w:vAlign w:val="center"/>
          </w:tcPr>
          <w:p>
            <w:pPr>
              <w:pStyle w:val="TableContents"/>
              <w:bidi w:val="0"/>
              <w:spacing w:before="0" w:after="283"/>
              <w:jc w:val="left"/>
              <w:rPr/>
            </w:pPr>
            <w:r>
              <w:rPr/>
              <w:t>Why did client C's orders fail in a window?</w:t>
            </w:r>
          </w:p>
        </w:tc>
        <w:tc>
          <w:tcPr>
            <w:tcW w:w="7791" w:type="dxa"/>
            <w:tcBorders/>
            <w:vAlign w:val="center"/>
          </w:tcPr>
          <w:p>
            <w:pPr>
              <w:pStyle w:val="TableContents"/>
              <w:bidi w:val="0"/>
              <w:spacing w:before="0" w:after="283"/>
              <w:jc w:val="left"/>
              <w:rPr/>
            </w:pPr>
            <w:r>
              <w:rPr/>
              <w:t>C's orders in window → reason ranking + corroboration → window failure rate vs C's all-time rate vs system rate.</w:t>
            </w:r>
          </w:p>
        </w:tc>
      </w:tr>
      <w:tr>
        <w:trPr/>
        <w:tc>
          <w:tcPr>
            <w:tcW w:w="826" w:type="dxa"/>
            <w:tcBorders/>
            <w:vAlign w:val="center"/>
          </w:tcPr>
          <w:p>
            <w:pPr>
              <w:pStyle w:val="TableContents"/>
              <w:bidi w:val="0"/>
              <w:spacing w:before="0" w:after="283"/>
              <w:jc w:val="left"/>
              <w:rPr/>
            </w:pPr>
            <w:r>
              <w:rPr/>
              <w:t>3</w:t>
            </w:r>
          </w:p>
        </w:tc>
        <w:tc>
          <w:tcPr>
            <w:tcW w:w="2722" w:type="dxa"/>
            <w:tcBorders/>
            <w:vAlign w:val="center"/>
          </w:tcPr>
          <w:p>
            <w:pPr>
              <w:pStyle w:val="TableContents"/>
              <w:bidi w:val="0"/>
              <w:spacing w:before="0" w:after="283"/>
              <w:jc w:val="left"/>
              <w:rPr/>
            </w:pPr>
            <w:r>
              <w:rPr/>
              <w:t>Top failure reasons linked to warehouse W in month M?</w:t>
            </w:r>
          </w:p>
        </w:tc>
        <w:tc>
          <w:tcPr>
            <w:tcW w:w="7791" w:type="dxa"/>
            <w:tcBorders/>
            <w:vAlign w:val="center"/>
          </w:tcPr>
          <w:p>
            <w:pPr>
              <w:pStyle w:val="TableContents"/>
              <w:bidi w:val="0"/>
              <w:spacing w:before="0" w:after="283"/>
              <w:jc w:val="left"/>
              <w:rPr/>
            </w:pPr>
            <w:r>
              <w:rPr/>
              <w:t>Pair-level: all orders W touched in M → reason ranking → W's picking/dispatch durations vs all-warehouse averages → W's city mix shown for confounder visibility.</w:t>
            </w:r>
          </w:p>
        </w:tc>
      </w:tr>
      <w:tr>
        <w:trPr/>
        <w:tc>
          <w:tcPr>
            <w:tcW w:w="826" w:type="dxa"/>
            <w:tcBorders/>
            <w:vAlign w:val="center"/>
          </w:tcPr>
          <w:p>
            <w:pPr>
              <w:pStyle w:val="TableContents"/>
              <w:bidi w:val="0"/>
              <w:spacing w:before="0" w:after="283"/>
              <w:jc w:val="left"/>
              <w:rPr/>
            </w:pPr>
            <w:r>
              <w:rPr/>
              <w:t>4</w:t>
            </w:r>
          </w:p>
        </w:tc>
        <w:tc>
          <w:tcPr>
            <w:tcW w:w="2722" w:type="dxa"/>
            <w:tcBorders/>
            <w:vAlign w:val="center"/>
          </w:tcPr>
          <w:p>
            <w:pPr>
              <w:pStyle w:val="TableContents"/>
              <w:bidi w:val="0"/>
              <w:spacing w:before="0" w:after="283"/>
              <w:jc w:val="left"/>
              <w:rPr/>
            </w:pPr>
            <w:r>
              <w:rPr/>
              <w:t>Compare failure causes: city A vs city B in month M?</w:t>
            </w:r>
          </w:p>
        </w:tc>
        <w:tc>
          <w:tcPr>
            <w:tcW w:w="7791" w:type="dxa"/>
            <w:tcBorders/>
            <w:vAlign w:val="center"/>
          </w:tcPr>
          <w:p>
            <w:pPr>
              <w:pStyle w:val="TableContents"/>
              <w:bidi w:val="0"/>
              <w:spacing w:before="0" w:after="283"/>
              <w:jc w:val="left"/>
              <w:rPr/>
            </w:pPr>
            <w:r>
              <w:rPr/>
              <w:t>Symmetric per-city blocks (volume, failure/late rates, reason mix, lifts vs all-city baseline) + failure-rate gap.</w:t>
            </w:r>
          </w:p>
        </w:tc>
      </w:tr>
      <w:tr>
        <w:trPr/>
        <w:tc>
          <w:tcPr>
            <w:tcW w:w="826" w:type="dxa"/>
            <w:tcBorders/>
            <w:vAlign w:val="center"/>
          </w:tcPr>
          <w:p>
            <w:pPr>
              <w:pStyle w:val="TableContents"/>
              <w:bidi w:val="0"/>
              <w:spacing w:before="0" w:after="283"/>
              <w:jc w:val="left"/>
              <w:rPr/>
            </w:pPr>
            <w:r>
              <w:rPr/>
              <w:t>5</w:t>
            </w:r>
          </w:p>
        </w:tc>
        <w:tc>
          <w:tcPr>
            <w:tcW w:w="2722" w:type="dxa"/>
            <w:tcBorders/>
            <w:vAlign w:val="center"/>
          </w:tcPr>
          <w:p>
            <w:pPr>
              <w:pStyle w:val="TableContents"/>
              <w:bidi w:val="0"/>
              <w:spacing w:before="0" w:after="283"/>
              <w:jc w:val="left"/>
              <w:rPr/>
            </w:pPr>
            <w:r>
              <w:rPr/>
              <w:t>Likely causes during the festival period; how to prepare?</w:t>
            </w:r>
          </w:p>
        </w:tc>
        <w:tc>
          <w:tcPr>
            <w:tcW w:w="7791" w:type="dxa"/>
            <w:tcBorders/>
            <w:vAlign w:val="center"/>
          </w:tcPr>
          <w:p>
            <w:pPr>
              <w:pStyle w:val="TableContents"/>
              <w:bidi w:val="0"/>
              <w:spacing w:before="0" w:after="283"/>
              <w:jc w:val="left"/>
              <w:rPr/>
            </w:pPr>
            <w:r>
              <w:rPr/>
              <w:t>Festival-flagged orders vs non-festival baseline → rate deltas + reason mix → preparation recommendations keyed to the top recorded reasons.</w:t>
            </w:r>
          </w:p>
        </w:tc>
      </w:tr>
      <w:tr>
        <w:trPr/>
        <w:tc>
          <w:tcPr>
            <w:tcW w:w="826" w:type="dxa"/>
            <w:tcBorders/>
            <w:vAlign w:val="center"/>
          </w:tcPr>
          <w:p>
            <w:pPr>
              <w:pStyle w:val="TableContents"/>
              <w:bidi w:val="0"/>
              <w:spacing w:before="0" w:after="283"/>
              <w:jc w:val="left"/>
              <w:rPr/>
            </w:pPr>
            <w:r>
              <w:rPr/>
              <w:t>6</w:t>
            </w:r>
          </w:p>
        </w:tc>
        <w:tc>
          <w:tcPr>
            <w:tcW w:w="2722" w:type="dxa"/>
            <w:tcBorders/>
            <w:vAlign w:val="center"/>
          </w:tcPr>
          <w:p>
            <w:pPr>
              <w:pStyle w:val="TableContents"/>
              <w:bidi w:val="0"/>
              <w:spacing w:before="0" w:after="283"/>
              <w:jc w:val="left"/>
              <w:rPr/>
            </w:pPr>
            <w:r>
              <w:rPr/>
              <w:t>Risks of onboarding ~20,000 extra monthly orders?</w:t>
            </w:r>
          </w:p>
        </w:tc>
        <w:tc>
          <w:tcPr>
            <w:tcW w:w="7791" w:type="dxa"/>
            <w:tcBorders/>
            <w:vAlign w:val="center"/>
          </w:tcPr>
          <w:p>
            <w:pPr>
              <w:pStyle w:val="TableContents"/>
              <w:bidi w:val="0"/>
              <w:spacing w:before="0" w:after="283"/>
              <w:jc w:val="left"/>
              <w:rPr/>
            </w:pPr>
            <w:r>
              <w:rPr/>
              <w:t xml:space="preserve">Explicit </w:t>
            </w:r>
            <w:r>
              <w:rPr>
                <w:b/>
              </w:rPr>
              <w:t>projection</w:t>
            </w:r>
            <w:r>
              <w:rPr/>
              <w:t>: historical failure/late rates by reason scaled to the new volume; capacity context per target city (warehouse capacity totals, active drivers); mitigations keyed to the largest projected reasons.</w:t>
            </w:r>
          </w:p>
        </w:tc>
      </w:tr>
    </w:tbl>
    <w:p>
      <w:pPr>
        <w:pStyle w:val="Heading2"/>
        <w:bidi w:val="0"/>
        <w:jc w:val="left"/>
        <w:rPr/>
      </w:pPr>
      <w:r>
        <w:rPr/>
        <w:t>5. Architecture Options Considered</w:t>
      </w:r>
    </w:p>
    <w:tbl>
      <w:tblPr>
        <w:tblW w:w="11339" w:type="dxa"/>
        <w:jc w:val="left"/>
        <w:tblInd w:w="0" w:type="dxa"/>
        <w:tblLayout w:type="fixed"/>
        <w:tblCellMar>
          <w:top w:w="28" w:type="dxa"/>
          <w:left w:w="28" w:type="dxa"/>
          <w:bottom w:w="28" w:type="dxa"/>
          <w:right w:w="28" w:type="dxa"/>
        </w:tblCellMar>
      </w:tblPr>
      <w:tblGrid>
        <w:gridCol w:w="2449"/>
        <w:gridCol w:w="4629"/>
        <w:gridCol w:w="4261"/>
      </w:tblGrid>
      <w:tr>
        <w:trPr/>
        <w:tc>
          <w:tcPr>
            <w:tcW w:w="2449" w:type="dxa"/>
            <w:tcBorders/>
            <w:vAlign w:val="center"/>
          </w:tcPr>
          <w:p>
            <w:pPr>
              <w:pStyle w:val="TableHeading"/>
              <w:suppressLineNumbers/>
              <w:shd w:fill="DBE5F1" w:val="clear"/>
              <w:bidi w:val="0"/>
              <w:spacing w:before="0" w:after="283"/>
              <w:jc w:val="left"/>
              <w:rPr/>
            </w:pPr>
            <w:r>
              <w:rPr/>
              <w:t>Option</w:t>
            </w:r>
          </w:p>
        </w:tc>
        <w:tc>
          <w:tcPr>
            <w:tcW w:w="4629" w:type="dxa"/>
            <w:tcBorders/>
            <w:vAlign w:val="center"/>
          </w:tcPr>
          <w:p>
            <w:pPr>
              <w:pStyle w:val="TableHeading"/>
              <w:suppressLineNumbers/>
              <w:shd w:fill="DBE5F1" w:val="clear"/>
              <w:bidi w:val="0"/>
              <w:spacing w:before="0" w:after="283"/>
              <w:jc w:val="left"/>
              <w:rPr/>
            </w:pPr>
            <w:r>
              <w:rPr/>
              <w:t>Summary</w:t>
            </w:r>
          </w:p>
        </w:tc>
        <w:tc>
          <w:tcPr>
            <w:tcW w:w="4261" w:type="dxa"/>
            <w:tcBorders/>
            <w:vAlign w:val="center"/>
          </w:tcPr>
          <w:p>
            <w:pPr>
              <w:pStyle w:val="TableHeading"/>
              <w:suppressLineNumbers/>
              <w:shd w:fill="DBE5F1" w:val="clear"/>
              <w:bidi w:val="0"/>
              <w:spacing w:before="0" w:after="283"/>
              <w:jc w:val="left"/>
              <w:rPr/>
            </w:pPr>
            <w:r>
              <w:rPr/>
              <w:t>Assessment</w:t>
            </w:r>
          </w:p>
        </w:tc>
      </w:tr>
      <w:tr>
        <w:trPr/>
        <w:tc>
          <w:tcPr>
            <w:tcW w:w="2449" w:type="dxa"/>
            <w:tcBorders/>
            <w:vAlign w:val="center"/>
          </w:tcPr>
          <w:p>
            <w:pPr>
              <w:pStyle w:val="TableContents"/>
              <w:bidi w:val="0"/>
              <w:spacing w:before="0" w:after="283"/>
              <w:jc w:val="left"/>
              <w:rPr/>
            </w:pPr>
            <w:r>
              <w:rPr/>
              <w:t>A. In-memory dataframe pipeline</w:t>
            </w:r>
          </w:p>
        </w:tc>
        <w:tc>
          <w:tcPr>
            <w:tcW w:w="4629" w:type="dxa"/>
            <w:tcBorders/>
            <w:vAlign w:val="center"/>
          </w:tcPr>
          <w:p>
            <w:pPr>
              <w:pStyle w:val="TableContents"/>
              <w:bidi w:val="0"/>
              <w:spacing w:before="0" w:after="283"/>
              <w:jc w:val="left"/>
              <w:rPr/>
            </w:pPr>
            <w:r>
              <w:rPr/>
              <w:t>Load CSVs, join and aggregate in code</w:t>
            </w:r>
          </w:p>
        </w:tc>
        <w:tc>
          <w:tcPr>
            <w:tcW w:w="4261" w:type="dxa"/>
            <w:tcBorders/>
            <w:vAlign w:val="center"/>
          </w:tcPr>
          <w:p>
            <w:pPr>
              <w:pStyle w:val="TableContents"/>
              <w:bidi w:val="0"/>
              <w:spacing w:before="0" w:after="283"/>
              <w:jc w:val="left"/>
              <w:rPr/>
            </w:pPr>
            <w:r>
              <w:rPr/>
              <w:t>Fastest to build, but join/dedup rules end up buried in code; fan-out mistakes are easy</w:t>
            </w:r>
          </w:p>
        </w:tc>
      </w:tr>
      <w:tr>
        <w:trPr/>
        <w:tc>
          <w:tcPr>
            <w:tcW w:w="2449" w:type="dxa"/>
            <w:tcBorders/>
            <w:vAlign w:val="center"/>
          </w:tcPr>
          <w:p>
            <w:pPr>
              <w:pStyle w:val="TableContents"/>
              <w:bidi w:val="0"/>
              <w:spacing w:before="0" w:after="283"/>
              <w:jc w:val="left"/>
              <w:rPr>
                <w:b/>
              </w:rPr>
            </w:pPr>
            <w:r>
              <w:rPr>
                <w:b/>
              </w:rPr>
              <w:t>B. SQLite + typed engine (chosen)</w:t>
            </w:r>
          </w:p>
        </w:tc>
        <w:tc>
          <w:tcPr>
            <w:tcW w:w="4629" w:type="dxa"/>
            <w:tcBorders/>
            <w:vAlign w:val="center"/>
          </w:tcPr>
          <w:p>
            <w:pPr>
              <w:pStyle w:val="TableContents"/>
              <w:bidi w:val="0"/>
              <w:spacing w:before="0" w:after="283"/>
              <w:jc w:val="left"/>
              <w:rPr/>
            </w:pPr>
            <w:r>
              <w:rPr/>
              <w:t>Schema + views encode the data model once; use cases are parameterized queries + narrative templates</w:t>
            </w:r>
          </w:p>
        </w:tc>
        <w:tc>
          <w:tcPr>
            <w:tcW w:w="4261" w:type="dxa"/>
            <w:tcBorders/>
            <w:vAlign w:val="center"/>
          </w:tcPr>
          <w:p>
            <w:pPr>
              <w:pStyle w:val="TableContents"/>
              <w:bidi w:val="0"/>
              <w:spacing w:before="0" w:after="283"/>
              <w:jc w:val="left"/>
              <w:rPr/>
            </w:pPr>
            <w:r>
              <w:rPr/>
              <w:t>Explicit, verifiable data model; ad-hoc questions become SQL; zero infrastructure</w:t>
            </w:r>
          </w:p>
        </w:tc>
      </w:tr>
      <w:tr>
        <w:trPr/>
        <w:tc>
          <w:tcPr>
            <w:tcW w:w="2449" w:type="dxa"/>
            <w:tcBorders/>
            <w:vAlign w:val="center"/>
          </w:tcPr>
          <w:p>
            <w:pPr>
              <w:pStyle w:val="TableContents"/>
              <w:bidi w:val="0"/>
              <w:spacing w:before="0" w:after="283"/>
              <w:jc w:val="left"/>
              <w:rPr/>
            </w:pPr>
            <w:r>
              <w:rPr/>
              <w:t>C. LLM-centric analysis</w:t>
            </w:r>
          </w:p>
        </w:tc>
        <w:tc>
          <w:tcPr>
            <w:tcW w:w="4629" w:type="dxa"/>
            <w:tcBorders/>
            <w:vAlign w:val="center"/>
          </w:tcPr>
          <w:p>
            <w:pPr>
              <w:pStyle w:val="TableContents"/>
              <w:bidi w:val="0"/>
              <w:spacing w:before="0" w:after="283"/>
              <w:jc w:val="left"/>
              <w:rPr/>
            </w:pPr>
            <w:r>
              <w:rPr/>
              <w:t>LLM interprets questions and writes narratives directly over data</w:t>
            </w:r>
          </w:p>
        </w:tc>
        <w:tc>
          <w:tcPr>
            <w:tcW w:w="4261" w:type="dxa"/>
            <w:tcBorders/>
            <w:vAlign w:val="center"/>
          </w:tcPr>
          <w:p>
            <w:pPr>
              <w:pStyle w:val="TableContents"/>
              <w:bidi w:val="0"/>
              <w:spacing w:before="0" w:after="283"/>
              <w:jc w:val="left"/>
              <w:rPr/>
            </w:pPr>
            <w:r>
              <w:rPr/>
              <w:t>Rejected as the core: non-deterministic, can hallucinate correlations the data does not contain</w:t>
            </w:r>
          </w:p>
        </w:tc>
      </w:tr>
    </w:tbl>
    <w:p>
      <w:pPr>
        <w:pStyle w:val="BodyText"/>
        <w:bidi w:val="0"/>
        <w:jc w:val="left"/>
        <w:rPr/>
      </w:pPr>
      <w:r>
        <w:rPr/>
        <w:t xml:space="preserve">The chosen design uses C's idea only as a thin optional layer on top of B: the LLM (OpenAI, key via </w:t>
      </w:r>
      <w:r>
        <w:rPr>
          <w:rStyle w:val="SourceText"/>
        </w:rPr>
        <w:t>.env</w:t>
      </w:r>
      <w:r>
        <w:rPr/>
        <w:t>) rewrites the deterministic evidence JSON into prose under strict rules, with the template renderer as a guaranteed fallback.</w:t>
      </w:r>
    </w:p>
    <w:p>
      <w:pPr>
        <w:pStyle w:val="Heading2"/>
        <w:bidi w:val="0"/>
        <w:jc w:val="left"/>
        <w:rPr/>
      </w:pPr>
      <w:r>
        <w:rPr/>
        <w:t>6. Implementation &amp; Verification</w:t>
      </w:r>
    </w:p>
    <w:tbl>
      <w:tblPr>
        <w:tblW w:w="11339" w:type="dxa"/>
        <w:jc w:val="left"/>
        <w:tblInd w:w="0" w:type="dxa"/>
        <w:tblLayout w:type="fixed"/>
        <w:tblCellMar>
          <w:top w:w="28" w:type="dxa"/>
          <w:left w:w="28" w:type="dxa"/>
          <w:bottom w:w="28" w:type="dxa"/>
          <w:right w:w="28" w:type="dxa"/>
        </w:tblCellMar>
      </w:tblPr>
      <w:tblGrid>
        <w:gridCol w:w="1883"/>
        <w:gridCol w:w="9456"/>
      </w:tblGrid>
      <w:tr>
        <w:trPr/>
        <w:tc>
          <w:tcPr>
            <w:tcW w:w="1883" w:type="dxa"/>
            <w:tcBorders/>
            <w:vAlign w:val="center"/>
          </w:tcPr>
          <w:p>
            <w:pPr>
              <w:pStyle w:val="TableHeading"/>
              <w:suppressLineNumbers/>
              <w:shd w:fill="DBE5F1" w:val="clear"/>
              <w:bidi w:val="0"/>
              <w:spacing w:before="0" w:after="283"/>
              <w:jc w:val="left"/>
              <w:rPr/>
            </w:pPr>
            <w:r>
              <w:rPr/>
              <w:t>Aspect</w:t>
            </w:r>
          </w:p>
        </w:tc>
        <w:tc>
          <w:tcPr>
            <w:tcW w:w="9456" w:type="dxa"/>
            <w:tcBorders/>
            <w:vAlign w:val="center"/>
          </w:tcPr>
          <w:p>
            <w:pPr>
              <w:pStyle w:val="TableHeading"/>
              <w:suppressLineNumbers/>
              <w:shd w:fill="DBE5F1" w:val="clear"/>
              <w:bidi w:val="0"/>
              <w:spacing w:before="0" w:after="283"/>
              <w:jc w:val="left"/>
              <w:rPr/>
            </w:pPr>
            <w:r>
              <w:rPr/>
              <w:t>Detail</w:t>
            </w:r>
          </w:p>
        </w:tc>
      </w:tr>
      <w:tr>
        <w:trPr/>
        <w:tc>
          <w:tcPr>
            <w:tcW w:w="1883" w:type="dxa"/>
            <w:tcBorders/>
            <w:vAlign w:val="center"/>
          </w:tcPr>
          <w:p>
            <w:pPr>
              <w:pStyle w:val="TableContents"/>
              <w:bidi w:val="0"/>
              <w:spacing w:before="0" w:after="283"/>
              <w:jc w:val="left"/>
              <w:rPr/>
            </w:pPr>
            <w:r>
              <w:rPr/>
              <w:t>Stack</w:t>
            </w:r>
          </w:p>
        </w:tc>
        <w:tc>
          <w:tcPr>
            <w:tcW w:w="9456" w:type="dxa"/>
            <w:tcBorders/>
            <w:vAlign w:val="center"/>
          </w:tcPr>
          <w:p>
            <w:pPr>
              <w:pStyle w:val="TableContents"/>
              <w:bidi w:val="0"/>
              <w:spacing w:before="0" w:after="283"/>
              <w:jc w:val="left"/>
              <w:rPr/>
            </w:pPr>
            <w:r>
              <w:rPr/>
              <w:t>TypeScript 5.9, Node.js 20, better-sqlite3 12, csv-parse, dotenv, optional openai SDK; Jest + ts-jest for tests</w:t>
            </w:r>
          </w:p>
        </w:tc>
      </w:tr>
      <w:tr>
        <w:trPr/>
        <w:tc>
          <w:tcPr>
            <w:tcW w:w="1883" w:type="dxa"/>
            <w:tcBorders/>
            <w:vAlign w:val="center"/>
          </w:tcPr>
          <w:p>
            <w:pPr>
              <w:pStyle w:val="TableContents"/>
              <w:bidi w:val="0"/>
              <w:spacing w:before="0" w:after="283"/>
              <w:jc w:val="left"/>
              <w:rPr/>
            </w:pPr>
            <w:r>
              <w:rPr/>
              <w:t>Ingestion checks</w:t>
            </w:r>
          </w:p>
        </w:tc>
        <w:tc>
          <w:tcPr>
            <w:tcW w:w="9456" w:type="dxa"/>
            <w:tcBorders/>
            <w:vAlign w:val="center"/>
          </w:tcPr>
          <w:p>
            <w:pPr>
              <w:pStyle w:val="TableContents"/>
              <w:bidi w:val="0"/>
              <w:spacing w:before="0" w:after="283"/>
              <w:jc w:val="left"/>
              <w:rPr/>
            </w:pPr>
            <w:r>
              <w:rPr/>
              <w:t>17 automated data-quality checks on every ingest (row counts, orphan FKs, outcome distributions, multi-warehouse counts) — all pass</w:t>
            </w:r>
          </w:p>
        </w:tc>
      </w:tr>
      <w:tr>
        <w:trPr/>
        <w:tc>
          <w:tcPr>
            <w:tcW w:w="1883" w:type="dxa"/>
            <w:tcBorders/>
            <w:vAlign w:val="center"/>
          </w:tcPr>
          <w:p>
            <w:pPr>
              <w:pStyle w:val="TableContents"/>
              <w:bidi w:val="0"/>
              <w:spacing w:before="0" w:after="283"/>
              <w:jc w:val="left"/>
              <w:rPr/>
            </w:pPr>
            <w:r>
              <w:rPr/>
              <w:t>Tests</w:t>
            </w:r>
          </w:p>
        </w:tc>
        <w:tc>
          <w:tcPr>
            <w:tcW w:w="9456" w:type="dxa"/>
            <w:tcBorders/>
            <w:vAlign w:val="center"/>
          </w:tcPr>
          <w:p>
            <w:pPr>
              <w:pStyle w:val="TableContents"/>
              <w:bidi w:val="0"/>
              <w:spacing w:before="0" w:after="283"/>
              <w:jc w:val="left"/>
              <w:rPr/>
            </w:pPr>
            <w:r>
              <w:rPr/>
              <w:t>36 Jest tests (happy + error paths per use case, template rendering, LLM layer with mocked client); coverage ≈ 98% statements / 85% branches with an 85% gate</w:t>
            </w:r>
          </w:p>
        </w:tc>
      </w:tr>
      <w:tr>
        <w:trPr/>
        <w:tc>
          <w:tcPr>
            <w:tcW w:w="1883" w:type="dxa"/>
            <w:tcBorders/>
            <w:vAlign w:val="center"/>
          </w:tcPr>
          <w:p>
            <w:pPr>
              <w:pStyle w:val="TableContents"/>
              <w:bidi w:val="0"/>
              <w:spacing w:before="0" w:after="283"/>
              <w:jc w:val="left"/>
              <w:rPr/>
            </w:pPr>
            <w:r>
              <w:rPr/>
              <w:t>Run</w:t>
            </w:r>
          </w:p>
        </w:tc>
        <w:tc>
          <w:tcPr>
            <w:tcW w:w="9456" w:type="dxa"/>
            <w:tcBorders/>
            <w:vAlign w:val="center"/>
          </w:tcPr>
          <w:p>
            <w:pPr>
              <w:pStyle w:val="TableContents"/>
              <w:bidi w:val="0"/>
              <w:spacing w:before="0" w:after="283"/>
              <w:jc w:val="left"/>
              <w:rPr/>
            </w:pPr>
            <w:r>
              <w:rPr>
                <w:rStyle w:val="SourceText"/>
              </w:rPr>
              <w:t>npm install</w:t>
            </w:r>
            <w:r>
              <w:rPr/>
              <w:t xml:space="preserve"> → </w:t>
            </w:r>
            <w:r>
              <w:rPr>
                <w:rStyle w:val="SourceText"/>
              </w:rPr>
              <w:t>npm run ingest</w:t>
            </w:r>
            <w:r>
              <w:rPr/>
              <w:t xml:space="preserve"> → </w:t>
            </w:r>
            <w:r>
              <w:rPr>
                <w:rStyle w:val="SourceText"/>
              </w:rPr>
              <w:t>npm run cli</w:t>
            </w:r>
            <w:r>
              <w:rPr/>
              <w:t xml:space="preserve"> (menu of the six use cases); </w:t>
            </w:r>
            <w:r>
              <w:rPr>
                <w:rStyle w:val="SourceText"/>
              </w:rPr>
              <w:t>npm run record-samples</w:t>
            </w:r>
            <w:r>
              <w:rPr/>
              <w:t xml:space="preserve"> regenerates the curated outputs; </w:t>
            </w:r>
            <w:r>
              <w:rPr>
                <w:rStyle w:val="SourceText"/>
              </w:rPr>
              <w:t>npm test</w:t>
            </w:r>
          </w:p>
        </w:tc>
      </w:tr>
      <w:tr>
        <w:trPr/>
        <w:tc>
          <w:tcPr>
            <w:tcW w:w="1883" w:type="dxa"/>
            <w:tcBorders/>
            <w:vAlign w:val="center"/>
          </w:tcPr>
          <w:p>
            <w:pPr>
              <w:pStyle w:val="TableContents"/>
              <w:bidi w:val="0"/>
              <w:spacing w:before="0" w:after="283"/>
              <w:jc w:val="left"/>
              <w:rPr/>
            </w:pPr>
            <w:r>
              <w:rPr/>
              <w:t>Outputs</w:t>
            </w:r>
          </w:p>
        </w:tc>
        <w:tc>
          <w:tcPr>
            <w:tcW w:w="9456" w:type="dxa"/>
            <w:tcBorders/>
            <w:vAlign w:val="center"/>
          </w:tcPr>
          <w:p>
            <w:pPr>
              <w:pStyle w:val="TableContents"/>
              <w:bidi w:val="0"/>
              <w:spacing w:before="0" w:after="283"/>
              <w:jc w:val="left"/>
              <w:rPr/>
            </w:pPr>
            <w:r>
              <w:rPr/>
              <w:t xml:space="preserve">Every CLI answer is saved as evidence JSON + narrative TXT under </w:t>
            </w:r>
            <w:r>
              <w:rPr>
                <w:rStyle w:val="SourceText"/>
              </w:rPr>
              <w:t>outputs/</w:t>
            </w:r>
            <w:r>
              <w:rPr/>
              <w:t xml:space="preserve">; curated six-use-case outputs under </w:t>
            </w:r>
            <w:r>
              <w:rPr>
                <w:rStyle w:val="SourceText"/>
              </w:rPr>
              <w:t>outputs/curated/</w:t>
            </w:r>
          </w:p>
        </w:tc>
      </w:tr>
    </w:tbl>
    <w:p>
      <w:pPr>
        <w:pStyle w:val="Heading2"/>
        <w:bidi w:val="0"/>
        <w:jc w:val="left"/>
        <w:rPr/>
      </w:pPr>
      <w:r>
        <w:rPr/>
        <w:t>7. Sample Output (UC2, deterministic template)</w:t>
      </w:r>
    </w:p>
    <w:p>
      <w:pPr>
        <w:pStyle w:val="PreformattedText"/>
        <w:bidi w:val="0"/>
        <w:jc w:val="left"/>
        <w:rPr/>
      </w:pPr>
      <w:r>
        <w:rPr/>
        <w:t>WHY DID SWAMINATHAN-MAHAL'S ORDERS FAIL (2025-08-01 to 2025-08-07)?</w:t>
      </w:r>
    </w:p>
    <w:p>
      <w:pPr>
        <w:pStyle w:val="PreformattedText"/>
        <w:bidi w:val="0"/>
        <w:jc w:val="left"/>
        <w:rPr/>
      </w:pPr>
      <w:r>
        <w:rPr/>
      </w:r>
    </w:p>
    <w:p>
      <w:pPr>
        <w:pStyle w:val="PreformattedText"/>
        <w:bidi w:val="0"/>
        <w:jc w:val="left"/>
        <w:rPr/>
      </w:pPr>
      <w:r>
        <w:rPr/>
        <w:t>Population: orders placed by Swaminathan-Mahal between 2025-08-01 and 2025-08-07 - 3 orders.</w:t>
      </w:r>
    </w:p>
    <w:p>
      <w:pPr>
        <w:pStyle w:val="PreformattedText"/>
        <w:bidi w:val="0"/>
        <w:jc w:val="left"/>
        <w:rPr/>
      </w:pPr>
      <w:r>
        <w:rPr/>
        <w:t>Outcomes: 2 failed (66.7%), 0 delivered late (0.0%), 0 on-time, 0 returned, 1 pending/in-transit.</w:t>
      </w:r>
    </w:p>
    <w:p>
      <w:pPr>
        <w:pStyle w:val="PreformattedText"/>
        <w:bidi w:val="0"/>
        <w:jc w:val="left"/>
        <w:rPr/>
      </w:pPr>
      <w:r>
        <w:rPr/>
      </w:r>
    </w:p>
    <w:p>
      <w:pPr>
        <w:pStyle w:val="PreformattedText"/>
        <w:bidi w:val="0"/>
        <w:jc w:val="left"/>
        <w:rPr/>
      </w:pPr>
      <w:r>
        <w:rPr/>
        <w:t>Recorded causes (failure_reason on failed orders):</w:t>
      </w:r>
    </w:p>
    <w:p>
      <w:pPr>
        <w:pStyle w:val="PreformattedText"/>
        <w:bidi w:val="0"/>
        <w:jc w:val="left"/>
        <w:rPr/>
      </w:pPr>
      <w:r>
        <w:rPr/>
        <w:t xml:space="preserve">  </w:t>
      </w:r>
      <w:r>
        <w:rPr/>
        <w:t>- Weather disruption: 2 orders (100.0% of failures)</w:t>
      </w:r>
    </w:p>
    <w:p>
      <w:pPr>
        <w:pStyle w:val="PreformattedText"/>
        <w:bidi w:val="0"/>
        <w:jc w:val="left"/>
        <w:rPr/>
      </w:pPr>
      <w:r>
        <w:rPr/>
      </w:r>
    </w:p>
    <w:p>
      <w:pPr>
        <w:pStyle w:val="PreformattedText"/>
        <w:bidi w:val="0"/>
        <w:jc w:val="left"/>
        <w:rPr/>
      </w:pPr>
      <w:r>
        <w:rPr/>
        <w:t>Corroborating operational evidence:</w:t>
      </w:r>
    </w:p>
    <w:p>
      <w:pPr>
        <w:pStyle w:val="PreformattedText"/>
        <w:bidi w:val="0"/>
        <w:jc w:val="left"/>
        <w:rPr/>
      </w:pPr>
      <w:r>
        <w:rPr/>
        <w:t xml:space="preserve">  </w:t>
      </w:r>
      <w:r>
        <w:rPr/>
        <w:t>- "Weather disruption" corroborated by rain/fog external record in 2/2 orders (100.0%)</w:t>
      </w:r>
    </w:p>
    <w:p>
      <w:pPr>
        <w:pStyle w:val="PreformattedText"/>
        <w:bidi w:val="0"/>
        <w:jc w:val="left"/>
        <w:rPr/>
      </w:pPr>
      <w:r>
        <w:rPr/>
      </w:r>
    </w:p>
    <w:p>
      <w:pPr>
        <w:pStyle w:val="PreformattedText"/>
        <w:bidi w:val="0"/>
        <w:jc w:val="left"/>
        <w:rPr/>
      </w:pPr>
      <w:r>
        <w:rPr/>
        <w:t>Associated conditions: none met the minimum support threshold (n &gt;= 30).</w:t>
      </w:r>
    </w:p>
    <w:p>
      <w:pPr>
        <w:pStyle w:val="PreformattedText"/>
        <w:bidi w:val="0"/>
        <w:jc w:val="left"/>
        <w:rPr/>
      </w:pPr>
      <w:r>
        <w:rPr/>
      </w:r>
    </w:p>
    <w:p>
      <w:pPr>
        <w:pStyle w:val="PreformattedText"/>
        <w:bidi w:val="0"/>
        <w:jc w:val="left"/>
        <w:rPr/>
      </w:pPr>
      <w:r>
        <w:rPr/>
        <w:t>Context: window failure rate 66.7% vs client all-time 18.5% vs system 20.0%.</w:t>
      </w:r>
    </w:p>
    <w:p>
      <w:pPr>
        <w:pStyle w:val="PreformattedText"/>
        <w:bidi w:val="0"/>
        <w:jc w:val="left"/>
        <w:rPr/>
      </w:pPr>
      <w:r>
        <w:rPr/>
      </w:r>
    </w:p>
    <w:p>
      <w:pPr>
        <w:pStyle w:val="PreformattedText"/>
        <w:bidi w:val="0"/>
        <w:spacing w:before="600" w:after="283"/>
        <w:jc w:val="left"/>
        <w:rPr/>
      </w:pPr>
      <w:r>
        <w:rPr/>
        <w:t>Caveats: (coverage ~63%; association is not causation; time filters anchor on order dates)</w:t>
      </w:r>
    </w:p>
    <w:p>
      <w:pPr>
        <w:pStyle w:val="BodyText"/>
        <w:bidi w:val="0"/>
        <w:jc w:val="left"/>
        <w:rPr/>
      </w:pPr>
      <w:r>
        <w:rPr/>
        <w:t xml:space="preserve">The complete outputs for all six use cases are in the companion document </w:t>
      </w:r>
      <w:r>
        <w:rPr>
          <w:i/>
        </w:rPr>
        <w:t>Sample-Use-Case-Outputs</w:t>
      </w:r>
      <w:r>
        <w:rPr/>
        <w:t xml:space="preserve"> and under </w:t>
      </w:r>
      <w:r>
        <w:rPr>
          <w:rStyle w:val="SourceText"/>
        </w:rPr>
        <w:t>outputs/curated/</w:t>
      </w:r>
      <w:r>
        <w:rPr/>
        <w:t xml:space="preserve"> in the repository.</w:t>
      </w:r>
    </w:p>
    <w:p>
      <w:pPr>
        <w:pStyle w:val="Heading2"/>
        <w:bidi w:val="0"/>
        <w:jc w:val="left"/>
        <w:rPr/>
      </w:pPr>
      <w:r>
        <w:rPr/>
        <w:t>8. Limitations &amp; Future Enhancements</w:t>
      </w:r>
    </w:p>
    <w:p>
      <w:pPr>
        <w:pStyle w:val="BodyText"/>
        <w:numPr>
          <w:ilvl w:val="0"/>
          <w:numId w:val="1"/>
        </w:numPr>
        <w:tabs>
          <w:tab w:val="clear" w:pos="1134"/>
          <w:tab w:val="left" w:pos="1309" w:leader="none"/>
        </w:tabs>
        <w:bidi w:val="0"/>
        <w:spacing w:before="0" w:after="0"/>
        <w:ind w:hanging="283" w:left="1309"/>
        <w:jc w:val="left"/>
        <w:rPr/>
      </w:pPr>
      <w:r>
        <w:rPr>
          <w:b/>
        </w:rPr>
        <w:t>Natural-language question parsing</w:t>
      </w:r>
      <w:r>
        <w:rPr/>
        <w:t xml:space="preserve"> is out of POC scope by decision; the CLI offers the six predefined use cases with validated parameters. A future LLM intent-parser can map free-form questions onto the same engine. </w:t>
      </w:r>
    </w:p>
    <w:p>
      <w:pPr>
        <w:pStyle w:val="BodyText"/>
        <w:numPr>
          <w:ilvl w:val="0"/>
          <w:numId w:val="1"/>
        </w:numPr>
        <w:tabs>
          <w:tab w:val="clear" w:pos="1134"/>
          <w:tab w:val="left" w:pos="1309" w:leader="none"/>
        </w:tabs>
        <w:bidi w:val="0"/>
        <w:spacing w:before="0" w:after="0"/>
        <w:ind w:hanging="283" w:left="1309"/>
        <w:jc w:val="left"/>
        <w:rPr/>
      </w:pPr>
      <w:r>
        <w:rPr/>
        <w:t xml:space="preserve">Association analysis reports co-occurrence lifts, not causal inference; with production-grade data (coherent timestamps, richer factors) regression or uplift modeling could be added. </w:t>
      </w:r>
    </w:p>
    <w:p>
      <w:pPr>
        <w:pStyle w:val="BodyText"/>
        <w:numPr>
          <w:ilvl w:val="0"/>
          <w:numId w:val="1"/>
        </w:numPr>
        <w:tabs>
          <w:tab w:val="clear" w:pos="1134"/>
          <w:tab w:val="left" w:pos="1309" w:leader="none"/>
        </w:tabs>
        <w:bidi w:val="0"/>
        <w:spacing w:before="0" w:after="0"/>
        <w:ind w:hanging="283" w:left="1309"/>
        <w:jc w:val="left"/>
        <w:rPr/>
      </w:pPr>
      <w:r>
        <w:rPr/>
        <w:t xml:space="preserve">Warehouse </w:t>
      </w:r>
      <w:r>
        <w:rPr>
          <w:rStyle w:val="SourceText"/>
        </w:rPr>
        <w:t>capacity</w:t>
      </w:r>
      <w:r>
        <w:rPr/>
        <w:t xml:space="preserve"> units are not defined in the data and are reported as-is. </w:t>
      </w:r>
    </w:p>
    <w:p>
      <w:pPr>
        <w:pStyle w:val="BodyText"/>
        <w:numPr>
          <w:ilvl w:val="0"/>
          <w:numId w:val="1"/>
        </w:numPr>
        <w:tabs>
          <w:tab w:val="clear" w:pos="1134"/>
          <w:tab w:val="left" w:pos="1309" w:leader="none"/>
        </w:tabs>
        <w:bidi w:val="0"/>
        <w:spacing w:before="0" w:after="283"/>
        <w:ind w:hanging="283" w:left="1309"/>
        <w:jc w:val="left"/>
        <w:rPr/>
      </w:pPr>
      <w:r>
        <w:rPr/>
        <w:t xml:space="preserve">The LLM layer was verified with mocked clients and by fallback behavior; live-key usage is optional and never required for the demo.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urier New">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before="600" w:after="600"/>
      <w:ind w:left="600" w:right="600"/>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pBdr>
        <w:bottom w:val="single" w:sz="12" w:space="5" w:color="1F3864"/>
      </w:pBdr>
    </w:pPr>
    <w:rPr>
      <w:rFonts w:ascii="Noto Sans" w:hAnsi="Noto Sans"/>
      <w:b/>
      <w:bCs/>
      <w:color w:val="1F3864"/>
      <w:sz w:val="40"/>
      <w:szCs w:val="40"/>
    </w:rPr>
  </w:style>
  <w:style w:type="paragraph" w:styleId="Heading2">
    <w:name w:val="Heading 2"/>
    <w:basedOn w:val="Heading"/>
    <w:next w:val="BodyText"/>
    <w:qFormat/>
    <w:pPr>
      <w:spacing w:before="420" w:after="120"/>
      <w:outlineLvl w:val="1"/>
    </w:pPr>
    <w:rPr>
      <w:rFonts w:ascii="Liberation Serif" w:hAnsi="Liberation Serif" w:eastAsia="Noto Serif CJK SC" w:cs="Noto Sans Devanagari"/>
      <w:b/>
      <w:bCs/>
      <w:color w:val="1F3864"/>
      <w:sz w:val="30"/>
      <w:szCs w:val="30"/>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color w:val="2E5395"/>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sz w:val="20"/>
      <w:szCs w:val="20"/>
      <w:shd w:fill="F3F5F8" w:val="clear"/>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0"/>
      <w:szCs w:val="20"/>
    </w:rPr>
  </w:style>
  <w:style w:type="paragraph" w:styleId="Footer">
    <w:name w:val="Footer"/>
    <w:basedOn w:val="Normal"/>
    <w:pPr>
      <w:suppressLineNumbers/>
      <w:tabs>
        <w:tab w:val="clear" w:pos="1134"/>
        <w:tab w:val="center" w:pos="5418" w:leader="none"/>
        <w:tab w:val="right" w:pos="10237" w:leader="none"/>
      </w:tabs>
    </w:pPr>
    <w:rPr/>
  </w:style>
  <w:style w:type="paragraph" w:styleId="Header">
    <w:name w:val="Header"/>
    <w:basedOn w:val="Normal"/>
    <w:pPr>
      <w:suppressLineNumbers/>
      <w:tabs>
        <w:tab w:val="clear" w:pos="1134"/>
        <w:tab w:val="center" w:pos="5418" w:leader="none"/>
        <w:tab w:val="right" w:pos="10237" w:leader="none"/>
      </w:tabs>
    </w:pPr>
    <w:rPr/>
  </w:style>
  <w:style w:type="paragraph" w:styleId="HeaderandFooter">
    <w:name w:val="Header and Footer"/>
    <w:basedOn w:val="Normal"/>
    <w:qFormat/>
    <w:pPr>
      <w:suppressLineNumbers/>
      <w:tabs>
        <w:tab w:val="clear" w:pos="1134"/>
        <w:tab w:val="center" w:pos="5419" w:leader="none"/>
        <w:tab w:val="right" w:pos="102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C9D4E0"/>
        <w:left w:val="single" w:sz="2" w:space="8" w:color="C9D4E0"/>
        <w:bottom w:val="single" w:sz="2" w:space="8" w:color="C9D4E0"/>
        <w:right w:val="single" w:sz="2" w:space="8" w:color="C9D4E0"/>
      </w:pBdr>
      <w:shd w:fill="F3F5F8" w:val="clear"/>
      <w:spacing w:before="600" w:after="0"/>
    </w:pPr>
    <w:rPr>
      <w:rFonts w:ascii="Courier New;monospace" w:hAnsi="Courier New;monospace" w:eastAsia="Courier New;monospace" w:cs="Courier New;monospace"/>
      <w:sz w:val="18"/>
      <w:szCs w:val="18"/>
    </w:rPr>
  </w:style>
  <w:style w:type="paragraph" w:styleId="TableHeading">
    <w:name w:val="Table Heading"/>
    <w:basedOn w:val="TableContents"/>
    <w:qFormat/>
    <w:pPr>
      <w:suppressLineNumbers/>
      <w:shd w:fill="DBE5F1" w:val="clear"/>
      <w:jc w:val="left"/>
    </w:pPr>
    <w:rPr>
      <w:b/>
      <w:bCs/>
      <w:sz w:val="20"/>
      <w:szCs w:val="20"/>
    </w:rPr>
  </w:style>
  <w:style w:type="paragraph" w:styleId="BodyTextcaveat">
    <w:name w:val="Body Text.caveat"/>
    <w:basedOn w:val="BodyText"/>
    <w:qFormat/>
    <w:pPr>
      <w:pBdr>
        <w:top w:val="single" w:sz="2" w:space="6" w:color="E5C76B"/>
        <w:left w:val="single" w:sz="2" w:space="8" w:color="E5C76B"/>
        <w:bottom w:val="single" w:sz="2" w:space="6" w:color="E5C76B"/>
        <w:right w:val="single" w:sz="2" w:space="8" w:color="E5C76B"/>
      </w:pBdr>
      <w:shd w:fill="FDF3D7" w:val="clear"/>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Delivery Failure Root-Cause Analysis — POC Solution Write-Up</dc:title>
</cp:coreProperties>
</file>

<file path=docProps/custom.xml><?xml version="1.0" encoding="utf-8"?>
<Properties xmlns="http://schemas.openxmlformats.org/officeDocument/2006/custom-properties" xmlns:vt="http://schemas.openxmlformats.org/officeDocument/2006/docPropsVTypes"/>
</file>