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olor w:val="7F8C8D"/>
          <w:sz w:val="22"/>
          <w:szCs w:val="22"/>
        </w:rPr>
        <w:t xml:space="preserve">Project 5  ·  Geoscience Data Engineering Series</w:t>
      </w:r>
    </w:p>
    <w:p>
      <w:pPr>
        <w:spacing w:after="80" w:before="80"/>
      </w:pPr>
      <w:r>
        <w:rPr>
          <w:rFonts w:ascii="Arial" w:cs="Arial" w:eastAsia="Arial" w:hAnsi="Arial"/>
          <w:b/>
          <w:bCs/>
          <w:color w:val="1F5C99"/>
          <w:sz w:val="52"/>
          <w:szCs w:val="52"/>
        </w:rPr>
        <w:t xml:space="preserve">ML Deposit Predictor</w:t>
      </w:r>
    </w:p>
    <w:p>
      <w:pPr>
        <w:spacing w:after="200" w:before="0"/>
      </w:pPr>
      <w:r>
        <w:rPr>
          <w:rFonts w:ascii="Arial" w:cs="Arial" w:eastAsia="Arial" w:hAnsi="Arial"/>
          <w:color w:val="7F8C8D"/>
          <w:sz w:val="24"/>
          <w:szCs w:val="24"/>
        </w:rPr>
        <w:t xml:space="preserve">XGBoost · MLflow · Multi-source feature fusion · Deposit probability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5C99"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AUC 0.90</w:t>
            </w:r>
          </w:p>
          <w:p>
            <w:pPr>
              <w:jc w:val="center"/>
            </w:pPr>
            <w:r>
              <w:rPr>
                <w:rFonts w:ascii="Arial" w:cs="Arial" w:eastAsia="Arial" w:hAnsi="Arial"/>
                <w:color w:val="D6EAF8"/>
                <w:sz w:val="16"/>
                <w:szCs w:val="16"/>
              </w:rPr>
              <w:t xml:space="preserve">Model performance</w:t>
            </w:r>
          </w:p>
        </w:tc>
        <w:tc>
          <w:tcPr>
            <w:tcW w:type="dxa" w:w="2340"/>
            <w:tcBorders>
              <w:top w:val="none" w:color="FFFFFF" w:sz="0"/>
              <w:left w:val="none" w:color="FFFFFF" w:sz="0"/>
              <w:bottom w:val="none" w:color="FFFFFF" w:sz="0"/>
              <w:right w:val="none" w:color="FFFFFF" w:sz="0"/>
            </w:tcBorders>
            <w:shd w:fill="2C3E50"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74,349</w:t>
            </w:r>
          </w:p>
          <w:p>
            <w:pPr>
              <w:jc w:val="center"/>
            </w:pPr>
            <w:r>
              <w:rPr>
                <w:rFonts w:ascii="Arial" w:cs="Arial" w:eastAsia="Arial" w:hAnsi="Arial"/>
                <w:color w:val="D6EAF8"/>
                <w:sz w:val="16"/>
                <w:szCs w:val="16"/>
              </w:rPr>
              <w:t xml:space="preserve">Locations scored</w:t>
            </w:r>
          </w:p>
        </w:tc>
        <w:tc>
          <w:tcPr>
            <w:tcW w:type="dxa" w:w="2340"/>
            <w:tcBorders>
              <w:top w:val="none" w:color="FFFFFF" w:sz="0"/>
              <w:left w:val="none" w:color="FFFFFF" w:sz="0"/>
              <w:bottom w:val="none" w:color="FFFFFF" w:sz="0"/>
              <w:right w:val="none" w:color="FFFFFF" w:sz="0"/>
            </w:tcBorders>
            <w:shd w:fill="1F5C99"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5,770</w:t>
            </w:r>
          </w:p>
          <w:p>
            <w:pPr>
              <w:jc w:val="center"/>
            </w:pPr>
            <w:r>
              <w:rPr>
                <w:rFonts w:ascii="Arial" w:cs="Arial" w:eastAsia="Arial" w:hAnsi="Arial"/>
                <w:color w:val="D6EAF8"/>
                <w:sz w:val="16"/>
                <w:szCs w:val="16"/>
              </w:rPr>
              <w:t xml:space="preserve">High-prob targets</w:t>
            </w:r>
          </w:p>
        </w:tc>
        <w:tc>
          <w:tcPr>
            <w:tcW w:type="dxa" w:w="2340"/>
            <w:tcBorders>
              <w:top w:val="none" w:color="FFFFFF" w:sz="0"/>
              <w:left w:val="none" w:color="FFFFFF" w:sz="0"/>
              <w:bottom w:val="none" w:color="FFFFFF" w:sz="0"/>
              <w:right w:val="none" w:color="FFFFFF" w:sz="0"/>
            </w:tcBorders>
            <w:shd w:fill="2C3E50"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6</w:t>
            </w:r>
          </w:p>
          <w:p>
            <w:pPr>
              <w:jc w:val="center"/>
            </w:pPr>
            <w:r>
              <w:rPr>
                <w:rFonts w:ascii="Arial" w:cs="Arial" w:eastAsia="Arial" w:hAnsi="Arial"/>
                <w:color w:val="D6EAF8"/>
                <w:sz w:val="16"/>
                <w:szCs w:val="16"/>
              </w:rPr>
              <w:t xml:space="preserve">Features used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Model</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XGBoost Classifier (n_estimators=300, max_depth=6, lr=0.05)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Tracking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MLflow — run ID de8465f0dee2447c8933b01934fec37b</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Training set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54,707 labelled samples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Test 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13,597 held-out samples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AUC score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0.9023 (honest — no data leakage)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Accuracy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91.68%</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Labels source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Proximity to 10 known Nevada mining districts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Top target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Lat 38.42, Lon -117.53 — P(deposit) = 0.994</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Platform</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Databricks Serverless (GCP Free Edition)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XGBoost · MLflow · scikit-learn · pandas · NumPy · Parquet</w:t>
            </w:r>
          </w:p>
        </w:tc>
      </w:tr>
    </w:tbl>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1. Project Overview</w:t>
      </w:r>
    </w:p>
    <w:p>
      <w:pPr>
        <w:spacing w:after="100" w:before="100"/>
      </w:pPr>
      <w:r>
        <w:t xml:space="preserve"/>
      </w:r>
    </w:p>
    <w:p>
      <w:pPr>
        <w:spacing w:after="80" w:before="80"/>
      </w:pPr>
      <w:r>
        <w:rPr>
          <w:rFonts w:ascii="Arial" w:cs="Arial" w:eastAsia="Arial" w:hAnsi="Arial"/>
          <w:color w:val="2C3E50"/>
          <w:sz w:val="20"/>
          <w:szCs w:val="20"/>
        </w:rPr>
        <w:t xml:space="preserve">Projects 1 through 4 each produced a feature dataset from a different geoscience data source. Project 1 produced geochemical z-scores and mineralisation scores for 74,349 surface locations. Project 2 produced spectral indices and alteration scores for 13,127 satellite pixels. Project 3 produced 3D composite drill grades for 5,232 subsurface intervals. Project 4 produced magnetic anomaly features for 597 geophysics grid cells.</w:t>
      </w:r>
    </w:p>
    <w:p>
      <w:pPr>
        <w:spacing w:after="100" w:before="100"/>
      </w:pPr>
      <w:r>
        <w:t xml:space="preserve"/>
      </w:r>
    </w:p>
    <w:p>
      <w:pPr>
        <w:spacing w:after="80" w:before="80"/>
      </w:pPr>
      <w:r>
        <w:rPr>
          <w:rFonts w:ascii="Arial" w:cs="Arial" w:eastAsia="Arial" w:hAnsi="Arial"/>
          <w:color w:val="2C3E50"/>
          <w:sz w:val="20"/>
          <w:szCs w:val="20"/>
        </w:rPr>
        <w:t xml:space="preserve">Project 5 brings all of these together into a single machine learning pipeline. A unified feature matrix is built by spatially joining the four datasets at each geochemistry sample location. An XGBoost classifier is trained to predict deposit probability using features from geochemistry and geophysics. MLflow tracks every experiment run. The final output is a deposit probability score for all 74,349 locations across Nevada, ranked and mapped.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The core question Project 5 answers</w:t>
            </w:r>
          </w:p>
          <w:p>
            <w:r>
              <w:rPr>
                <w:rFonts w:ascii="Arial" w:cs="Arial" w:eastAsia="Arial" w:hAnsi="Arial"/>
                <w:color w:val="2C3E50"/>
                <w:sz w:val="19"/>
                <w:szCs w:val="19"/>
              </w:rPr>
              <w:t xml:space="preserve">Given everything we know about a location — its geochemical anomaly profile, its magnetic signature, its proximity to known geological features — what is the probability that it lies within or near an economic mineral deposit? This is the question every exploration company asks every day. This pipeline answers it systematically, reproducibly, and with honest performance metrics.</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1.1  Why XGBoost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3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Verdict</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Logistic regression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Too simple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Cannot capture non-linear geological relationships between features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Random forest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Good alternative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XGBoost outperforms on tabular data with missing values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Neural network</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Wrong scale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Needs far more data than 74,349 samples to generalise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SVM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Too slow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Does not scale to 74,349 samples efficiently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XGBoost</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Correct choice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Industry standard for tabular ML, handles missing values, built-in feature importance, fast</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1.2  Why MLflow</w:t>
      </w:r>
    </w:p>
    <w:p>
      <w:pPr>
        <w:spacing w:after="100" w:before="100"/>
      </w:pPr>
      <w:r>
        <w:t xml:space="preserve"/>
      </w:r>
    </w:p>
    <w:p>
      <w:pPr>
        <w:spacing w:after="80" w:before="80"/>
      </w:pPr>
      <w:r>
        <w:rPr>
          <w:rFonts w:ascii="Arial" w:cs="Arial" w:eastAsia="Arial" w:hAnsi="Arial"/>
          <w:color w:val="2C3E50"/>
          <w:sz w:val="20"/>
          <w:szCs w:val="20"/>
        </w:rPr>
        <w:t xml:space="preserve">MLflow is the industry standard for ML experiment tracking. Every training run automatically records the hyperparameters used, the metrics achieved, and the trained model as an artifact. This means you can train 10 versions of the model, compare them all in a single UI, and reproduce any previous run exactly. Production ML teams at companies like Earth AI, Google DeepMind, and Anthropic use experiment tracking on every model they build.</w:t>
      </w:r>
    </w:p>
    <w:p>
      <w:pPr>
        <w:spacing w:after="100" w:before="100"/>
      </w:pPr>
      <w:r>
        <w:t xml:space="preserve"/>
      </w:r>
    </w:p>
    <w:p>
      <w:pPr>
        <w:pStyle w:val="ListParagraph"/>
        <w:numPr>
          <w:ilvl w:val="0"/>
          <w:numId w:val="2"/>
        </w:numPr>
        <w:spacing w:after="40" w:before="40"/>
      </w:pPr>
      <w:r>
        <w:rPr>
          <w:rFonts w:ascii="Arial" w:cs="Arial" w:eastAsia="Arial" w:hAnsi="Arial"/>
          <w:color w:val="2C3E50"/>
          <w:sz w:val="20"/>
          <w:szCs w:val="20"/>
        </w:rPr>
        <w:t xml:space="preserve">Hyperparameters logged: n_estimators, max_depth, learning_rate, subsample, colsample_bytree, scale_pos_weight</w:t>
      </w:r>
    </w:p>
    <w:p>
      <w:pPr>
        <w:pStyle w:val="ListParagraph"/>
        <w:numPr>
          <w:ilvl w:val="0"/>
          <w:numId w:val="2"/>
        </w:numPr>
        <w:spacing w:after="40" w:before="40"/>
      </w:pPr>
      <w:r>
        <w:rPr>
          <w:rFonts w:ascii="Arial" w:cs="Arial" w:eastAsia="Arial" w:hAnsi="Arial"/>
          <w:color w:val="2C3E50"/>
          <w:sz w:val="20"/>
          <w:szCs w:val="20"/>
        </w:rPr>
        <w:t xml:space="preserve">Metrics logged: AUC, accuracy</w:t>
      </w:r>
    </w:p>
    <w:p>
      <w:pPr>
        <w:pStyle w:val="ListParagraph"/>
        <w:numPr>
          <w:ilvl w:val="0"/>
          <w:numId w:val="2"/>
        </w:numPr>
        <w:spacing w:after="40" w:before="40"/>
      </w:pPr>
      <w:r>
        <w:rPr>
          <w:rFonts w:ascii="Arial" w:cs="Arial" w:eastAsia="Arial" w:hAnsi="Arial"/>
          <w:color w:val="2C3E50"/>
          <w:sz w:val="20"/>
          <w:szCs w:val="20"/>
        </w:rPr>
        <w:t xml:space="preserve">Artifacts logged: trained model, feature importance plot, deposit probability map</w:t>
      </w:r>
    </w:p>
    <w:p>
      <w:pPr>
        <w:pStyle w:val="ListParagraph"/>
        <w:numPr>
          <w:ilvl w:val="0"/>
          <w:numId w:val="2"/>
        </w:numPr>
        <w:spacing w:after="40" w:before="40"/>
      </w:pPr>
      <w:r>
        <w:rPr>
          <w:rFonts w:ascii="Arial" w:cs="Arial" w:eastAsia="Arial" w:hAnsi="Arial"/>
          <w:color w:val="2C3E50"/>
          <w:sz w:val="20"/>
          <w:szCs w:val="20"/>
        </w:rPr>
        <w:t xml:space="preserve">Run ID: de8465f0dee2447c8933b01934fec37b</w:t>
      </w:r>
    </w:p>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2. The Data Leakage Problem</w:t>
      </w:r>
    </w:p>
    <w:p>
      <w:pPr>
        <w:spacing w:after="100" w:before="100"/>
      </w:pPr>
      <w:r>
        <w:t xml:space="preserve"/>
      </w:r>
    </w:p>
    <w:p>
      <w:pPr>
        <w:spacing w:after="80" w:before="80"/>
      </w:pPr>
      <w:r>
        <w:rPr>
          <w:rFonts w:ascii="Arial" w:cs="Arial" w:eastAsia="Arial" w:hAnsi="Arial"/>
          <w:color w:val="2C3E50"/>
          <w:sz w:val="20"/>
          <w:szCs w:val="20"/>
        </w:rPr>
        <w:t xml:space="preserve">This is the most important section in the documentation. The first two attempts at training the model produced AUC = 1.0. That is not a good result. It is a symptom of data leakage — one of the most common and most damaging mistakes in applied machine learning.</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2.1  What is Data Leakage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160"/>
              <w:bottom w:type="dxa" w:w="120"/>
              <w:right w:type="dxa" w:w="160"/>
            </w:tcMar>
          </w:tcPr>
          <w:p>
            <w:pPr>
              <w:spacing w:after="60"/>
            </w:pPr>
            <w:r>
              <w:rPr>
                <w:rFonts w:ascii="Arial" w:cs="Arial" w:eastAsia="Arial" w:hAnsi="Arial"/>
                <w:b/>
                <w:bCs/>
                <w:color w:val="C0392B"/>
                <w:sz w:val="20"/>
                <w:szCs w:val="20"/>
              </w:rPr>
              <w:t xml:space="preserve">Definition</w:t>
            </w:r>
          </w:p>
          <w:p>
            <w:r>
              <w:rPr>
                <w:rFonts w:ascii="Arial" w:cs="Arial" w:eastAsia="Arial" w:hAnsi="Arial"/>
                <w:color w:val="2C3E50"/>
                <w:sz w:val="19"/>
                <w:szCs w:val="19"/>
              </w:rPr>
              <w:t xml:space="preserve">Data leakage occurs when information that would not be available at prediction time is included in the training features. The model learns to predict the label using the leaked information rather than the real signal. It appears to perform perfectly on the test set because the test set also contains the leaked information. In production, when the leak is absent, the model fails completely.</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2.2  First Attempt — Leaking the Label Source</w:t>
      </w:r>
    </w:p>
    <w:p>
      <w:pPr>
        <w:spacing w:after="100" w:before="100"/>
      </w:pPr>
      <w:r>
        <w:t xml:space="preserve"/>
      </w:r>
    </w:p>
    <w:p>
      <w:pPr>
        <w:spacing w:after="80" w:before="80"/>
      </w:pPr>
      <w:r>
        <w:rPr>
          <w:rFonts w:ascii="Arial" w:cs="Arial" w:eastAsia="Arial" w:hAnsi="Arial"/>
          <w:color w:val="2C3E50"/>
          <w:sz w:val="20"/>
          <w:szCs w:val="20"/>
        </w:rPr>
        <w:t xml:space="preserve">The first labelling approach used the composite mineralisation_score from Project 1 as a label proxy: top 5% = positive, bottom 50% = negative. The training features included copper_zscore, nickel_zscore, cobalt_zscore, gold_zscore, and molybdenum_zscore. These are the exact same values used to compute mineralisation_score. The model learned: if z-scores are high, mineralisation_score is high, label is 1. Circular by construction. AUC = 1.0.</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pPr>
            <w:r>
              <w:rPr>
                <w:rFonts w:ascii="Arial" w:cs="Arial" w:eastAsia="Arial" w:hAnsi="Arial"/>
                <w:b/>
                <w:bCs/>
                <w:color w:val="CA6F1E"/>
                <w:sz w:val="20"/>
                <w:szCs w:val="20"/>
              </w:rPr>
              <w:t xml:space="preserve">The fix</w:t>
            </w:r>
          </w:p>
          <w:p>
            <w:r>
              <w:rPr>
                <w:rFonts w:ascii="Arial" w:cs="Arial" w:eastAsia="Arial" w:hAnsi="Arial"/>
                <w:color w:val="2C3E50"/>
                <w:sz w:val="19"/>
                <w:szCs w:val="19"/>
              </w:rPr>
              <w:t xml:space="preserve">Remove all z-score features that feed into the label. But this is not enough on its own if other derived columns remain.</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2.3  Second Attempt — Residual Leakage from Previous Run</w:t>
      </w:r>
    </w:p>
    <w:p>
      <w:pPr>
        <w:spacing w:after="100" w:before="100"/>
      </w:pPr>
      <w:r>
        <w:t xml:space="preserve"/>
      </w:r>
    </w:p>
    <w:p>
      <w:pPr>
        <w:spacing w:after="80" w:before="80"/>
      </w:pPr>
      <w:r>
        <w:rPr>
          <w:rFonts w:ascii="Arial" w:cs="Arial" w:eastAsia="Arial" w:hAnsi="Arial"/>
          <w:color w:val="2C3E50"/>
          <w:sz w:val="20"/>
          <w:szCs w:val="20"/>
        </w:rPr>
        <w:t xml:space="preserve">The z-score features were removed. But Cell 9 from the previous run had already added deposit_probability, ml_prediction, and ml_rank columns to the base DataFrame. These columns were predicted by the leaking model and were perfectly correlated with the label. The new model trained on these columns instead. AUC = 1.0 again.</w:t>
      </w:r>
    </w:p>
    <w:p>
      <w:pPr>
        <w:spacing w:after="100" w:before="100"/>
      </w:pPr>
      <w:r>
        <w:t xml:space="preserve"/>
      </w:r>
    </w:p>
    <w:p>
      <w:pPr>
        <w:spacing w:after="80" w:before="80"/>
      </w:pPr>
      <w:r>
        <w:rPr>
          <w:rFonts w:ascii="Arial" w:cs="Arial" w:eastAsia="Arial" w:hAnsi="Arial"/>
          <w:color w:val="2C3E50"/>
          <w:sz w:val="20"/>
          <w:szCs w:val="20"/>
        </w:rPr>
        <w:t xml:space="preserve">Diagnosis: correlation analysis of all features against the label revealed deposit_probability corr=1.0000, ml_prediction corr=1.0000, ml_rank corr=-0.9999. The leaking features were identified and removed.</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2.4  Third Attempt — Indirect Spatial Leakage</w:t>
      </w:r>
    </w:p>
    <w:p>
      <w:pPr>
        <w:spacing w:after="100" w:before="100"/>
      </w:pPr>
      <w:r>
        <w:t xml:space="preserve"/>
      </w:r>
    </w:p>
    <w:p>
      <w:pPr>
        <w:spacing w:after="80" w:before="80"/>
      </w:pPr>
      <w:r>
        <w:rPr>
          <w:rFonts w:ascii="Arial" w:cs="Arial" w:eastAsia="Arial" w:hAnsi="Arial"/>
          <w:color w:val="2C3E50"/>
          <w:sz w:val="20"/>
          <w:szCs w:val="20"/>
        </w:rPr>
        <w:t xml:space="preserve">With previous-run columns removed and a better label source (proximity to known Nevada mining districts replacing mineralisation_score), AUC dropped to 0.97. Still suspiciously high. The remaining feature dist_to_boundary_km was correlated with the mining districts used as labels — tectonic boundaries in Nevada closely follow the same Walker Lane corridor that hosts the major mining districts. The model was learning a spatial shortcut.</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2.5  Final Clean Model</w:t>
      </w:r>
    </w:p>
    <w:p>
      <w:pPr>
        <w:spacing w:after="100" w:before="100"/>
      </w:pPr>
      <w:r>
        <w:t xml:space="preserve"/>
      </w:r>
    </w:p>
    <w:p>
      <w:pPr>
        <w:spacing w:after="80" w:before="80"/>
      </w:pPr>
      <w:r>
        <w:rPr>
          <w:rFonts w:ascii="Arial" w:cs="Arial" w:eastAsia="Arial" w:hAnsi="Arial"/>
          <w:color w:val="2C3E50"/>
          <w:sz w:val="20"/>
          <w:szCs w:val="20"/>
        </w:rPr>
        <w:t xml:space="preserve">Removing dist_to_boundary_km and tightening the positive label radius from 25km to 15km forced the model to rely purely on geochemical local z-scores and magnetic anomalies. AUC = 0.90. This is the honest, defensible score.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160"/>
              <w:bottom w:type="dxa" w:w="120"/>
              <w:right w:type="dxa" w:w="160"/>
            </w:tcMar>
          </w:tcPr>
          <w:p>
            <w:pPr>
              <w:spacing w:after="60"/>
            </w:pPr>
            <w:r>
              <w:rPr>
                <w:rFonts w:ascii="Arial" w:cs="Arial" w:eastAsia="Arial" w:hAnsi="Arial"/>
                <w:b/>
                <w:bCs/>
                <w:color w:val="1E8449"/>
                <w:sz w:val="20"/>
                <w:szCs w:val="20"/>
              </w:rPr>
              <w:t xml:space="preserve">Why this matters in an interview</w:t>
            </w:r>
          </w:p>
          <w:p>
            <w:r>
              <w:rPr>
                <w:rFonts w:ascii="Arial" w:cs="Arial" w:eastAsia="Arial" w:hAnsi="Arial"/>
                <w:color w:val="2C3E50"/>
                <w:sz w:val="19"/>
                <w:szCs w:val="19"/>
              </w:rPr>
              <w:t xml:space="preserve">If a recruiter at Earth AI sees AUC = 1.0 they will immediately suspect data leakage. Explaining that you identified and fixed three separate sources of leakage to arrive at an honest AUC of 0.90 demonstrates a level of ML rigour that most candidates never demonstrate. The mistake and the fix are both worth talking about.</w:t>
            </w:r>
          </w:p>
        </w:tc>
      </w:tr>
    </w:tbl>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3. Pipeline Architecture</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3.1  Feature Matrix Construction</w:t>
      </w:r>
    </w:p>
    <w:p>
      <w:pPr>
        <w:spacing w:after="100" w:before="100"/>
      </w:pPr>
      <w:r>
        <w:t xml:space="preserve"/>
      </w:r>
    </w:p>
    <w:p>
      <w:pPr>
        <w:spacing w:after="80" w:before="80"/>
      </w:pPr>
      <w:r>
        <w:rPr>
          <w:rFonts w:ascii="Arial" w:cs="Arial" w:eastAsia="Arial" w:hAnsi="Arial"/>
          <w:color w:val="2C3E50"/>
          <w:sz w:val="20"/>
          <w:szCs w:val="20"/>
        </w:rPr>
        <w:t xml:space="preserve">The base dataset is the Project 1 geochemistry table with 74,349 rows. Features from Projects 2 and 4 are joined using BallTree nearest-neighbour spatial matching. For each geochemistry sample location, the nearest satellite pixel and the nearest geophysics grid cell are found, and their features are attached.</w:t>
      </w:r>
    </w:p>
    <w:p>
      <w:pPr>
        <w:spacing w:after="100" w:before="100"/>
      </w:pPr>
      <w:r>
        <w:t xml:space="preserve"/>
      </w:r>
    </w:p>
    <w:p>
      <w:pPr>
        <w:pBdr>
          <w:left w:val="single" w:color="1F5C99" w:sz="12" w:space="4"/>
        </w:pBdr>
        <w:shd w:fill="F4F6F7" w:val="clear"/>
        <w:spacing w:after="30" w:before="30"/>
        <w:ind w:left="360"/>
      </w:pPr>
      <w:r>
        <w:rPr>
          <w:rFonts w:ascii="Courier New" w:cs="Courier New" w:eastAsia="Courier New" w:hAnsi="Courier New"/>
          <w:color w:val="1A5276"/>
          <w:sz w:val="18"/>
          <w:szCs w:val="18"/>
        </w:rPr>
        <w:t xml:space="preserve">from sklearn.neighbors import BallTree</w:t>
      </w:r>
    </w:p>
    <w:p>
      <w:pPr>
        <w:pBdr>
          <w:left w:val="single" w:color="1F5C99" w:sz="12" w:space="4"/>
        </w:pBdr>
        <w:shd w:fill="F4F6F7" w:val="clear"/>
        <w:spacing w:after="30" w:before="30"/>
        <w:ind w:left="360"/>
      </w:pPr>
      <w:r>
        <w:rPr>
          <w:rFonts w:ascii="Courier New" w:cs="Courier New" w:eastAsia="Courier New" w:hAnsi="Courier New"/>
          <w:color w:val="1A5276"/>
          <w:sz w:val="18"/>
          <w:szCs w:val="18"/>
        </w:rPr>
        <w:t xml:space="preserve"/>
      </w:r>
    </w:p>
    <w:p>
      <w:pPr>
        <w:pBdr>
          <w:left w:val="single" w:color="1F5C99" w:sz="12" w:space="4"/>
        </w:pBdr>
        <w:shd w:fill="F4F6F7" w:val="clear"/>
        <w:spacing w:after="30" w:before="30"/>
        <w:ind w:left="360"/>
      </w:pPr>
      <w:r>
        <w:rPr>
          <w:rFonts w:ascii="Courier New" w:cs="Courier New" w:eastAsia="Courier New" w:hAnsi="Courier New"/>
          <w:color w:val="1A5276"/>
          <w:sz w:val="18"/>
          <w:szCs w:val="18"/>
        </w:rPr>
        <w:t xml:space="preserve"># Project 4 join — nearest geophysics grid cell within 100km</w:t>
      </w:r>
    </w:p>
    <w:p>
      <w:pPr>
        <w:pBdr>
          <w:left w:val="single" w:color="1F5C99" w:sz="12" w:space="4"/>
        </w:pBdr>
        <w:shd w:fill="F4F6F7" w:val="clear"/>
        <w:spacing w:after="30" w:before="30"/>
        <w:ind w:left="360"/>
      </w:pPr>
      <w:r>
        <w:rPr>
          <w:rFonts w:ascii="Courier New" w:cs="Courier New" w:eastAsia="Courier New" w:hAnsi="Courier New"/>
          <w:color w:val="1A5276"/>
          <w:sz w:val="18"/>
          <w:szCs w:val="18"/>
        </w:rPr>
        <w:t xml:space="preserve">geo4_tree = BallTree(np.deg2rad(geo4_clean[['latitude','longitude']].values),</w:t>
      </w:r>
    </w:p>
    <w:p>
      <w:pPr>
        <w:pBdr>
          <w:left w:val="single" w:color="1F5C99" w:sz="12" w:space="4"/>
        </w:pBdr>
        <w:shd w:fill="F4F6F7" w:val="clear"/>
        <w:spacing w:after="30" w:before="30"/>
        <w:ind w:left="360"/>
      </w:pPr>
      <w:r>
        <w:rPr>
          <w:rFonts w:ascii="Courier New" w:cs="Courier New" w:eastAsia="Courier New" w:hAnsi="Courier New"/>
          <w:color w:val="1A5276"/>
          <w:sz w:val="18"/>
          <w:szCs w:val="18"/>
        </w:rPr>
        <w:t xml:space="preserve">                     metric='haversine')</w:t>
      </w:r>
    </w:p>
    <w:p>
      <w:pPr>
        <w:pBdr>
          <w:left w:val="single" w:color="1F5C99" w:sz="12" w:space="4"/>
        </w:pBdr>
        <w:shd w:fill="F4F6F7" w:val="clear"/>
        <w:spacing w:after="30" w:before="30"/>
        <w:ind w:left="360"/>
      </w:pPr>
      <w:r>
        <w:rPr>
          <w:rFonts w:ascii="Courier New" w:cs="Courier New" w:eastAsia="Courier New" w:hAnsi="Courier New"/>
          <w:color w:val="1A5276"/>
          <w:sz w:val="18"/>
          <w:szCs w:val="18"/>
        </w:rPr>
        <w:t xml:space="preserve">distances, indices = geo4_tree.query(base_coords, k=1)</w:t>
      </w:r>
    </w:p>
    <w:p>
      <w:pPr>
        <w:spacing w:after="100" w:before="100"/>
      </w:pPr>
      <w:r>
        <w:t xml:space="preserve"/>
      </w:r>
    </w:p>
    <w:p>
      <w:pPr>
        <w:spacing w:after="80" w:before="80"/>
      </w:pPr>
      <w:r>
        <w:rPr>
          <w:rFonts w:ascii="Arial" w:cs="Arial" w:eastAsia="Arial" w:hAnsi="Arial"/>
          <w:color w:val="2C3E50"/>
          <w:sz w:val="20"/>
          <w:szCs w:val="20"/>
        </w:rPr>
        <w:t xml:space="preserve">The 100km search radius for geophysics is appropriate given the 2km grid resolution — every geochemistry point should find a nearby grid cell. The 50km radius for satellite is tighter because satellite coverage is denser.</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3.2  Labelling Strategy</w:t>
      </w:r>
    </w:p>
    <w:p>
      <w:pPr>
        <w:spacing w:after="100" w:before="100"/>
      </w:pPr>
      <w:r>
        <w:t xml:space="preserve"/>
      </w:r>
    </w:p>
    <w:p>
      <w:pPr>
        <w:spacing w:after="80" w:before="80"/>
      </w:pPr>
      <w:r>
        <w:rPr>
          <w:rFonts w:ascii="Arial" w:cs="Arial" w:eastAsia="Arial" w:hAnsi="Arial"/>
          <w:color w:val="2C3E50"/>
          <w:sz w:val="20"/>
          <w:szCs w:val="20"/>
        </w:rPr>
        <w:t xml:space="preserve">Labels are assigned based on proximity to 10 known Nevada mining districts — independently of any geochemical or geophysical features: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District</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Coordinates and type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Carlin Gold Trend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40.876, -117.069 — Nevada's largest gold-producing corridor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Virginia City Comstock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39.530, -119.814 — historic silver-gold district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Tonopah</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38.029, -117.170 — major silver-gold district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Goldfield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37.936, -117.228 — historic high-grade gold district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Elko County</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41.043, -114.877 — active gold mining region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Battle Mountain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40.664, -116.614 — porphyry copper and gold district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Fallon Churchill</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39.468, -118.776 — copper-silver district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Eureka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38.538, -115.968 — polymetallic district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Searchlight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36.208, -115.981 — gold district southern Nevada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Winnemucca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41.155, -117.738 — gold and silver district</w:t>
            </w:r>
          </w:p>
        </w:tc>
      </w:tr>
    </w:tbl>
    <w:p>
      <w:pPr>
        <w:spacing w:after="100" w:before="100"/>
      </w:pPr>
      <w:r>
        <w:t xml:space="preserve"/>
      </w:r>
    </w:p>
    <w:p>
      <w:pPr>
        <w:pStyle w:val="ListParagraph"/>
        <w:numPr>
          <w:ilvl w:val="0"/>
          <w:numId w:val="2"/>
        </w:numPr>
        <w:spacing w:after="40" w:before="40"/>
      </w:pPr>
      <w:r>
        <w:rPr>
          <w:rFonts w:ascii="Arial" w:cs="Arial" w:eastAsia="Arial" w:hAnsi="Arial"/>
          <w:color w:val="2C3E50"/>
          <w:sz w:val="20"/>
          <w:szCs w:val="20"/>
        </w:rPr>
        <w:t xml:space="preserve">Label = 1: within 15km of any district (positive — prospective ground)</w:t>
      </w:r>
    </w:p>
    <w:p>
      <w:pPr>
        <w:pStyle w:val="ListParagraph"/>
        <w:numPr>
          <w:ilvl w:val="0"/>
          <w:numId w:val="2"/>
        </w:numPr>
        <w:spacing w:after="40" w:before="40"/>
      </w:pPr>
      <w:r>
        <w:rPr>
          <w:rFonts w:ascii="Arial" w:cs="Arial" w:eastAsia="Arial" w:hAnsi="Arial"/>
          <w:color w:val="2C3E50"/>
          <w:sz w:val="20"/>
          <w:szCs w:val="20"/>
        </w:rPr>
        <w:t xml:space="preserve">Label = 0: beyond 100km from all districts (negative — background)</w:t>
      </w:r>
    </w:p>
    <w:p>
      <w:pPr>
        <w:pStyle w:val="ListParagraph"/>
        <w:numPr>
          <w:ilvl w:val="0"/>
          <w:numId w:val="2"/>
        </w:numPr>
        <w:spacing w:after="40" w:before="40"/>
      </w:pPr>
      <w:r>
        <w:rPr>
          <w:rFonts w:ascii="Arial" w:cs="Arial" w:eastAsia="Arial" w:hAnsi="Arial"/>
          <w:color w:val="2C3E50"/>
          <w:sz w:val="20"/>
          <w:szCs w:val="20"/>
        </w:rPr>
        <w:t xml:space="preserve">Label = NaN: 15-100km buffer zone (excluded from training — uncertain)</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3.3  Final Feature Set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What it represents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copper_zscore_local</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Copper z-score within geology unit — removes regional background variation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nickel_zscore_local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Nickel z-score within geology unit — laterite and sulphide indicator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geo4_mag_anomaly_nT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Raw magnetic anomaly in nanoteslas from GeoDAWN survey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geo4_mag_residual_nT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Residual anomaly after regional trend removal — shallow source signal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geo4_pseudogravity</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Pseudogravity transform — highlights deep dense sources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geo4_mag_zscore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Z-score of magnetic anomaly across the survey grid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pPr>
            <w:r>
              <w:rPr>
                <w:rFonts w:ascii="Arial" w:cs="Arial" w:eastAsia="Arial" w:hAnsi="Arial"/>
                <w:b/>
                <w:bCs/>
                <w:color w:val="CA6F1E"/>
                <w:sz w:val="20"/>
                <w:szCs w:val="20"/>
              </w:rPr>
              <w:t xml:space="preserve">Why satellite features were excluded</w:t>
            </w:r>
          </w:p>
          <w:p>
            <w:r>
              <w:rPr>
                <w:rFonts w:ascii="Arial" w:cs="Arial" w:eastAsia="Arial" w:hAnsi="Arial"/>
                <w:color w:val="2C3E50"/>
                <w:sz w:val="19"/>
                <w:szCs w:val="19"/>
              </w:rPr>
              <w:t xml:space="preserve">The satellite data (Project 2) uses real Landsat coordinates over Nevada. The geochemistry data (Project 1) uses real USGS coordinates. However, the coordinate system conversion used to approximate WGS84 from UTM for the satellite points introduced a systematic offset that placed them outside the geochemistry extent. All satellite features returned NaN after the spatial join. This is documented transparently in the README. A production fix would use proper reprojection via PyProj.</w:t>
            </w:r>
          </w:p>
        </w:tc>
      </w:tr>
    </w:tbl>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4. Model Training</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4.1  Hyperparameters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 and reason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n_estimators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300 — number of boosting rounds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max_depth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6 — maximum tree depth (controls overfitting)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learning_rate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0.05 — shrinkage factor per round (conservative)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subsample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0.8 — fraction of samples per tree (reduces variance)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colsample_bytree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0.8 — fraction of features per tree (reduces variance)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scale_pos_weight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Class imbalance ratio — weights positive class to correct for imbalance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random_state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42 — reproducible results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eval_metric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AUC — area under the ROC curve</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4.2  Class Imbalance Handling</w:t>
      </w:r>
    </w:p>
    <w:p>
      <w:pPr>
        <w:spacing w:after="100" w:before="100"/>
      </w:pPr>
      <w:r>
        <w:t xml:space="preserve"/>
      </w:r>
    </w:p>
    <w:p>
      <w:pPr>
        <w:spacing w:after="80" w:before="80"/>
      </w:pPr>
      <w:r>
        <w:rPr>
          <w:rFonts w:ascii="Arial" w:cs="Arial" w:eastAsia="Arial" w:hAnsi="Arial"/>
          <w:color w:val="2C3E50"/>
          <w:sz w:val="20"/>
          <w:szCs w:val="20"/>
        </w:rPr>
        <w:t xml:space="preserve">Mining districts cover a small fraction of Nevada. Positive examples (within 15km of a district) are significantly outnumbered by negative examples. Without correction, the model learns to predict everything as negative and still achieves high accuracy.</w:t>
      </w:r>
    </w:p>
    <w:p>
      <w:pPr>
        <w:spacing w:after="100" w:before="100"/>
      </w:pPr>
      <w:r>
        <w:t xml:space="preserve"/>
      </w:r>
    </w:p>
    <w:p>
      <w:pPr>
        <w:spacing w:after="80" w:before="80"/>
      </w:pPr>
      <w:r>
        <w:rPr>
          <w:rFonts w:ascii="Arial" w:cs="Arial" w:eastAsia="Arial" w:hAnsi="Arial"/>
          <w:color w:val="2C3E50"/>
          <w:sz w:val="20"/>
          <w:szCs w:val="20"/>
        </w:rPr>
        <w:t xml:space="preserve">scale_pos_weight = count(negative) / count(positive) tells XGBoost to weight each positive example more heavily during training, effectively balancing the loss function. This is the standard XGBoost approach to class imbalance.</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4.3  Train/Test Split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Split ratio</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80% train / 20% 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Stratified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Yes — preserves class ratio in both splits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Random state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42 — reproducible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Training samples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54,707</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Test samples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13,597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Train positives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Approximately 5% of training set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Test positives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Approximately 5% of test set</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4.4  Performance Metrics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5C99"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0.9023</w:t>
            </w:r>
          </w:p>
          <w:p>
            <w:pPr>
              <w:jc w:val="center"/>
            </w:pPr>
            <w:r>
              <w:rPr>
                <w:rFonts w:ascii="Arial" w:cs="Arial" w:eastAsia="Arial" w:hAnsi="Arial"/>
                <w:color w:val="D6EAF8"/>
                <w:sz w:val="16"/>
                <w:szCs w:val="16"/>
              </w:rPr>
              <w:t xml:space="preserve">AUC</w:t>
            </w:r>
          </w:p>
        </w:tc>
        <w:tc>
          <w:tcPr>
            <w:tcW w:type="dxa" w:w="2340"/>
            <w:tcBorders>
              <w:top w:val="none" w:color="FFFFFF" w:sz="0"/>
              <w:left w:val="none" w:color="FFFFFF" w:sz="0"/>
              <w:bottom w:val="none" w:color="FFFFFF" w:sz="0"/>
              <w:right w:val="none" w:color="FFFFFF" w:sz="0"/>
            </w:tcBorders>
            <w:shd w:fill="2C3E50"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91.68%</w:t>
            </w:r>
          </w:p>
          <w:p>
            <w:pPr>
              <w:jc w:val="center"/>
            </w:pPr>
            <w:r>
              <w:rPr>
                <w:rFonts w:ascii="Arial" w:cs="Arial" w:eastAsia="Arial" w:hAnsi="Arial"/>
                <w:color w:val="D6EAF8"/>
                <w:sz w:val="16"/>
                <w:szCs w:val="16"/>
              </w:rPr>
              <w:t xml:space="preserve">Accuracy</w:t>
            </w:r>
          </w:p>
        </w:tc>
        <w:tc>
          <w:tcPr>
            <w:tcW w:type="dxa" w:w="2340"/>
            <w:tcBorders>
              <w:top w:val="none" w:color="FFFFFF" w:sz="0"/>
              <w:left w:val="none" w:color="FFFFFF" w:sz="0"/>
              <w:bottom w:val="none" w:color="FFFFFF" w:sz="0"/>
              <w:right w:val="none" w:color="FFFFFF" w:sz="0"/>
            </w:tcBorders>
            <w:shd w:fill="1F5C99"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5,770</w:t>
            </w:r>
          </w:p>
          <w:p>
            <w:pPr>
              <w:jc w:val="center"/>
            </w:pPr>
            <w:r>
              <w:rPr>
                <w:rFonts w:ascii="Arial" w:cs="Arial" w:eastAsia="Arial" w:hAnsi="Arial"/>
                <w:color w:val="D6EAF8"/>
                <w:sz w:val="16"/>
                <w:szCs w:val="16"/>
              </w:rPr>
              <w:t xml:space="preserve">High-prob targets</w:t>
            </w:r>
          </w:p>
        </w:tc>
        <w:tc>
          <w:tcPr>
            <w:tcW w:type="dxa" w:w="2340"/>
            <w:tcBorders>
              <w:top w:val="none" w:color="FFFFFF" w:sz="0"/>
              <w:left w:val="none" w:color="FFFFFF" w:sz="0"/>
              <w:bottom w:val="none" w:color="FFFFFF" w:sz="0"/>
              <w:right w:val="none" w:color="FFFFFF" w:sz="0"/>
            </w:tcBorders>
            <w:shd w:fill="2C3E50"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0.994</w:t>
            </w:r>
          </w:p>
          <w:p>
            <w:pPr>
              <w:jc w:val="center"/>
            </w:pPr>
            <w:r>
              <w:rPr>
                <w:rFonts w:ascii="Arial" w:cs="Arial" w:eastAsia="Arial" w:hAnsi="Arial"/>
                <w:color w:val="D6EAF8"/>
                <w:sz w:val="16"/>
                <w:szCs w:val="16"/>
              </w:rPr>
              <w:t xml:space="preserve">Top target P(deposit)</w:t>
            </w:r>
          </w:p>
        </w:tc>
      </w:tr>
    </w:tbl>
    <w:p>
      <w:pPr>
        <w:spacing w:after="100" w:before="100"/>
      </w:pPr>
      <w:r>
        <w:t xml:space="preserve"/>
      </w:r>
    </w:p>
    <w:p>
      <w:pPr>
        <w:spacing w:after="80" w:before="80"/>
      </w:pPr>
      <w:r>
        <w:rPr>
          <w:rFonts w:ascii="Arial" w:cs="Arial" w:eastAsia="Arial" w:hAnsi="Arial"/>
          <w:color w:val="2C3E50"/>
          <w:sz w:val="20"/>
          <w:szCs w:val="20"/>
        </w:rPr>
        <w:t xml:space="preserve">AUC of 0.90 means the model correctly ranks a randomly chosen prospective location above a randomly chosen background location 90% of the time. For a regional-scale deposit predictor trained on 6 features across a geologically complex terrane, this is a strong honest result.</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4.5  MLflow Experiment Tracking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Experiment name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/Users/abhinavmandal26@gmail.com/deposit_predictor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Run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xgboost_v1</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Run ID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de8465f0dee2447c8933b01934fec37b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Logged params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All 7 hyperparameters + n_features + sample counts + feature names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Logged metrics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AUC, accuracy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Logged artifacts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Trained XGBoost model, feature importance PNG, deposit probability map PNG</w:t>
            </w:r>
          </w:p>
        </w:tc>
      </w:tr>
    </w:tbl>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5. Results</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5.1  Top 10 Predicted Targets</w:t>
      </w:r>
    </w:p>
    <w:p>
      <w:pPr>
        <w:spacing w:after="100" w:before="100"/>
      </w:pPr>
      <w:r>
        <w:t xml:space="preserve"/>
      </w:r>
    </w:p>
    <w:p>
      <w:pPr>
        <w:spacing w:after="80" w:before="80"/>
      </w:pPr>
      <w:r>
        <w:rPr>
          <w:rFonts w:ascii="Arial" w:cs="Arial" w:eastAsia="Arial" w:hAnsi="Arial"/>
          <w:color w:val="2C3E50"/>
          <w:sz w:val="20"/>
          <w:szCs w:val="20"/>
        </w:rPr>
        <w:t xml:space="preserve">After scoring all 74,349 geochemistry sample locations, the following are the highest probability deposit targets identified by the model: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Probability and notes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Lat 38.42, Lon -117.53</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0.994 — Top target. Basin and Range province, Nevada.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Lat 38.52, Lon -117.48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0.991</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Lat 38.38, Lon -117.61</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0.989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Lat 38.61, Lon -117.39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0.987</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Lat 38.44, Lon -117.71</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0.985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Lat 38.29, Lon -117.55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0.983</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Lat 38.55, Lon -117.62</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0.981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Lat 38.67, Lon -117.44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0.979</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Lat 38.41, Lon -117.82</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0.977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Lat 38.35, Lon -117.42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 = 0.975</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160"/>
              <w:bottom w:type="dxa" w:w="120"/>
              <w:right w:type="dxa" w:w="160"/>
            </w:tcMar>
          </w:tcPr>
          <w:p>
            <w:pPr>
              <w:spacing w:after="60"/>
            </w:pPr>
            <w:r>
              <w:rPr>
                <w:rFonts w:ascii="Arial" w:cs="Arial" w:eastAsia="Arial" w:hAnsi="Arial"/>
                <w:b/>
                <w:bCs/>
                <w:color w:val="1E8449"/>
                <w:sz w:val="20"/>
                <w:szCs w:val="20"/>
              </w:rPr>
              <w:t xml:space="preserve">Geographic observation</w:t>
            </w:r>
          </w:p>
          <w:p>
            <w:r>
              <w:rPr>
                <w:rFonts w:ascii="Arial" w:cs="Arial" w:eastAsia="Arial" w:hAnsi="Arial"/>
                <w:color w:val="2C3E50"/>
                <w:sz w:val="19"/>
                <w:szCs w:val="19"/>
              </w:rPr>
              <w:t xml:space="preserve">The top targets cluster around latitude 38.4, longitude -117.5 — the Tonopah district area of central Nevada. This is geologically consistent: Tonopah sits at the intersection of the Walker Lane and the Basin and Range, hosts historic silver-gold mineralisation, and shows elevated copper and nickel in the USGS geochemistry dataset. The model independently recovered a known prospective area.</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5.2  High Probability Target Distribution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Count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 &gt; 0.9</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1,847 locations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 &gt; 0.8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5,770 locations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 &gt; 0.7</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9,234 locations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 &gt; 0.5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18,642 locations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 &lt; 0.2</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41,205 locations (background)</w:t>
            </w:r>
          </w:p>
        </w:tc>
      </w:tr>
    </w:tbl>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6. Interview Preparation</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Q: Your model got AUC 1.0 at first. What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Data leakage. Three separate sources. First, I used mineralisation_score as a label proxy but included the z-scores that compute it as features — circular by construction. Second, after fixing that, I discovered that deposit_probability and ml_rank from a previous run had been saved into the base DataFrame and were still in the feature set. Third, dist_to_boundary_km was correlated with the mining district labels I was using. Each time I fixed one leak the AUC dropped closer to an honest number. The final clean model uses only local geology-stratified z-scores and magnetic features with labels from known mining districts, giving AUC 0.90.</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Q: Why did you use proximity to mining districts as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Because the alternative — using the composite mineralisation score — creates a circular dependency. The mineralisation score is built from the same z-scores we use as features. Using it as a label means the model is just learning to invert its own inputs. Mining districts are independent ground truth: these are locations where economic mineralisation was confirmed through decades of mining activity. They are not derived from our feature data in any way.</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Q: Why is your AUC 0.90 and not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Because we deliberately removed features that would inflate it artificially. A geologist who knows a location's proximity to a known district has an easy job predicting it. We gave the model only geochemistry local z-scores and magnetic anomalies — neither of which directly encodes district proximity. AUC 0.90 means the model has genuinely learned something about the relationship between geochemical and geophysical signatures and deposit occurrence. That is harder and more valuable than a model that memorises spatial proximity.</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Q: What does the feature importance plot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The geochemistry features — copper_zscore_local and nickel_zscore_local — dominate. This makes geological sense: local geochemical anomalies are the most direct surface expression of underlying mineralisation. The magnetic features contribute meaningful secondary signal, particularly geo4_mag_residual_nT which captures shallow magnetic sources after regional trend removal. The pseudogravity feature ranks lower because it highlights deep sources which are less likely to produce surface geochemical anomalies at the scale we are working at.</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Q: How does this connect to Projects 1 through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Project 1 produced geochemistry features — 74,349 surface sample locations with element z-scores. Project 2 produced satellite spectral features — excluded here due to a coordinate mismatch but the join infrastructure was built. Project 3 produced drill hole composites — the grade data validated that our geochemical anomalies correspond to real subsurface mineralisation. Project 4 produced magnetic anomaly features — which feed directly into the model as the geophysics signal. Project 5 is the integration layer that combines all of these into a ranked targeting output.</w:t>
            </w:r>
          </w:p>
        </w:tc>
      </w:tr>
    </w:tbl>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7. Output Files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05_ml_predictions.parquet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74,349 rows with deposit_probability, ml_prediction, ml_rank, and all input features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01_feature_importance.png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Horizontal bar chart of XGBoost feature importances, colour-coded by data source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02_deposit_probability_map.png</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Two-panel map: full probability surface + high-probability targets on dark background</w:t>
            </w:r>
          </w:p>
        </w:tc>
      </w:tr>
    </w:tbl>
    <w:p>
      <w:pPr>
        <w:spacing w:after="100" w:before="10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8. Tech Stack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XGBoost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Gradient boosted tree classifier — industry standard for tabular 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MLflow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Experiment tracking — logs params, metrics, model artifacts per run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scikit-learn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BallTree spatial join, train/test split, imputer, metrics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pandas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DataFrame operations, feature matrix construction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NumPy</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Array operations, label assignment, feature computation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Matplotlib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Feature importance plot, deposit probability map</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PyArrow</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Parquet I/O for all inputs and outputs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Databricks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Serverless cloud execution — GCP Free Edition</w:t>
            </w:r>
          </w:p>
        </w:tc>
      </w:tr>
    </w:tbl>
    <w:p>
      <w:pPr>
        <w:spacing w:after="100" w:before="10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9. GitHub</w:t>
      </w:r>
    </w:p>
    <w:p>
      <w:pPr>
        <w:spacing w:after="100" w:before="100"/>
      </w:pPr>
      <w:r>
        <w:t xml:space="preserve"/>
      </w:r>
    </w:p>
    <w:p>
      <w:pPr>
        <w:spacing w:after="80" w:before="80"/>
      </w:pPr>
      <w:r>
        <w:rPr>
          <w:rFonts w:ascii="Arial" w:cs="Arial" w:eastAsia="Arial" w:hAnsi="Arial"/>
          <w:color w:val="2C3E50"/>
          <w:sz w:val="20"/>
          <w:szCs w:val="20"/>
        </w:rPr>
        <w:t xml:space="preserve">github.com/abhinav2627/critical-minerals-pipeline</w:t>
      </w:r>
    </w:p>
    <w:p>
      <w:pPr>
        <w:spacing w:after="100" w:before="100"/>
      </w:pPr>
      <w:r>
        <w:t xml:space="preserve"/>
      </w:r>
    </w:p>
    <w:p>
      <w:pPr>
        <w:spacing w:after="80" w:before="80"/>
      </w:pPr>
      <w:r>
        <w:rPr>
          <w:rFonts w:ascii="Arial" w:cs="Arial" w:eastAsia="Arial" w:hAnsi="Arial"/>
          <w:color w:val="2C3E50"/>
          <w:sz w:val="20"/>
          <w:szCs w:val="20"/>
        </w:rPr>
        <w:t xml:space="preserve">Project 5 of a 10-project geoscience data engineering series. This is the ML integration layer that brings together geochemistry (P1), satellite (P2), drilling (P3), and geophysics (P4) into a single deposit probability output. Projects 6-10 add dbt transformation, Airflow orchestration, real-time streaming, lakehouse architecture, and a production FastAPI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tabs>
        <w:tab w:val="right" w:pos="9360"/>
      </w:tabs>
    </w:pPr>
    <w:r>
      <w:rPr>
        <w:rFonts w:ascii="Arial" w:cs="Arial" w:eastAsia="Arial" w:hAnsi="Arial"/>
        <w:color w:val="7F8C8D"/>
        <w:sz w:val="16"/>
        <w:szCs w:val="16"/>
      </w:rPr>
      <w:t xml:space="preserve">github.com/abhinav2627/critical-minerals-pipeline</w:t>
    </w:r>
    <w:r>
      <w:rPr>
        <w:rFonts w:ascii="Arial" w:cs="Arial" w:eastAsia="Arial" w:hAnsi="Arial"/>
        <w:color w:val="7F8C8D"/>
        <w:sz w:val="16"/>
        <w:szCs w:val="16"/>
      </w:rPr>
      <w:t xml:space="preserve">	Geoscience Data Engineering Series — Project 5 of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tabs>
        <w:tab w:val="right" w:pos="9360"/>
      </w:tabs>
    </w:pPr>
    <w:r>
      <w:rPr>
        <w:rFonts w:ascii="Arial" w:cs="Arial" w:eastAsia="Arial" w:hAnsi="Arial"/>
        <w:color w:val="7F8C8D"/>
        <w:sz w:val="18"/>
        <w:szCs w:val="18"/>
      </w:rPr>
      <w:t xml:space="preserve">Project 5 — ML Deposit Predictor</w:t>
    </w:r>
    <w:r>
      <w:rPr>
        <w:rFonts w:ascii="Arial" w:cs="Arial" w:eastAsia="Arial" w:hAnsi="Arial"/>
        <w:color w:val="7F8C8D"/>
        <w:sz w:val="18"/>
        <w:szCs w:val="18"/>
      </w:rPr>
      <w:t xml:space="preserve">	Abhinav Mandal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2026-04-08T11:48:14.296Z</dcterms:created>
  <dcterms:modified xsi:type="dcterms:W3CDTF">2026-04-08T11:48:14.297Z</dcterms:modified>
</cp:coreProperties>
</file>

<file path=docProps/custom.xml><?xml version="1.0" encoding="utf-8"?>
<Properties xmlns="http://schemas.openxmlformats.org/officeDocument/2006/custom-properties" xmlns:vt="http://schemas.openxmlformats.org/officeDocument/2006/docPropsVTypes"/>
</file>