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val="false"/>
          <w:bCs w:val="false"/>
          <w:color w:val="7F8C8D"/>
          <w:sz w:val="24"/>
          <w:szCs w:val="24"/>
        </w:rPr>
        <w:t xml:space="preserve">Project 1</w:t>
      </w:r>
    </w:p>
    <w:p>
      <w:pPr>
        <w:spacing w:before="80" w:after="120"/>
      </w:pPr>
      <w:r>
        <w:rPr>
          <w:rFonts w:ascii="Arial" w:cs="Arial" w:eastAsia="Arial" w:hAnsi="Arial"/>
          <w:b/>
          <w:bCs/>
          <w:color w:val="1F5C99"/>
          <w:sz w:val="52"/>
          <w:szCs w:val="52"/>
        </w:rPr>
        <w:t xml:space="preserve">Critical Minerals Geoscience Pipeline</w:t>
      </w:r>
    </w:p>
    <w:p>
      <w:pPr>
        <w:spacing w:before="0" w:after="80"/>
      </w:pPr>
      <w:r>
        <w:rPr>
          <w:rFonts w:ascii="Arial" w:cs="Arial" w:eastAsia="Arial" w:hAnsi="Arial"/>
          <w:color w:val="7F8C8D"/>
          <w:sz w:val="24"/>
          <w:szCs w:val="24"/>
        </w:rPr>
        <w:t xml:space="preserve">End-to-end data engineering pipeline for critical mineral exploration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5C99"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74,408</w:t>
            </w:r>
          </w:p>
          <w:p>
            <w:pPr>
              <w:jc w:val="center"/>
            </w:pPr>
            <w:r>
              <w:rPr>
                <w:rFonts w:ascii="Arial" w:cs="Arial" w:eastAsia="Arial" w:hAnsi="Arial"/>
                <w:color w:val="D6EAF8"/>
                <w:sz w:val="18"/>
                <w:szCs w:val="18"/>
              </w:rPr>
              <w:t xml:space="preserve">Real samples</w:t>
            </w:r>
          </w:p>
        </w:tc>
        <w:tc>
          <w:tcPr>
            <w:tcW w:type="dxa" w:w="2340"/>
            <w:tcBorders>
              <w:top w:val="none" w:color="FFFFFF" w:sz="0"/>
              <w:left w:val="none" w:color="FFFFFF" w:sz="0"/>
              <w:bottom w:val="none" w:color="FFFFFF" w:sz="0"/>
              <w:right w:val="none" w:color="FFFFFF" w:sz="0"/>
            </w:tcBorders>
            <w:shd w:fill="2C3E50"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83</w:t>
            </w:r>
          </w:p>
          <w:p>
            <w:pPr>
              <w:jc w:val="center"/>
            </w:pPr>
            <w:r>
              <w:rPr>
                <w:rFonts w:ascii="Arial" w:cs="Arial" w:eastAsia="Arial" w:hAnsi="Arial"/>
                <w:color w:val="D6EAF8"/>
                <w:sz w:val="18"/>
                <w:szCs w:val="18"/>
              </w:rPr>
              <w:t xml:space="preserve">Features</w:t>
            </w:r>
          </w:p>
        </w:tc>
        <w:tc>
          <w:tcPr>
            <w:tcW w:type="dxa" w:w="2340"/>
            <w:tcBorders>
              <w:top w:val="none" w:color="FFFFFF" w:sz="0"/>
              <w:left w:val="none" w:color="FFFFFF" w:sz="0"/>
              <w:bottom w:val="none" w:color="FFFFFF" w:sz="0"/>
              <w:right w:val="none" w:color="FFFFFF" w:sz="0"/>
            </w:tcBorders>
            <w:shd w:fill="1F5C99"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1,487</w:t>
            </w:r>
          </w:p>
          <w:p>
            <w:pPr>
              <w:jc w:val="center"/>
            </w:pPr>
            <w:r>
              <w:rPr>
                <w:rFonts w:ascii="Arial" w:cs="Arial" w:eastAsia="Arial" w:hAnsi="Arial"/>
                <w:color w:val="D6EAF8"/>
                <w:sz w:val="18"/>
                <w:szCs w:val="18"/>
              </w:rPr>
              <w:t xml:space="preserve">Drill targets</w:t>
            </w:r>
          </w:p>
        </w:tc>
        <w:tc>
          <w:tcPr>
            <w:tcW w:type="dxa" w:w="2340"/>
            <w:tcBorders>
              <w:top w:val="none" w:color="FFFFFF" w:sz="0"/>
              <w:left w:val="none" w:color="FFFFFF" w:sz="0"/>
              <w:bottom w:val="none" w:color="FFFFFF" w:sz="0"/>
              <w:right w:val="none" w:color="FFFFFF" w:sz="0"/>
            </w:tcBorders>
            <w:shd w:fill="2C3E50" w:val="clear"/>
            <w:tcMar>
              <w:top w:type="dxa" w:w="160"/>
              <w:left w:type="dxa" w:w="120"/>
              <w:bottom w:type="dxa" w:w="160"/>
              <w:right w:type="dxa" w:w="120"/>
            </w:tcMar>
          </w:tcPr>
          <w:p>
            <w:pPr>
              <w:jc w:val="center"/>
            </w:pPr>
            <w:r>
              <w:rPr>
                <w:rFonts w:ascii="Arial" w:cs="Arial" w:eastAsia="Arial" w:hAnsi="Arial"/>
                <w:b/>
                <w:bCs/>
                <w:color w:val="FFFFFF"/>
                <w:sz w:val="36"/>
                <w:szCs w:val="36"/>
              </w:rPr>
              <w:t xml:space="preserve">6 stages</w:t>
            </w:r>
          </w:p>
          <w:p>
            <w:pPr>
              <w:jc w:val="center"/>
            </w:pPr>
            <w:r>
              <w:rPr>
                <w:rFonts w:ascii="Arial" w:cs="Arial" w:eastAsia="Arial" w:hAnsi="Arial"/>
                <w:color w:val="D6EAF8"/>
                <w:sz w:val="18"/>
                <w:szCs w:val="18"/>
              </w:rPr>
              <w:t xml:space="preserve">Pipeline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7F8C8D"/>
                <w:sz w:val="18"/>
                <w:szCs w:val="18"/>
              </w:rPr>
              <w:t xml:space="preserve">Author</w:t>
            </w:r>
          </w:p>
          <w:p>
            <w:r>
              <w:rPr>
                <w:rFonts w:ascii="Arial" w:cs="Arial" w:eastAsia="Arial" w:hAnsi="Arial"/>
                <w:color w:val="2C3E50"/>
                <w:sz w:val="20"/>
                <w:szCs w:val="20"/>
              </w:rPr>
              <w:t xml:space="preserve">Abhinav Mandal</w:t>
            </w:r>
          </w:p>
          <w:p>
            <w:r>
              <w:rPr>
                <w:rFonts w:ascii="Arial" w:cs="Arial" w:eastAsia="Arial" w:hAnsi="Arial"/>
                <w:color w:val="7F8C8D"/>
                <w:sz w:val="18"/>
                <w:szCs w:val="18"/>
              </w:rPr>
              <w:t xml:space="preserve">Data Engineer</w:t>
            </w:r>
          </w:p>
        </w:tc>
        <w:tc>
          <w:tcPr>
            <w:tcW w:type="dxa" w:w="46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7F8C8D"/>
                <w:sz w:val="18"/>
                <w:szCs w:val="18"/>
              </w:rPr>
              <w:t xml:space="preserve">Tech Stack</w:t>
            </w:r>
          </w:p>
          <w:p>
            <w:r>
              <w:rPr>
                <w:rFonts w:ascii="Arial" w:cs="Arial" w:eastAsia="Arial" w:hAnsi="Arial"/>
                <w:color w:val="2C3E50"/>
                <w:sz w:val="18"/>
                <w:szCs w:val="18"/>
              </w:rPr>
              <w:t xml:space="preserve">Databricks Serverless  ·  GeoPandas  ·  PyProj</w:t>
            </w:r>
          </w:p>
          <w:p>
            <w:r>
              <w:rPr>
                <w:rFonts w:ascii="Arial" w:cs="Arial" w:eastAsia="Arial" w:hAnsi="Arial"/>
                <w:color w:val="2C3E50"/>
                <w:sz w:val="18"/>
                <w:szCs w:val="18"/>
              </w:rPr>
              <w:t xml:space="preserve">pandas  ·  NumPy  ·  Parquet  ·  dbt  ·  Airflow</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1. Project Overview</w:t>
      </w:r>
    </w:p>
    <w:p>
      <w:pPr>
        <w:spacing w:before="120" w:after="120"/>
      </w:pPr>
      <w:r>
        <w:t xml:space="preserve"/>
      </w:r>
    </w:p>
    <w:p>
      <w:pPr>
        <w:spacing w:before="80" w:after="80"/>
      </w:pPr>
      <w:r>
        <w:rPr>
          <w:rFonts w:ascii="Arial" w:cs="Arial" w:eastAsia="Arial" w:hAnsi="Arial"/>
          <w:color w:val="2C3E50"/>
          <w:sz w:val="20"/>
          <w:szCs w:val="20"/>
        </w:rPr>
        <w:t xml:space="preserve">The Critical Minerals Geoscience Pipeline is a production-grade data engineering system built on Databricks Serverless. It ingests 74,408 real soil and stream sediment samples from the USGS National Geochemical Survey and transforms them through six pipeline stages into ML-ready exploration targeting outputs.</w:t>
      </w:r>
    </w:p>
    <w:p>
      <w:pPr>
        <w:spacing w:before="120" w:after="120"/>
      </w:pPr>
      <w:r>
        <w:t xml:space="preserve"/>
      </w:r>
    </w:p>
    <w:p>
      <w:pPr>
        <w:spacing w:before="80" w:after="80"/>
      </w:pPr>
      <w:r>
        <w:rPr>
          <w:rFonts w:ascii="Arial" w:cs="Arial" w:eastAsia="Arial" w:hAnsi="Arial"/>
          <w:color w:val="2C3E50"/>
          <w:sz w:val="20"/>
          <w:szCs w:val="20"/>
        </w:rPr>
        <w:t xml:space="preserve">The pipeline identifies 1,487 priority drill targets ranked by a composite mineralisation score — the kind of output that directly drives exploration decisions at companies like Earth AI, BHP, and KoBold Metals.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Why this project matters</w:t>
            </w:r>
          </w:p>
          <w:p>
            <w:r>
              <w:rPr>
                <w:rFonts w:ascii="Arial" w:cs="Arial" w:eastAsia="Arial" w:hAnsi="Arial"/>
                <w:color w:val="2C3E50"/>
                <w:sz w:val="19"/>
                <w:szCs w:val="19"/>
              </w:rPr>
              <w:t xml:space="preserve">Critical minerals — copper, nickel, cobalt, lithium — are the foundation of every EV battery, wind turbine, and solar panel. Finding them faster and more efficiently is one of the most important data engineering problems of the next decade. This pipeline demonstrates the complete data stack required to do it.</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1.1  Problem Statement</w:t>
      </w:r>
    </w:p>
    <w:p>
      <w:pPr>
        <w:spacing w:before="80" w:after="80"/>
      </w:pPr>
      <w:r>
        <w:rPr>
          <w:rFonts w:ascii="Arial" w:cs="Arial" w:eastAsia="Arial" w:hAnsi="Arial"/>
          <w:color w:val="2C3E50"/>
          <w:sz w:val="20"/>
          <w:szCs w:val="20"/>
        </w:rPr>
        <w:t xml:space="preserve">Geoscience data arrives from the field in a state that no ML model can use directly:</w:t>
      </w:r>
    </w:p>
    <w:p>
      <w:pPr>
        <w:spacing w:before="120" w:after="120"/>
      </w:pPr>
      <w:r>
        <w:t xml:space="preserve"/>
      </w:r>
    </w:p>
    <w:p>
      <w:pPr>
        <w:pStyle w:val="ListParagraph"/>
        <w:numPr>
          <w:ilvl w:val="0"/>
          <w:numId w:val="2"/>
        </w:numPr>
        <w:spacing w:before="40" w:after="40"/>
      </w:pPr>
      <w:r>
        <w:rPr>
          <w:rFonts w:ascii="Arial" w:cs="Arial" w:eastAsia="Arial" w:hAnsi="Arial"/>
          <w:color w:val="2C3E50"/>
          <w:sz w:val="20"/>
          <w:szCs w:val="20"/>
        </w:rPr>
        <w:t xml:space="preserve">Negative values that represent below-detection-limit readings, not real negatives</w:t>
      </w:r>
    </w:p>
    <w:p>
      <w:pPr>
        <w:pStyle w:val="ListParagraph"/>
        <w:numPr>
          <w:ilvl w:val="0"/>
          <w:numId w:val="2"/>
        </w:numPr>
        <w:spacing w:before="40" w:after="40"/>
      </w:pPr>
      <w:r>
        <w:rPr>
          <w:rFonts w:ascii="Arial" w:cs="Arial" w:eastAsia="Arial" w:hAnsi="Arial"/>
          <w:color w:val="2C3E50"/>
          <w:sz w:val="20"/>
          <w:szCs w:val="20"/>
        </w:rPr>
        <w:t xml:space="preserve">Mixed units across elements (gold in ppb, copper in ppm)</w:t>
      </w:r>
    </w:p>
    <w:p>
      <w:pPr>
        <w:pStyle w:val="ListParagraph"/>
        <w:numPr>
          <w:ilvl w:val="0"/>
          <w:numId w:val="2"/>
        </w:numPr>
        <w:spacing w:before="40" w:after="40"/>
      </w:pPr>
      <w:r>
        <w:rPr>
          <w:rFonts w:ascii="Arial" w:cs="Arial" w:eastAsia="Arial" w:hAnsi="Arial"/>
          <w:color w:val="2C3E50"/>
          <w:sz w:val="20"/>
          <w:szCs w:val="20"/>
        </w:rPr>
        <w:t xml:space="preserve">Concentrations spanning 5 orders of magnitude (0.1 to 11,000 ppm)</w:t>
      </w:r>
    </w:p>
    <w:p>
      <w:pPr>
        <w:pStyle w:val="ListParagraph"/>
        <w:numPr>
          <w:ilvl w:val="0"/>
          <w:numId w:val="2"/>
        </w:numPr>
        <w:spacing w:before="40" w:after="40"/>
      </w:pPr>
      <w:r>
        <w:rPr>
          <w:rFonts w:ascii="Arial" w:cs="Arial" w:eastAsia="Arial" w:hAnsi="Arial"/>
          <w:color w:val="2C3E50"/>
          <w:sz w:val="20"/>
          <w:szCs w:val="20"/>
        </w:rPr>
        <w:t xml:space="preserve">Three different coordinate reference systems across data sources</w:t>
      </w:r>
    </w:p>
    <w:p>
      <w:pPr>
        <w:pStyle w:val="ListParagraph"/>
        <w:numPr>
          <w:ilvl w:val="0"/>
          <w:numId w:val="2"/>
        </w:numPr>
        <w:spacing w:before="40" w:after="40"/>
      </w:pPr>
      <w:r>
        <w:rPr>
          <w:rFonts w:ascii="Arial" w:cs="Arial" w:eastAsia="Arial" w:hAnsi="Arial"/>
          <w:color w:val="2C3E50"/>
          <w:sz w:val="20"/>
          <w:szCs w:val="20"/>
        </w:rPr>
        <w:t xml:space="preserve">Missing metadata, evolving schemas, inconsistent lab method codes</w:t>
      </w:r>
    </w:p>
    <w:p>
      <w:pPr>
        <w:spacing w:before="120" w:after="120"/>
      </w:pPr>
      <w:r>
        <w:t xml:space="preserve"/>
      </w:r>
    </w:p>
    <w:p>
      <w:pPr>
        <w:spacing w:before="80" w:after="80"/>
      </w:pPr>
      <w:r>
        <w:rPr>
          <w:rFonts w:ascii="Arial" w:cs="Arial" w:eastAsia="Arial" w:hAnsi="Arial"/>
          <w:color w:val="2C3E50"/>
          <w:sz w:val="20"/>
          <w:szCs w:val="20"/>
        </w:rPr>
        <w:t xml:space="preserve">This pipeline solves every one of these problems systematically, in reproducible stages, with a full audit trail.</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1.2  Data Source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Name</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USGS National Geochemical Survey (NGS)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https://mrdata.usgs.gov/geochem/</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Format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ESRI Shapefile (.shp, .dbf, .shx, .prj)</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Samples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74,408 soil and stream sediment samples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Columns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54 geochemical columns per sample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Elements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 Ca, Fe, K, Mg, Cu, Ni, Co, Li, Zn, Pb, Au, Mo, Mn, As, Cr + 38 more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CRS (raw)</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NAD27 (EPSG:4267)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Coverage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Contiguous United States, Alaska, Hawaii</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License</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Public domain — U.S. Government work</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2. Pipeline Architecture</w:t>
      </w:r>
    </w:p>
    <w:p>
      <w:pPr>
        <w:spacing w:before="120" w:after="120"/>
      </w:pPr>
      <w:r>
        <w:t xml:space="preserve"/>
      </w:r>
    </w:p>
    <w:p>
      <w:pPr>
        <w:spacing w:before="80" w:after="80"/>
      </w:pPr>
      <w:r>
        <w:rPr>
          <w:rFonts w:ascii="Arial" w:cs="Arial" w:eastAsia="Arial" w:hAnsi="Arial"/>
          <w:color w:val="2C3E50"/>
          <w:sz w:val="20"/>
          <w:szCs w:val="20"/>
        </w:rPr>
        <w:t xml:space="preserve">The pipeline follows a linear 6-stage architecture. Each stage reads from the previous stage's Parquet output and writes its own. This design ensures every stage is independently testable and re-runnable without re-processing earlier stages.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Notebook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Stage 1</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Ingestion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01_ingest.py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Stage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Standardisation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02_standardise.py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Stage 3</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Validation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03_validate.py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Stage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Geospatial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04_spatial.py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Stage 5</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Feature Engineering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05_features.py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Stage 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Visualisation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06_visualisation.py</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2.1  Stage 1 — Ingestion</w:t>
      </w:r>
    </w:p>
    <w:p>
      <w:pPr>
        <w:spacing w:before="80" w:after="80"/>
      </w:pPr>
      <w:r>
        <w:rPr>
          <w:rFonts w:ascii="Arial" w:cs="Arial" w:eastAsia="Arial" w:hAnsi="Arial"/>
          <w:color w:val="2C3E50"/>
          <w:sz w:val="20"/>
          <w:szCs w:val="20"/>
        </w:rPr>
        <w:t xml:space="preserve">Loads the raw USGS Shapefile into a GeoPandas GeoDataFrame. The Shapefile format consists of five files that must be present together: .shp (geometry), .dbf (attributes), .shx (index), .prj (CRS definition), and .met (metadata).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Key learning</w:t>
            </w:r>
          </w:p>
          <w:p>
            <w:r>
              <w:rPr>
                <w:rFonts w:ascii="Arial" w:cs="Arial" w:eastAsia="Arial" w:hAnsi="Arial"/>
                <w:color w:val="2C3E50"/>
                <w:sz w:val="19"/>
                <w:szCs w:val="19"/>
              </w:rPr>
              <w:t xml:space="preserve">Shapefiles are not a single file. They are a family of 4-5 files that must be kept together. Loading only the .shp without the .dbf loses all attribute data. The .prj file defines the coordinate system — without it GeoPandas cannot reproject correctly.</w:t>
            </w:r>
          </w:p>
        </w:tc>
      </w:tr>
    </w:tbl>
    <w:p>
      <w:pPr>
        <w:spacing w:before="120" w:after="120"/>
      </w:pPr>
      <w:r>
        <w:t xml:space="preserve"/>
      </w:r>
    </w:p>
    <w:p>
      <w:pPr>
        <w:spacing w:before="80" w:after="80"/>
      </w:pPr>
      <w:r>
        <w:rPr>
          <w:rFonts w:ascii="Arial" w:cs="Arial" w:eastAsia="Arial" w:hAnsi="Arial"/>
          <w:color w:val="2C3E50"/>
          <w:sz w:val="20"/>
          <w:szCs w:val="20"/>
        </w:rPr>
        <w:t xml:space="preserve">Output: 74,408 rows loaded into memory as a GeoDataFrame with geometry column automatically populated from the .shp file.</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2.2  Stage 2 — Standardisation</w:t>
      </w:r>
    </w:p>
    <w:p>
      <w:pPr>
        <w:spacing w:before="80" w:after="80"/>
      </w:pPr>
      <w:r>
        <w:rPr>
          <w:rFonts w:ascii="Arial" w:cs="Arial" w:eastAsia="Arial" w:hAnsi="Arial"/>
          <w:color w:val="2C3E50"/>
          <w:sz w:val="20"/>
          <w:szCs w:val="20"/>
        </w:rPr>
        <w:t xml:space="preserve">The most complex stage. Handles the specific data quality issues present in real USGS geochemical data.</w:t>
      </w:r>
    </w:p>
    <w:p>
      <w:pPr>
        <w:spacing w:before="120" w:after="120"/>
      </w:pPr>
      <w:r>
        <w:t xml:space="preserve"/>
      </w:r>
    </w:p>
    <w:p>
      <w:pPr>
        <w:pStyle w:val="Heading3"/>
        <w:spacing w:before="200" w:after="80"/>
      </w:pPr>
      <w:r>
        <w:rPr>
          <w:rFonts w:ascii="Arial" w:cs="Arial" w:eastAsia="Arial" w:hAnsi="Arial"/>
          <w:b/>
          <w:bCs/>
          <w:color w:val="2C3E50"/>
          <w:sz w:val="22"/>
          <w:szCs w:val="22"/>
        </w:rPr>
        <w:t xml:space="preserve">Below-Detection-Limit (BDL) Substitution</w:t>
      </w:r>
    </w:p>
    <w:p>
      <w:pPr>
        <w:spacing w:before="80" w:after="80"/>
      </w:pPr>
      <w:r>
        <w:rPr>
          <w:rFonts w:ascii="Arial" w:cs="Arial" w:eastAsia="Arial" w:hAnsi="Arial"/>
          <w:color w:val="2C3E50"/>
          <w:sz w:val="20"/>
          <w:szCs w:val="20"/>
        </w:rPr>
        <w:t xml:space="preserve">In raw USGS data, negative values indicate that the element was measured but fell below the instrument's detection threshold. For example, AU_ICP40 = -8.0 means gold was detected below 8 ppb.</w:t>
      </w:r>
    </w:p>
    <w:p>
      <w:pPr>
        <w:spacing w:before="120" w:after="120"/>
      </w:pPr>
      <w:r>
        <w:t xml:space="preserve"/>
      </w:r>
    </w:p>
    <w:p>
      <w:pPr>
        <w:spacing w:before="80" w:after="80"/>
      </w:pPr>
      <w:r>
        <w:rPr>
          <w:rFonts w:ascii="Arial" w:cs="Arial" w:eastAsia="Arial" w:hAnsi="Arial"/>
          <w:color w:val="2C3E50"/>
          <w:sz w:val="20"/>
          <w:szCs w:val="20"/>
        </w:rPr>
        <w:t xml:space="preserve">Industry standard handling: substitute with abs(value) / 2. A value of -8.0 becomes 4.0 ppb. This preserves the information that the element was present at a low level, without introducing bias.</w:t>
      </w:r>
    </w:p>
    <w:p>
      <w:pPr>
        <w:spacing w:before="120" w:after="120"/>
      </w:pPr>
      <w:r>
        <w:t xml:space="preserve"/>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series = series.apply(lambda x: abs(x) / 2.0 if pd.notna(x) and x &lt; 0 else x)</w:t>
      </w:r>
    </w:p>
    <w:p>
      <w:pPr>
        <w:spacing w:before="120" w:after="120"/>
      </w:pPr>
      <w:r>
        <w:t xml:space="preserve"/>
      </w:r>
    </w:p>
    <w:p>
      <w:pPr>
        <w:pStyle w:val="Heading3"/>
        <w:spacing w:before="200" w:after="80"/>
      </w:pPr>
      <w:r>
        <w:rPr>
          <w:rFonts w:ascii="Arial" w:cs="Arial" w:eastAsia="Arial" w:hAnsi="Arial"/>
          <w:b/>
          <w:bCs/>
          <w:color w:val="2C3E50"/>
          <w:sz w:val="22"/>
          <w:szCs w:val="22"/>
        </w:rPr>
        <w:t xml:space="preserve">Unit Conversion</w:t>
      </w:r>
    </w:p>
    <w:p>
      <w:pPr>
        <w:spacing w:before="80" w:after="80"/>
      </w:pPr>
      <w:r>
        <w:rPr>
          <w:rFonts w:ascii="Arial" w:cs="Arial" w:eastAsia="Arial" w:hAnsi="Arial"/>
          <w:color w:val="2C3E50"/>
          <w:sz w:val="20"/>
          <w:szCs w:val="20"/>
        </w:rPr>
        <w:t xml:space="preserve">Gold (AU_ICP40) is measured in parts per billion (ppb) in the raw data. All other elements are in parts per million (ppm). Comparing them without conversion would make gold appear 1,000x more abundant than it actually is.</w:t>
      </w:r>
    </w:p>
    <w:p>
      <w:pPr>
        <w:spacing w:before="120" w:after="120"/>
      </w:pPr>
      <w:r>
        <w:t xml:space="preserve"/>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df['gold_ppm'] = df['gold_ppm'] * 0.001  # ppb to ppm</w:t>
      </w:r>
    </w:p>
    <w:p>
      <w:pPr>
        <w:spacing w:before="120" w:after="120"/>
      </w:pPr>
      <w:r>
        <w:t xml:space="preserve"/>
      </w:r>
    </w:p>
    <w:p>
      <w:pPr>
        <w:pStyle w:val="Heading3"/>
        <w:spacing w:before="200" w:after="80"/>
      </w:pPr>
      <w:r>
        <w:rPr>
          <w:rFonts w:ascii="Arial" w:cs="Arial" w:eastAsia="Arial" w:hAnsi="Arial"/>
          <w:b/>
          <w:bCs/>
          <w:color w:val="2C3E50"/>
          <w:sz w:val="22"/>
          <w:szCs w:val="22"/>
        </w:rPr>
        <w:t xml:space="preserve">CRS Reprojection</w:t>
      </w:r>
    </w:p>
    <w:p>
      <w:pPr>
        <w:spacing w:before="80" w:after="80"/>
      </w:pPr>
      <w:r>
        <w:rPr>
          <w:rFonts w:ascii="Arial" w:cs="Arial" w:eastAsia="Arial" w:hAnsi="Arial"/>
          <w:color w:val="2C3E50"/>
          <w:sz w:val="20"/>
          <w:szCs w:val="20"/>
        </w:rPr>
        <w:t xml:space="preserve">The raw data uses NAD27 (North American Datum 1927), a coordinate system based on a 1927 survey of North America. The pipeline reprojects to WGS84 (EPSG:4326), the modern global standard used by GPS, Google Maps, and all ML libraries. The difference between NAD27 and WGS84 can be up to 100 metres depending on location.</w:t>
      </w:r>
    </w:p>
    <w:p>
      <w:pPr>
        <w:spacing w:before="120" w:after="120"/>
      </w:pPr>
      <w:r>
        <w:t xml:space="preserve"/>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gdf = gdf.to_crs('EPSG:4326')</w:t>
      </w:r>
    </w:p>
    <w:p>
      <w:pPr>
        <w:spacing w:before="120" w:after="120"/>
      </w:pPr>
      <w:r>
        <w:t xml:space="preserve"/>
      </w:r>
    </w:p>
    <w:p>
      <w:pPr>
        <w:spacing w:before="80" w:after="80"/>
      </w:pPr>
      <w:r>
        <w:rPr>
          <w:rFonts w:ascii="Arial" w:cs="Arial" w:eastAsia="Arial" w:hAnsi="Arial"/>
          <w:color w:val="2C3E50"/>
          <w:sz w:val="20"/>
          <w:szCs w:val="20"/>
        </w:rPr>
        <w:t xml:space="preserve">Output: 74,349 clean rows (59 dropped — outside US bounding box), 22 columns, all element values in ppm, coordinates in WGS84.</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2.3  Stage 3 — Validation</w:t>
      </w:r>
    </w:p>
    <w:p>
      <w:pPr>
        <w:spacing w:before="80" w:after="80"/>
      </w:pPr>
      <w:r>
        <w:rPr>
          <w:rFonts w:ascii="Arial" w:cs="Arial" w:eastAsia="Arial" w:hAnsi="Arial"/>
          <w:color w:val="2C3E50"/>
          <w:sz w:val="20"/>
          <w:szCs w:val="20"/>
        </w:rPr>
        <w:t xml:space="preserve">Runs a 10-check quality assurance suite before any analysis begins. Checks are classified as CRITICAL (halts pipeline on failure) or WARNING (logs but continues).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Check Name</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minimum_row_count</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At least 1,000 rows must be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required_columns_present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latitude, longitude, copper_ppm must exist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no_missing_coordinates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Zero null lat/lon values allowed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coordinate_bounds_us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 samples within US bounding box</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no_duplicate_sample_ids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WARNING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No duplicate LABNO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copper_null_rate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Copper null rate must be below 50%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no_negative_element_values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WARNING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No negatives remaining after BDL substitution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copper_physically_plausible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copper values above 100,000 ppm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pipeline_metadata_present</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WARNING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Audit columns must be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sample_type_populated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sample_type null rate below 10%</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Why halt on critical failures?</w:t>
            </w:r>
          </w:p>
          <w:p>
            <w:r>
              <w:rPr>
                <w:rFonts w:ascii="Arial" w:cs="Arial" w:eastAsia="Arial" w:hAnsi="Arial"/>
                <w:color w:val="2C3E50"/>
                <w:sz w:val="19"/>
                <w:szCs w:val="19"/>
              </w:rPr>
              <w:t xml:space="preserve">Silent failures are worse than loud failures. If bad data passes validation and reaches the ML model, the model gives wrong predictions — but nobody knows why until months later when a drill hole comes back empty. Halting the pipeline immediately forces the data quality issue to be fixed at source.</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2.4  Stage 4 — Geospatial Processing</w:t>
      </w:r>
    </w:p>
    <w:p>
      <w:pPr>
        <w:spacing w:before="80" w:after="80"/>
      </w:pPr>
      <w:r>
        <w:rPr>
          <w:rFonts w:ascii="Arial" w:cs="Arial" w:eastAsia="Arial" w:hAnsi="Arial"/>
          <w:color w:val="2C3E50"/>
          <w:sz w:val="20"/>
          <w:szCs w:val="20"/>
        </w:rPr>
        <w:t xml:space="preserve">Adds spatial context to each sample. Three operations are performed:</w:t>
      </w:r>
    </w:p>
    <w:p>
      <w:pPr>
        <w:spacing w:before="120" w:after="120"/>
      </w:pPr>
      <w:r>
        <w:t xml:space="preserve"/>
      </w:r>
    </w:p>
    <w:p>
      <w:pPr>
        <w:pStyle w:val="ListParagraph"/>
        <w:numPr>
          <w:ilvl w:val="0"/>
          <w:numId w:val="2"/>
        </w:numPr>
        <w:spacing w:before="40" w:after="40"/>
      </w:pPr>
      <w:r>
        <w:rPr>
          <w:rFonts w:ascii="Arial" w:cs="Arial" w:eastAsia="Arial" w:hAnsi="Arial"/>
          <w:color w:val="2C3E50"/>
          <w:sz w:val="20"/>
          <w:szCs w:val="20"/>
        </w:rPr>
        <w:t xml:space="preserve">Grid assignment: each sample is assigned to a 10km x 10km survey grid cell using floor division of coordinates</w:t>
      </w:r>
    </w:p>
    <w:p>
      <w:pPr>
        <w:pStyle w:val="ListParagraph"/>
        <w:numPr>
          <w:ilvl w:val="0"/>
          <w:numId w:val="2"/>
        </w:numPr>
        <w:spacing w:before="40" w:after="40"/>
      </w:pPr>
      <w:r>
        <w:rPr>
          <w:rFonts w:ascii="Arial" w:cs="Arial" w:eastAsia="Arial" w:hAnsi="Arial"/>
          <w:color w:val="2C3E50"/>
          <w:sz w:val="20"/>
          <w:szCs w:val="20"/>
        </w:rPr>
        <w:t xml:space="preserve">Geology zones: each sample is assigned to a geological province based on longitude bands (Pacific Coast Ranges, Sierra Nevada Batholith, Basin and Range, Colorado Plateau, Rocky Mountains, Great Plains)</w:t>
      </w:r>
    </w:p>
    <w:p>
      <w:pPr>
        <w:pStyle w:val="ListParagraph"/>
        <w:numPr>
          <w:ilvl w:val="0"/>
          <w:numId w:val="2"/>
        </w:numPr>
        <w:spacing w:before="40" w:after="40"/>
      </w:pPr>
      <w:r>
        <w:rPr>
          <w:rFonts w:ascii="Arial" w:cs="Arial" w:eastAsia="Arial" w:hAnsi="Arial"/>
          <w:color w:val="2C3E50"/>
          <w:sz w:val="20"/>
          <w:szCs w:val="20"/>
        </w:rPr>
        <w:t xml:space="preserve">Tectonic boundary proximity: distance to the four major US tectonic boundaries is computed in kilometres</w:t>
      </w:r>
    </w:p>
    <w:p>
      <w:pPr>
        <w:spacing w:before="120" w:after="120"/>
      </w:pPr>
      <w:r>
        <w:t xml:space="preserve"/>
      </w:r>
    </w:p>
    <w:p>
      <w:pPr>
        <w:spacing w:before="80" w:after="80"/>
      </w:pPr>
      <w:r>
        <w:rPr>
          <w:rFonts w:ascii="Arial" w:cs="Arial" w:eastAsia="Arial" w:hAnsi="Arial"/>
          <w:color w:val="2C3E50"/>
          <w:sz w:val="20"/>
          <w:szCs w:val="20"/>
        </w:rPr>
        <w:t xml:space="preserve">Output: 74,349 rows, 28 columns. New columns: grid_row, grid_col, grid_id, geology_unit, lithology, dist_to_boundary_km.</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2.5  Stage 5 — Feature Engineering</w:t>
      </w:r>
    </w:p>
    <w:p>
      <w:pPr>
        <w:spacing w:before="80" w:after="80"/>
      </w:pPr>
      <w:r>
        <w:rPr>
          <w:rFonts w:ascii="Arial" w:cs="Arial" w:eastAsia="Arial" w:hAnsi="Arial"/>
          <w:color w:val="2C3E50"/>
          <w:sz w:val="20"/>
          <w:szCs w:val="20"/>
        </w:rPr>
        <w:t xml:space="preserve">Transforms clean geochemical concentrations into ML-ready feature vectors. Six categories of features are engineered: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Feature Group</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Concentrations (ppm)</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11 columns — Cu, Ni, Co, Li, Zn, Pb, Au, Mo, Mn, As, Cr in ppm after unit conversion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Log transforms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11 columns — log1p applied to each element. Normalises log-normal distribution required by ML models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Global z-scores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11 columns — standard deviations from global dataset mean. Identifies anomalies at national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Local z-scores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11 columns — standard deviations within each geology unit. More sensitive — removes regional background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Pathfinder ratios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4 columns — Cu/Mo (porphyry), Co/Ni (laterite), Cu/Zn (VMS), As/Au (epithermal)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Grid aggregates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15 columns — mean, max, std per element per 10km survey cell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Spatial features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4 columns — grid_id, geology_unit, lithology, dist_to_boundary_km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Targeting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 columns — mineralisation_score, targeting_rank, is_drill_target</w:t>
            </w:r>
          </w:p>
        </w:tc>
      </w:tr>
    </w:tbl>
    <w:p>
      <w:pPr>
        <w:spacing w:before="120" w:after="120"/>
      </w:pPr>
      <w:r>
        <w:t xml:space="preserve"/>
      </w:r>
    </w:p>
    <w:p>
      <w:pPr>
        <w:pStyle w:val="Heading3"/>
        <w:spacing w:before="200" w:after="80"/>
      </w:pPr>
      <w:r>
        <w:rPr>
          <w:rFonts w:ascii="Arial" w:cs="Arial" w:eastAsia="Arial" w:hAnsi="Arial"/>
          <w:b/>
          <w:bCs/>
          <w:color w:val="2C3E50"/>
          <w:sz w:val="22"/>
          <w:szCs w:val="22"/>
        </w:rPr>
        <w:t xml:space="preserve">Mineralisation Score</w:t>
      </w:r>
    </w:p>
    <w:p>
      <w:pPr>
        <w:spacing w:before="80" w:after="80"/>
      </w:pPr>
      <w:r>
        <w:rPr>
          <w:rFonts w:ascii="Arial" w:cs="Arial" w:eastAsia="Arial" w:hAnsi="Arial"/>
          <w:color w:val="2C3E50"/>
          <w:sz w:val="20"/>
          <w:szCs w:val="20"/>
        </w:rPr>
        <w:t xml:space="preserve">The composite targeting score combines five element z-score anomalies with weights based on economic importance:</w:t>
      </w:r>
    </w:p>
    <w:p>
      <w:pPr>
        <w:spacing w:before="120" w:after="120"/>
      </w:pPr>
      <w:r>
        <w:t xml:space="preserve"/>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score = Cu_zscore x 0.35 + Ni_zscore x 0.25 + Co_zscore x 0.15 + Mo_zscore x 0.10 + Au_zscore x 0.15</w:t>
      </w:r>
    </w:p>
    <w:p>
      <w:pPr>
        <w:spacing w:before="120" w:after="120"/>
      </w:pPr>
      <w:r>
        <w:t xml:space="preserve"/>
      </w:r>
    </w:p>
    <w:p>
      <w:pPr>
        <w:spacing w:before="80" w:after="80"/>
      </w:pPr>
      <w:r>
        <w:rPr>
          <w:rFonts w:ascii="Arial" w:cs="Arial" w:eastAsia="Arial" w:hAnsi="Arial"/>
          <w:color w:val="2C3E50"/>
          <w:sz w:val="20"/>
          <w:szCs w:val="20"/>
        </w:rPr>
        <w:t xml:space="preserve">Samples in the top 2% by score are flagged as priority drill targets (is_drill_target = True).</w:t>
      </w:r>
    </w:p>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3. Key Results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5C99" w:val="clear"/>
            <w:tcMar>
              <w:top w:type="dxa" w:w="140"/>
              <w:left w:type="dxa" w:w="100"/>
              <w:bottom w:type="dxa" w:w="140"/>
              <w:right w:type="dxa" w:w="100"/>
            </w:tcMar>
          </w:tcPr>
          <w:p>
            <w:pPr>
              <w:jc w:val="center"/>
            </w:pPr>
            <w:r>
              <w:rPr>
                <w:rFonts w:ascii="Arial" w:cs="Arial" w:eastAsia="Arial" w:hAnsi="Arial"/>
                <w:b/>
                <w:bCs/>
                <w:color w:val="FFFFFF"/>
                <w:sz w:val="36"/>
                <w:szCs w:val="36"/>
              </w:rPr>
              <w:t xml:space="preserve">74,408</w:t>
            </w:r>
          </w:p>
          <w:p>
            <w:pPr>
              <w:jc w:val="center"/>
            </w:pPr>
            <w:r>
              <w:rPr>
                <w:rFonts w:ascii="Arial" w:cs="Arial" w:eastAsia="Arial" w:hAnsi="Arial"/>
                <w:color w:val="D6EAF8"/>
                <w:sz w:val="17"/>
                <w:szCs w:val="17"/>
              </w:rPr>
              <w:t xml:space="preserve">Raw samples ingested</w:t>
            </w:r>
          </w:p>
        </w:tc>
        <w:tc>
          <w:tcPr>
            <w:tcW w:type="dxa" w:w="2340"/>
            <w:tcBorders>
              <w:top w:val="none" w:color="FFFFFF" w:sz="0"/>
              <w:left w:val="none" w:color="FFFFFF" w:sz="0"/>
              <w:bottom w:val="none" w:color="FFFFFF" w:sz="0"/>
              <w:right w:val="none" w:color="FFFFFF" w:sz="0"/>
            </w:tcBorders>
            <w:shd w:fill="2C3E50" w:val="clear"/>
            <w:tcMar>
              <w:top w:type="dxa" w:w="140"/>
              <w:left w:type="dxa" w:w="100"/>
              <w:bottom w:type="dxa" w:w="140"/>
              <w:right w:type="dxa" w:w="100"/>
            </w:tcMar>
          </w:tcPr>
          <w:p>
            <w:pPr>
              <w:jc w:val="center"/>
            </w:pPr>
            <w:r>
              <w:rPr>
                <w:rFonts w:ascii="Arial" w:cs="Arial" w:eastAsia="Arial" w:hAnsi="Arial"/>
                <w:b/>
                <w:bCs/>
                <w:color w:val="FFFFFF"/>
                <w:sz w:val="36"/>
                <w:szCs w:val="36"/>
              </w:rPr>
              <w:t xml:space="preserve">74,349</w:t>
            </w:r>
          </w:p>
          <w:p>
            <w:pPr>
              <w:jc w:val="center"/>
            </w:pPr>
            <w:r>
              <w:rPr>
                <w:rFonts w:ascii="Arial" w:cs="Arial" w:eastAsia="Arial" w:hAnsi="Arial"/>
                <w:color w:val="D6EAF8"/>
                <w:sz w:val="17"/>
                <w:szCs w:val="17"/>
              </w:rPr>
              <w:t xml:space="preserve">Clean samples output</w:t>
            </w:r>
          </w:p>
        </w:tc>
        <w:tc>
          <w:tcPr>
            <w:tcW w:type="dxa" w:w="2340"/>
            <w:tcBorders>
              <w:top w:val="none" w:color="FFFFFF" w:sz="0"/>
              <w:left w:val="none" w:color="FFFFFF" w:sz="0"/>
              <w:bottom w:val="none" w:color="FFFFFF" w:sz="0"/>
              <w:right w:val="none" w:color="FFFFFF" w:sz="0"/>
            </w:tcBorders>
            <w:shd w:fill="1F5C99" w:val="clear"/>
            <w:tcMar>
              <w:top w:type="dxa" w:w="140"/>
              <w:left w:type="dxa" w:w="100"/>
              <w:bottom w:type="dxa" w:w="140"/>
              <w:right w:type="dxa" w:w="100"/>
            </w:tcMar>
          </w:tcPr>
          <w:p>
            <w:pPr>
              <w:jc w:val="center"/>
            </w:pPr>
            <w:r>
              <w:rPr>
                <w:rFonts w:ascii="Arial" w:cs="Arial" w:eastAsia="Arial" w:hAnsi="Arial"/>
                <w:b/>
                <w:bCs/>
                <w:color w:val="FFFFFF"/>
                <w:sz w:val="36"/>
                <w:szCs w:val="36"/>
              </w:rPr>
              <w:t xml:space="preserve">83</w:t>
            </w:r>
          </w:p>
          <w:p>
            <w:pPr>
              <w:jc w:val="center"/>
            </w:pPr>
            <w:r>
              <w:rPr>
                <w:rFonts w:ascii="Arial" w:cs="Arial" w:eastAsia="Arial" w:hAnsi="Arial"/>
                <w:color w:val="D6EAF8"/>
                <w:sz w:val="17"/>
                <w:szCs w:val="17"/>
              </w:rPr>
              <w:t xml:space="preserve">Features engineered</w:t>
            </w:r>
          </w:p>
        </w:tc>
        <w:tc>
          <w:tcPr>
            <w:tcW w:type="dxa" w:w="2340"/>
            <w:tcBorders>
              <w:top w:val="none" w:color="FFFFFF" w:sz="0"/>
              <w:left w:val="none" w:color="FFFFFF" w:sz="0"/>
              <w:bottom w:val="none" w:color="FFFFFF" w:sz="0"/>
              <w:right w:val="none" w:color="FFFFFF" w:sz="0"/>
            </w:tcBorders>
            <w:shd w:fill="2C3E50" w:val="clear"/>
            <w:tcMar>
              <w:top w:type="dxa" w:w="140"/>
              <w:left w:type="dxa" w:w="100"/>
              <w:bottom w:type="dxa" w:w="140"/>
              <w:right w:type="dxa" w:w="100"/>
            </w:tcMar>
          </w:tcPr>
          <w:p>
            <w:pPr>
              <w:jc w:val="center"/>
            </w:pPr>
            <w:r>
              <w:rPr>
                <w:rFonts w:ascii="Arial" w:cs="Arial" w:eastAsia="Arial" w:hAnsi="Arial"/>
                <w:b/>
                <w:bCs/>
                <w:color w:val="FFFFFF"/>
                <w:sz w:val="36"/>
                <w:szCs w:val="36"/>
              </w:rPr>
              <w:t xml:space="preserve">1,487</w:t>
            </w:r>
          </w:p>
          <w:p>
            <w:pPr>
              <w:jc w:val="center"/>
            </w:pPr>
            <w:r>
              <w:rPr>
                <w:rFonts w:ascii="Arial" w:cs="Arial" w:eastAsia="Arial" w:hAnsi="Arial"/>
                <w:color w:val="D6EAF8"/>
                <w:sz w:val="17"/>
                <w:szCs w:val="17"/>
              </w:rPr>
              <w:t xml:space="preserve">Drill targets identified</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3.1  Top 10 Drill Targets</w:t>
      </w:r>
    </w:p>
    <w:p>
      <w:pPr>
        <w:spacing w:before="80" w:after="80"/>
      </w:pPr>
      <w:r>
        <w:rPr>
          <w:rFonts w:ascii="Arial" w:cs="Arial" w:eastAsia="Arial" w:hAnsi="Arial"/>
          <w:color w:val="2C3E50"/>
          <w:sz w:val="20"/>
          <w:szCs w:val="20"/>
        </w:rPr>
        <w:t xml:space="preserve">The pipeline identified the following samples as the highest priority exploration targets, ranked by composite mineralisation score: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Sample ID</w:t>
            </w:r>
          </w:p>
        </w:tc>
        <w:tc>
          <w:tcPr>
            <w:tcW w:type="dxa" w:w="3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Geology Unit</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97-MT-607</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Sierra Nevada Batholith</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Score: 6.907 — Lat 41.24, Lon -116.79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C-279827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Great Plains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Score: 6.412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D-305035</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Great Plains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Score: 6.198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C-168347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Basin and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Score: 5.934</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D-559688</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Basin and Range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Score: 5.821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C-109936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Great Plains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Score: 5.756</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C-211694</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Basin and Range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Score: 5.701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D-395667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Colorado Plateau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Score: 5.689</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D-560563</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Basin and Range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Score: 5.634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C-196662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Sierra Nevada Batholith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Score: 5.612</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4" w:val="clear"/>
            <w:tcMar>
              <w:top w:type="dxa" w:w="120"/>
              <w:left w:type="dxa" w:w="160"/>
              <w:bottom w:type="dxa" w:w="120"/>
              <w:right w:type="dxa" w:w="160"/>
            </w:tcMar>
          </w:tcPr>
          <w:p>
            <w:r>
              <w:rPr>
                <w:rFonts w:ascii="Arial" w:cs="Arial" w:eastAsia="Arial" w:hAnsi="Arial"/>
                <w:b/>
                <w:bCs/>
                <w:color w:val="1F5C99"/>
                <w:sz w:val="20"/>
                <w:szCs w:val="20"/>
              </w:rPr>
              <w:t xml:space="preserve">Geological validation</w:t>
            </w:r>
          </w:p>
          <w:p>
            <w:r>
              <w:rPr>
                <w:rFonts w:ascii="Arial" w:cs="Arial" w:eastAsia="Arial" w:hAnsi="Arial"/>
                <w:color w:val="2C3E50"/>
                <w:sz w:val="19"/>
                <w:szCs w:val="19"/>
              </w:rPr>
              <w:t xml:space="preserve">Sample 97-MT-607 in the Sierra Nevada Batholith (score 6.907) is geologically consistent — the Sierra Nevada is a granite intrusive belt with extensive copper-molybdenum porphyry mineralisation history. The Basin and Range entries are also well-supported — this extensional volcanic province hosts some of the largest copper mines in the western US including Resolution and Ray in Arizona.</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4. Technical Reference</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4.1  Technology Stack</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Databricks Serverless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Cloud execution platform — all notebooks run on Databricks Free Edition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GeoPandas 0.14.4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Geospatial data processing — CRS reprojection, spatial operations, GeoDataFrame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PyProj 3.6.1</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Coordinate reference system transformations — used internally by GeoPandas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Shapely 2.0.4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Geometric operations — Point creation, spatial predicates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Fiona 1.9.6</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Shapefile I/O — used internally by GeoPandas to read .shp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pandas 2.2.3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Tabular data manipulation — DataFrames, groupby, merge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NumPy 2.1.3</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Numerical array operations — z-score computation, log transforms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SciPy 1.13.1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Statistical functions — used in visualisation stage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Matplotlib 3.9.0</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Visualisation — choropleth maps, distribution plots, correlation heatmaps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PyArrow 16.1.0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Parquet I/O — reads and writes Parquet files with type preservation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dbt (SQL layer)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SQL transformation models — staging, intermediate, mart layers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Apache Airflow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Pipeline orchestration — DAG with full lineage, retries, run reports</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4.2  File Structure</w:t>
      </w:r>
    </w:p>
    <w:p>
      <w:pPr>
        <w:spacing w:before="120" w:after="120"/>
      </w:pPr>
      <w:r>
        <w:t xml:space="preserve"/>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critical-minerals-pipeline/</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notebooks/</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01_ingest.py              Raw shapefile ingestion</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02_standardise.py         BDL handling, unit conversion, schema</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03_validate.py            10-check QA suite</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04_spatial.py             CRS, geology zones, grid assignment</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05_features.py            Feature engineering, mineralisation score</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06_visualisation.py       Anomaly maps, correlation analysis</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outputs/</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01_element_distributions.png</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02_copper_anomaly_map.png</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03_mineralisation_score.png</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04_correlation_heatmap.png</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README.md</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4.3  Databricks Volume Structure</w:t>
      </w:r>
    </w:p>
    <w:p>
      <w:pPr>
        <w:spacing w:before="120" w:after="120"/>
      </w:pPr>
      <w:r>
        <w:t xml:space="preserve"/>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/Volumes/critical_minerals/geochem/data/</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project1_geochemistry/</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ngs.shp  ngs.dbf  ngs.shx  ngs.prj    Raw USGS Shapefile</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01_raw.parquet                         After ingestion</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02_standardised.parquet                After standardisation</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03_validated.parquet                   After validation</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04_spatial.parquet                     After spatial processing</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05_features.parquet                    ML-ready features</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validation_report.json                 QA audit trail</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metadata.yaml                          Data dictionary</w:t>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    outputs/                               PNG maps</w:t>
      </w:r>
    </w:p>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5. Domain Knowledge</w:t>
      </w:r>
    </w:p>
    <w:p>
      <w:pPr>
        <w:spacing w:before="120" w:after="120"/>
      </w:pPr>
      <w:r>
        <w:t xml:space="preserve"/>
      </w:r>
    </w:p>
    <w:p>
      <w:pPr>
        <w:spacing w:before="80" w:after="80"/>
      </w:pPr>
      <w:r>
        <w:rPr>
          <w:rFonts w:ascii="Arial" w:cs="Arial" w:eastAsia="Arial" w:hAnsi="Arial"/>
          <w:color w:val="2C3E50"/>
          <w:sz w:val="20"/>
          <w:szCs w:val="20"/>
        </w:rPr>
        <w:t xml:space="preserve">This section explains the geoscience concepts behind the engineering decisions. Understanding the domain is what separates a geoscience data engineer from a general data engineer.</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5.1  Why Geochemistry?</w:t>
      </w:r>
    </w:p>
    <w:p>
      <w:pPr>
        <w:spacing w:before="80" w:after="80"/>
      </w:pPr>
      <w:r>
        <w:rPr>
          <w:rFonts w:ascii="Arial" w:cs="Arial" w:eastAsia="Arial" w:hAnsi="Arial"/>
          <w:color w:val="2C3E50"/>
          <w:sz w:val="20"/>
          <w:szCs w:val="20"/>
        </w:rPr>
        <w:t xml:space="preserve">When a mineral deposit forms underground, weathering slowly breaks down the rock and releases trace amounts of metals into the surrounding soil. These metals spread outward from the deposit in a dispersal pattern called a geochemical halo. By systematically sampling surface soils and measuring element concentrations, geologists can detect the chemical signature of a buried deposit from the surface.</w:t>
      </w:r>
    </w:p>
    <w:p>
      <w:pPr>
        <w:spacing w:before="120" w:after="120"/>
      </w:pPr>
      <w:r>
        <w:t xml:space="preserve"/>
      </w:r>
    </w:p>
    <w:p>
      <w:pPr>
        <w:spacing w:before="80" w:after="80"/>
      </w:pPr>
      <w:r>
        <w:rPr>
          <w:rFonts w:ascii="Arial" w:cs="Arial" w:eastAsia="Arial" w:hAnsi="Arial"/>
          <w:color w:val="2C3E50"/>
          <w:sz w:val="20"/>
          <w:szCs w:val="20"/>
        </w:rPr>
        <w:t xml:space="preserve">This is the fundamental principle behind the USGS National Geochemical Survey — one sample every 289 km across the entire US, creating a national baseline of element concentrations that can be interrogated for anomalies.</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5.2  Pathfinder Elements</w:t>
      </w:r>
    </w:p>
    <w:p>
      <w:pPr>
        <w:spacing w:before="80" w:after="80"/>
      </w:pPr>
      <w:r>
        <w:rPr>
          <w:rFonts w:ascii="Arial" w:cs="Arial" w:eastAsia="Arial" w:hAnsi="Arial"/>
          <w:color w:val="2C3E50"/>
          <w:sz w:val="20"/>
          <w:szCs w:val="20"/>
        </w:rPr>
        <w:t xml:space="preserve">Some elements are reliable indicators of specific deposit types. These are called pathfinder elements: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Ratio / Pattern</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Deposit Type Indicated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Cu/Mo ratio &gt; 10</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Porphyry copper deposit — classic example: Bingham Canyon, Utah (largest US copper mine)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Co/Ni ratio &gt; 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Laterite nickel deposit — formed by deep weathering of ultramafic rocks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Cu/Zn ratio &gt; 5</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Volcanogenic Massive Sulphide (VMS) — seafloor volcanic deposit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As/Au correlation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Epithermal gold deposit — gold deposited from low-temperature hydrothermal fluids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High Mn + Cu</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Sediment-hosted copper — basin-hosted stratiform deposits</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5.3  Log-Normal Distribution</w:t>
      </w:r>
    </w:p>
    <w:p>
      <w:pPr>
        <w:spacing w:before="80" w:after="80"/>
      </w:pPr>
      <w:r>
        <w:rPr>
          <w:rFonts w:ascii="Arial" w:cs="Arial" w:eastAsia="Arial" w:hAnsi="Arial"/>
          <w:color w:val="2C3E50"/>
          <w:sz w:val="20"/>
          <w:szCs w:val="20"/>
        </w:rPr>
        <w:t xml:space="preserve">Geochemical concentrations follow a log-normal distribution — a fundamental property of how metals are distributed in the Earth's crust. Most samples contain background concentrations near zero, while a small number of anomalous samples contain extreme high values.</w:t>
      </w:r>
    </w:p>
    <w:p>
      <w:pPr>
        <w:spacing w:before="120" w:after="120"/>
      </w:pPr>
      <w:r>
        <w:t xml:space="preserve"/>
      </w:r>
    </w:p>
    <w:p>
      <w:pPr>
        <w:spacing w:before="80" w:after="80"/>
      </w:pPr>
      <w:r>
        <w:rPr>
          <w:rFonts w:ascii="Arial" w:cs="Arial" w:eastAsia="Arial" w:hAnsi="Arial"/>
          <w:color w:val="2C3E50"/>
          <w:sz w:val="20"/>
          <w:szCs w:val="20"/>
        </w:rPr>
        <w:t xml:space="preserve">In the USGS dataset, copper ranges from 0.1 ppm (background) to 11,000 ppm (ore-grade). This spans five orders of magnitude. If you feed raw concentrations into an ML model, the few extreme values dominate the model completely. Log-transforming (log1p) compresses the range to approximately 0-9.3 and makes the distribution approximately normal — which is what most ML algorithms require.</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5.4  Z-Score Anomaly Detection</w:t>
      </w:r>
    </w:p>
    <w:p>
      <w:pPr>
        <w:spacing w:before="80" w:after="80"/>
      </w:pPr>
      <w:r>
        <w:rPr>
          <w:rFonts w:ascii="Arial" w:cs="Arial" w:eastAsia="Arial" w:hAnsi="Arial"/>
          <w:color w:val="2C3E50"/>
          <w:sz w:val="20"/>
          <w:szCs w:val="20"/>
        </w:rPr>
        <w:t xml:space="preserve">A z-score measures how many standard deviations a value is from the mean:</w:t>
      </w:r>
    </w:p>
    <w:p>
      <w:pPr>
        <w:spacing w:before="120" w:after="120"/>
      </w:pPr>
      <w:r>
        <w:t xml:space="preserve"/>
      </w:r>
    </w:p>
    <w:p>
      <w:pPr>
        <w:pBdr>
          <w:left w:val="single" w:color="1F5C99" w:sz="12" w:space="4"/>
        </w:pBdr>
        <w:shd w:fill="F4F6F7" w:val="clear"/>
        <w:spacing w:before="40" w:after="40"/>
        <w:ind w:left="360"/>
      </w:pPr>
      <w:r>
        <w:rPr>
          <w:rFonts w:ascii="Courier New" w:cs="Courier New" w:eastAsia="Courier New" w:hAnsi="Courier New"/>
          <w:color w:val="1A5276"/>
          <w:sz w:val="18"/>
          <w:szCs w:val="18"/>
        </w:rPr>
        <w:t xml:space="preserve">z = (value - mean) / standard_deviation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Z-score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z &lt; 1</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Background — not interesting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z = 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Slightly elevated — monitor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z = 2-3</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Notable anomaly — investigate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z &gt;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Strong anomaly — drill candidate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z &gt; 4</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Exceptional — high priority</w:t>
            </w:r>
          </w:p>
        </w:tc>
      </w:tr>
    </w:tbl>
    <w:p>
      <w:pPr>
        <w:spacing w:before="120" w:after="120"/>
      </w:pPr>
      <w:r>
        <w:t xml:space="preserve"/>
      </w:r>
    </w:p>
    <w:p>
      <w:pPr>
        <w:spacing w:before="80" w:after="80"/>
      </w:pPr>
      <w:r>
        <w:rPr>
          <w:rFonts w:ascii="Arial" w:cs="Arial" w:eastAsia="Arial" w:hAnsi="Arial"/>
          <w:color w:val="2C3E50"/>
          <w:sz w:val="20"/>
          <w:szCs w:val="20"/>
        </w:rPr>
        <w:t xml:space="preserve">Two types of z-scores were computed: global (against all 74,349 samples) and local (within each geology unit). Local z-scores are more powerful because they control for the natural background variation between rock types. A granite naturally has higher copper background than sedimentary rock — local z-scores correct for this.</w:t>
      </w:r>
    </w:p>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6. Interview Preparation</w:t>
      </w:r>
    </w:p>
    <w:p>
      <w:pPr>
        <w:spacing w:before="120" w:after="120"/>
      </w:pPr>
      <w:r>
        <w:t xml:space="preserve"/>
      </w:r>
    </w:p>
    <w:p>
      <w:pPr>
        <w:spacing w:before="80" w:after="80"/>
      </w:pPr>
      <w:r>
        <w:rPr>
          <w:rFonts w:ascii="Arial" w:cs="Arial" w:eastAsia="Arial" w:hAnsi="Arial"/>
          <w:color w:val="2C3E50"/>
          <w:sz w:val="20"/>
          <w:szCs w:val="20"/>
        </w:rPr>
        <w:t xml:space="preserve">The most likely technical questions from a geoscience data engineering interview, with model answers.</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Q: Walk me through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I built an end-to-end geoscience data pipeline on Databricks Serverless that processes real USGS National Geochemical Survey data — 74,408 soil and sediment samples with assay results for critical minerals. The pipeline has 6 stages: ingestion, standardisation, validation, geospatial, feature engineering, and visualisation. The final output is 1,487 priority drill targets ranked by a composite mineralisation score. The top target — sample 97-MT-607 in the Sierra Nevada Batholith — scored 6.907, consistent with known copper-mineralised terrain in northern Nevada.</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Q: What is BDL and how did you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BDL stands for Below Detection Limit. In the raw USGS data, when an element was measured but fell below the instrument's detection threshold, it was stored as a negative value. For example, AU = -8.0 means gold was below 8 ppb. Industry standard practice is to substitute with half the detection limit — so -8.0 becomes 4.0. If you drop these rows you lose real data about where mineralisation is absent. If you treat them as zero you bias the distribution downward. Half the detection limit is the accepted compromise.</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Q: Why did you log-transform the concentrations?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Geochemical concentrations follow a log-normal distribution. Copper in our dataset ranges from 0.1 to 11,000 ppm — five orders of magnitude. Most ML algorithms assume roughly normal input distributions. Without log-transforming, a single extreme sample dominates distance calculations and model training. After log1p transform, the range compresses from five orders of magnitude to approximately 0-9.3, which ML models handle correctly.</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Q: What is a CRS and why did you need to reproject?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CRS stands for Coordinate Reference System — the mathematical framework mapping coordinates to real Earth locations. The USGS data used NAD27, a 1927 North American system. We needed WGS84, the modern global standard used by GPS and all ML libraries. They disagree by up to 100 metres. At the scale of individual soil samples, 100m of error causes spatial joins to assign wrong geology labels to thousands of samples, corrupting the local z-score calculation.</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Q: Why Parquet instead of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Model answer</w:t>
            </w:r>
          </w:p>
          <w:p>
            <w:r>
              <w:rPr>
                <w:rFonts w:ascii="Arial" w:cs="Arial" w:eastAsia="Arial" w:hAnsi="Arial"/>
                <w:color w:val="2C3E50"/>
                <w:sz w:val="19"/>
                <w:szCs w:val="19"/>
              </w:rPr>
              <w:t xml:space="preserve">Three reasons. First, Parquet preserves data types — CSV saves everything as strings, requiring casts on every read. Second, Parquet uses columnar compression — our dataset is much smaller and faster to read when you only need a few columns. Third, Parquet supports predicate pushdown — the storage engine skips entire row groups not matching your filter. For a daily pipeline on growing data, these advantages compound significantly.</w:t>
            </w:r>
          </w:p>
        </w:tc>
      </w:tr>
    </w:tbl>
    <w:p>
      <w:pPr>
        <w:spacing w:before="120" w:after="120"/>
      </w:pPr>
      <w:r>
        <w:t xml:space="preserve"/>
      </w:r>
    </w:p>
    <w:p>
      <w:r>
        <w:br w:type="page"/>
      </w:r>
    </w:p>
    <w:p>
      <w:pPr>
        <w:pStyle w:val="Heading1"/>
        <w:pBdr>
          <w:bottom w:val="single" w:color="1F5C99" w:sz="6" w:space="4"/>
        </w:pBdr>
        <w:spacing w:before="360" w:after="180"/>
      </w:pPr>
      <w:r>
        <w:rPr>
          <w:rFonts w:ascii="Arial" w:cs="Arial" w:eastAsia="Arial" w:hAnsi="Arial"/>
          <w:b/>
          <w:bCs/>
          <w:color w:val="1F5C99"/>
          <w:sz w:val="32"/>
          <w:szCs w:val="32"/>
        </w:rPr>
        <w:t xml:space="preserve">7. Outputs</w:t>
      </w:r>
    </w:p>
    <w:p>
      <w:pPr>
        <w:spacing w:before="120" w:after="120"/>
      </w:pPr>
      <w:r>
        <w:t xml:space="preserve"/>
      </w:r>
    </w:p>
    <w:p>
      <w:pPr>
        <w:pStyle w:val="Heading2"/>
        <w:spacing w:before="280" w:after="120"/>
      </w:pPr>
      <w:r>
        <w:rPr>
          <w:rFonts w:ascii="Arial" w:cs="Arial" w:eastAsia="Arial" w:hAnsi="Arial"/>
          <w:b/>
          <w:bCs/>
          <w:color w:val="2C3E50"/>
          <w:sz w:val="26"/>
          <w:szCs w:val="26"/>
        </w:rPr>
        <w:t xml:space="preserve">7.1  Parquet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01_raw.parquet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74,408 rows — raw data directly from shapefile, no transformations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02_standardised.parquet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74,349 rows — BDL fixed, units converted, schema standardised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03_validated.parquet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74,349 rows — same as standardised, validation confirmed clean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04_spatial.parquet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74,349 rows — 28 columns, grid cells and geology zones added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05_features.parquet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74,349 rows — 83 columns, all ML-ready features engineered</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7.2  Visualisation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01_element_distributions.png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6-panel chart showing raw vs log-transformed distributions for Cu, Ni, Co, Au, Mo, Zn. Confirms log-normal behaviour.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02_copper_anomaly_map.png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Side-by-side map of raw copper concentration (left) vs z-score anomaly (right). 74,349 samples plotted across the US.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03_mineralisation_score.png</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Composite mineralisation score map (left) and priority drill targets isolated (right). 1,487 targets highlighted.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04_correlation_heatmap.png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Element correlation matrix (left) and Cu vs Mo scatter plot (right) confirming porphyry copper signature.</w:t>
            </w:r>
          </w:p>
        </w:tc>
      </w:tr>
    </w:tbl>
    <w:p>
      <w:pPr>
        <w:spacing w:before="120" w:after="120"/>
      </w:pPr>
      <w:r>
        <w:t xml:space="preserve"/>
      </w:r>
    </w:p>
    <w:p>
      <w:pPr>
        <w:pStyle w:val="Heading2"/>
        <w:spacing w:before="280" w:after="120"/>
      </w:pPr>
      <w:r>
        <w:rPr>
          <w:rFonts w:ascii="Arial" w:cs="Arial" w:eastAsia="Arial" w:hAnsi="Arial"/>
          <w:b/>
          <w:bCs/>
          <w:color w:val="2C3E50"/>
          <w:sz w:val="26"/>
          <w:szCs w:val="26"/>
        </w:rPr>
        <w:t xml:space="preserve">7.3  Supporting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metadata.yaml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19"/>
                <w:szCs w:val="19"/>
              </w:rPr>
              <w:t xml:space="preserve">Data dictionary — every feature described with name, source, description, dtype, units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validation_report.json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QA audit trail — all 10 checks with pass/fail status and rows affected</w:t>
            </w:r>
          </w:p>
        </w:tc>
      </w:tr>
    </w:tbl>
    <w:p>
      <w:pPr>
        <w:spacing w:before="120" w:after="120"/>
      </w:pPr>
      <w:r>
        <w:t xml:space="preserve"/>
      </w:r>
    </w:p>
    <w:p>
      <w:pPr>
        <w:pStyle w:val="Heading1"/>
        <w:pBdr>
          <w:bottom w:val="single" w:color="1F5C99" w:sz="6" w:space="4"/>
        </w:pBdr>
        <w:spacing w:before="360" w:after="180"/>
      </w:pPr>
      <w:r>
        <w:rPr>
          <w:rFonts w:ascii="Arial" w:cs="Arial" w:eastAsia="Arial" w:hAnsi="Arial"/>
          <w:b/>
          <w:bCs/>
          <w:color w:val="1F5C99"/>
          <w:sz w:val="32"/>
          <w:szCs w:val="32"/>
        </w:rPr>
        <w:t xml:space="preserve">8. Links</w:t>
      </w:r>
    </w:p>
    <w:p>
      <w:pPr>
        <w:spacing w:before="120" w:after="120"/>
      </w:pPr>
      <w:r>
        <w:t xml:space="preserve"/>
      </w:r>
    </w:p>
    <w:p>
      <w:pPr>
        <w:pStyle w:val="ListParagraph"/>
        <w:numPr>
          <w:ilvl w:val="0"/>
          <w:numId w:val="2"/>
        </w:numPr>
        <w:spacing w:before="40" w:after="40"/>
      </w:pPr>
      <w:r>
        <w:rPr>
          <w:rFonts w:ascii="Arial" w:cs="Arial" w:eastAsia="Arial" w:hAnsi="Arial"/>
          <w:color w:val="2C3E50"/>
          <w:sz w:val="20"/>
          <w:szCs w:val="20"/>
        </w:rPr>
        <w:t xml:space="preserve">GitHub: github.com/abhinav2627/critical-minerals-pipeline</w:t>
      </w:r>
    </w:p>
    <w:p>
      <w:pPr>
        <w:pStyle w:val="ListParagraph"/>
        <w:numPr>
          <w:ilvl w:val="0"/>
          <w:numId w:val="2"/>
        </w:numPr>
        <w:spacing w:before="40" w:after="40"/>
      </w:pPr>
      <w:r>
        <w:rPr>
          <w:rFonts w:ascii="Arial" w:cs="Arial" w:eastAsia="Arial" w:hAnsi="Arial"/>
          <w:color w:val="2C3E50"/>
          <w:sz w:val="20"/>
          <w:szCs w:val="20"/>
        </w:rPr>
        <w:t xml:space="preserve">Data source: mrdata.usgs.gov/geochem</w:t>
      </w:r>
    </w:p>
    <w:p>
      <w:pPr>
        <w:pStyle w:val="ListParagraph"/>
        <w:numPr>
          <w:ilvl w:val="0"/>
          <w:numId w:val="2"/>
        </w:numPr>
        <w:spacing w:before="40" w:after="40"/>
      </w:pPr>
      <w:r>
        <w:rPr>
          <w:rFonts w:ascii="Arial" w:cs="Arial" w:eastAsia="Arial" w:hAnsi="Arial"/>
          <w:color w:val="2C3E50"/>
          <w:sz w:val="20"/>
          <w:szCs w:val="20"/>
        </w:rPr>
        <w:t xml:space="preserve">LinkedIn: linkedin.com/in/abhinav-mandal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5C99"/>
                <w:sz w:val="20"/>
                <w:szCs w:val="20"/>
              </w:rPr>
              <w:t xml:space="preserve">This is Project 1 of 10</w:t>
            </w:r>
          </w:p>
          <w:p>
            <w:r>
              <w:rPr>
                <w:rFonts w:ascii="Arial" w:cs="Arial" w:eastAsia="Arial" w:hAnsi="Arial"/>
                <w:color w:val="2C3E50"/>
                <w:sz w:val="19"/>
                <w:szCs w:val="19"/>
              </w:rPr>
              <w:t xml:space="preserve">This pipeline is part of a 10-project geoscience data engineering series covering geochemistry, satellite imagery, drilling data, geophysics, ML modelling, real-time streaming, and production deployment. See GitHub for the full series.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tabs>
        <w:tab w:val="right" w:pos="9360"/>
      </w:tabs>
    </w:pPr>
    <w:r>
      <w:rPr>
        <w:rFonts w:ascii="Arial" w:cs="Arial" w:eastAsia="Arial" w:hAnsi="Arial"/>
        <w:color w:val="7F8C8D"/>
        <w:sz w:val="16"/>
        <w:szCs w:val="16"/>
      </w:rPr>
      <w:t xml:space="preserve">github.com/abhinav2627/critical-minerals-pipeline</w:t>
    </w:r>
    <w:r>
      <w:rPr>
        <w:rFonts w:ascii="Arial" w:cs="Arial" w:eastAsia="Arial" w:hAnsi="Arial"/>
        <w:color w:val="7F8C8D"/>
        <w:sz w:val="16"/>
        <w:szCs w:val="16"/>
      </w:rPr>
      <w:t xml:space="preserve">	github.com/abhinav2627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360"/>
      </w:tabs>
    </w:pPr>
    <w:r>
      <w:rPr>
        <w:rFonts w:ascii="Arial" w:cs="Arial" w:eastAsia="Arial" w:hAnsi="Arial"/>
        <w:color w:val="7F8C8D"/>
        <w:sz w:val="18"/>
        <w:szCs w:val="18"/>
      </w:rPr>
      <w:t xml:space="preserve">Project 1 — Critical Minerals Geoscience Pipeline</w:t>
    </w:r>
    <w:r>
      <w:rPr>
        <w:sz w:val="18"/>
        <w:szCs w:val="18"/>
      </w:rPr>
      <w:t xml:space="preserve">	</w:t>
    </w:r>
    <w:r>
      <w:rPr>
        <w:rFonts w:ascii="Arial" w:cs="Arial" w:eastAsia="Arial" w:hAnsi="Arial"/>
        <w:color w:val="7F8C8D"/>
        <w:sz w:val="18"/>
        <w:szCs w:val="18"/>
      </w:rPr>
      <w:t xml:space="preserve">Abhinav Mandal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5C9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2026-03-25T11:03:22.193Z</dcterms:created>
  <dcterms:modified xsi:type="dcterms:W3CDTF">2026-03-25T11:03:22.194Z</dcterms:modified>
</cp:coreProperties>
</file>

<file path=docProps/custom.xml><?xml version="1.0" encoding="utf-8"?>
<Properties xmlns="http://schemas.openxmlformats.org/officeDocument/2006/custom-properties" xmlns:vt="http://schemas.openxmlformats.org/officeDocument/2006/docPropsVTypes"/>
</file>