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0"/>
        <w:jc w:val="center"/>
      </w:pPr>
      <w:r>
        <w:rPr>
          <w:b/>
          <w:bCs/>
          <w:color w:val="1F4E79"/>
          <w:sz w:val="40"/>
          <w:szCs w:val="40"/>
        </w:rPr>
        <w:t xml:space="preserve">Identification and Analysis of Network Assets and Potential Attack Surface Exposure</w:t>
      </w:r>
    </w:p>
    <w:p>
      <w:pPr>
        <w:pBdr>
          <w:bottom w:val="single" w:color="2E75B6" w:sz="6" w:space="8"/>
        </w:pBdr>
        <w:jc w:val="center"/>
      </w:pPr>
      <w:r>
        <w:t xml:space="preserve"/>
      </w:r>
    </w:p>
    <w:p>
      <w:pPr>
        <w:spacing w:before="1200"/>
      </w:pPr>
    </w:p>
    <w:p>
      <w:pPr>
        <w:spacing w:after="120"/>
        <w:jc w:val="center"/>
      </w:pPr>
      <w:r>
        <w:rPr>
          <w:sz w:val="24"/>
          <w:szCs w:val="24"/>
        </w:rPr>
        <w:t xml:space="preserve">A Case Study Submitted for</w:t>
      </w:r>
    </w:p>
    <w:p>
      <w:pPr>
        <w:spacing w:after="600"/>
        <w:jc w:val="center"/>
      </w:pPr>
      <w:r>
        <w:rPr>
          <w:b/>
          <w:bCs/>
          <w:sz w:val="26"/>
          <w:szCs w:val="26"/>
        </w:rPr>
        <w:t xml:space="preserve">DevSecops Engineering and Application Security</w:t>
      </w:r>
    </w:p>
    <w:p>
      <w:pPr>
        <w:spacing w:before="1400"/>
      </w:pPr>
    </w:p>
    <w:p>
      <w:pPr>
        <w:spacing w:after="120"/>
        <w:jc w:val="center"/>
      </w:pPr>
      <w:r>
        <w:rPr>
          <w:sz w:val="24"/>
          <w:szCs w:val="24"/>
        </w:rPr>
        <w:t xml:space="preserve">Name: Abhinav Reddy</w:t>
      </w:r>
    </w:p>
    <w:p>
      <w:pPr>
        <w:spacing w:after="120"/>
        <w:jc w:val="center"/>
      </w:pPr>
      <w:r>
        <w:rPr>
          <w:sz w:val="24"/>
          <w:szCs w:val="24"/>
        </w:rPr>
        <w:t xml:space="preserve">Register Number: 192465054</w:t>
      </w:r>
    </w:p>
    <w:p>
      <w:pPr>
        <w:spacing w:after="120"/>
        <w:jc w:val="center"/>
      </w:pPr>
      <w:r>
        <w:rPr>
          <w:sz w:val="24"/>
          <w:szCs w:val="24"/>
        </w:rPr>
        <w:t xml:space="preserve">Subject Code: CSA5802</w:t>
      </w:r>
    </w:p>
    <w:p>
      <w:r>
        <w:br w:type="page"/>
      </w:r>
    </w:p>
    <w:p>
      <w:pPr>
        <w:sectPr>
          <w:pgSz w:w="11906" w:h="16838" w:orient="portrait"/>
          <w:pgMar w:top="1440" w:right="1440" w:bottom="1440" w:left="1440" w:header="708" w:footer="708" w:gutter="0"/>
          <w:pgNumType/>
          <w:docGrid w:linePitch="360"/>
        </w:sectPr>
      </w:pP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20"/>
      </w:pPr>
      <w:r>
        <w:t xml:space="preserve">1. Introduction</w:t>
      </w:r>
    </w:p>
    <w:p>
      <w:pPr>
        <w:spacing w:after="160"/>
        <w:jc w:val="both"/>
      </w:pPr>
      <w:r>
        <w:rPr>
          <w:sz w:val="22"/>
          <w:szCs w:val="22"/>
        </w:rPr>
        <w:t xml:space="preserve">Every organization that connects systems to a network exposes a set of assets — servers, endpoints, applications, and communication channels — that can potentially be discovered and targeted by an attacker. Before any defense can be built, an organization must first know what it owns, how those assets are connected, and which of them are reachable from outside. Identification and analysis of network assets is therefore the foundation of attack surface management: it converts an unknown, sprawling IT environment into a mapped inventory against which risk can be measured and reduced.</w:t>
      </w:r>
    </w:p>
    <w:p>
      <w:pPr>
        <w:spacing w:after="160"/>
        <w:jc w:val="both"/>
      </w:pPr>
      <w:r>
        <w:rPr>
          <w:sz w:val="22"/>
          <w:szCs w:val="22"/>
        </w:rPr>
        <w:t xml:space="preserve">This case study examines how organizations identify their network assets, classify the resulting attack surface, and apply structured analysis techniques to reduce exposure before adversaries can exploit it.</w:t>
      </w:r>
    </w:p>
    <w:p>
      <w:pPr>
        <w:pStyle w:val="Heading1"/>
        <w:spacing w:after="160" w:before="320"/>
      </w:pPr>
      <w:r>
        <w:t xml:space="preserve">2. Network Assets and Attack Surface — Key Concepts</w:t>
      </w:r>
    </w:p>
    <w:p>
      <w:pPr>
        <w:pStyle w:val="Heading2"/>
        <w:spacing w:after="120" w:before="240"/>
      </w:pPr>
      <w:r>
        <w:t xml:space="preserve">2.1 Network Assets</w:t>
      </w:r>
    </w:p>
    <w:p>
      <w:pPr>
        <w:spacing w:after="160"/>
        <w:jc w:val="both"/>
      </w:pPr>
      <w:r>
        <w:rPr>
          <w:sz w:val="22"/>
          <w:szCs w:val="22"/>
        </w:rPr>
        <w:t xml:space="preserve">A network asset is any device, service, application, or data resource that is connected to, or reachable through, an organization's network. Assets include physical hardware, virtual infrastructure, software services, and the data they process.</w:t>
      </w:r>
    </w:p>
    <w:p>
      <w:pPr>
        <w:pStyle w:val="Heading2"/>
        <w:spacing w:after="120" w:before="240"/>
      </w:pPr>
      <w:r>
        <w:t xml:space="preserve">2.2 Attack Surface</w:t>
      </w:r>
    </w:p>
    <w:p>
      <w:pPr>
        <w:spacing w:after="160"/>
        <w:jc w:val="both"/>
      </w:pPr>
      <w:r>
        <w:rPr>
          <w:sz w:val="22"/>
          <w:szCs w:val="22"/>
        </w:rPr>
        <w:t xml:space="preserve">The attack surface is the complete set of points — digital, physical, and human — through which an unauthorized user could attempt to enter a system or extract data. A larger or poorly understood attack surface increases the likelihood that a vulnerable or forgotten asset is exploited.</w:t>
      </w:r>
    </w:p>
    <w:p>
      <w:pPr>
        <w:pStyle w:val="Heading1"/>
        <w:spacing w:after="160" w:before="320"/>
      </w:pPr>
      <w:r>
        <w:t xml:space="preserve">3. Categories of Network Assets</w:t>
      </w:r>
    </w:p>
    <w:p>
      <w:pPr>
        <w:pStyle w:val="Heading2"/>
        <w:spacing w:after="120" w:before="240"/>
      </w:pPr>
      <w:r>
        <w:t xml:space="preserve">3.1 Hardware Assets</w:t>
      </w:r>
    </w:p>
    <w:p>
      <w:pPr>
        <w:pStyle w:val="ListParagraph"/>
        <w:numPr>
          <w:ilvl w:val="0"/>
          <w:numId w:val="2"/>
        </w:numPr>
        <w:spacing w:after="100"/>
      </w:pPr>
      <w:r>
        <w:t xml:space="preserve">Servers and workstations</w:t>
      </w:r>
    </w:p>
    <w:p>
      <w:pPr>
        <w:pStyle w:val="ListParagraph"/>
        <w:numPr>
          <w:ilvl w:val="0"/>
          <w:numId w:val="2"/>
        </w:numPr>
        <w:spacing w:after="100"/>
      </w:pPr>
      <w:r>
        <w:t xml:space="preserve">Routers, switches, and firewalls</w:t>
      </w:r>
    </w:p>
    <w:p>
      <w:pPr>
        <w:pStyle w:val="ListParagraph"/>
        <w:numPr>
          <w:ilvl w:val="0"/>
          <w:numId w:val="2"/>
        </w:numPr>
        <w:spacing w:after="100"/>
      </w:pPr>
      <w:r>
        <w:t xml:space="preserve">IoT and embedded devices</w:t>
      </w:r>
    </w:p>
    <w:p>
      <w:pPr>
        <w:pStyle w:val="ListParagraph"/>
        <w:numPr>
          <w:ilvl w:val="0"/>
          <w:numId w:val="2"/>
        </w:numPr>
        <w:spacing w:after="100"/>
      </w:pPr>
      <w:r>
        <w:t xml:space="preserve">Mobile and remote-access devices</w:t>
      </w:r>
    </w:p>
    <w:p>
      <w:pPr>
        <w:pStyle w:val="Heading2"/>
        <w:spacing w:after="120" w:before="240"/>
      </w:pPr>
      <w:r>
        <w:t xml:space="preserve">3.2 Software and Application Assets</w:t>
      </w:r>
    </w:p>
    <w:p>
      <w:pPr>
        <w:pStyle w:val="ListParagraph"/>
        <w:numPr>
          <w:ilvl w:val="0"/>
          <w:numId w:val="2"/>
        </w:numPr>
        <w:spacing w:after="100"/>
      </w:pPr>
      <w:r>
        <w:t xml:space="preserve">Operating systems</w:t>
      </w:r>
    </w:p>
    <w:p>
      <w:pPr>
        <w:pStyle w:val="ListParagraph"/>
        <w:numPr>
          <w:ilvl w:val="0"/>
          <w:numId w:val="2"/>
        </w:numPr>
        <w:spacing w:after="100"/>
      </w:pPr>
      <w:r>
        <w:t xml:space="preserve">Web applications and APIs</w:t>
      </w:r>
    </w:p>
    <w:p>
      <w:pPr>
        <w:pStyle w:val="ListParagraph"/>
        <w:numPr>
          <w:ilvl w:val="0"/>
          <w:numId w:val="2"/>
        </w:numPr>
        <w:spacing w:after="100"/>
      </w:pPr>
      <w:r>
        <w:t xml:space="preserve">Databases and middleware</w:t>
      </w:r>
    </w:p>
    <w:p>
      <w:pPr>
        <w:pStyle w:val="ListParagraph"/>
        <w:numPr>
          <w:ilvl w:val="0"/>
          <w:numId w:val="2"/>
        </w:numPr>
        <w:spacing w:after="100"/>
      </w:pPr>
      <w:r>
        <w:t xml:space="preserve">Third-party and open-source components</w:t>
      </w:r>
    </w:p>
    <w:p>
      <w:pPr>
        <w:pStyle w:val="Heading2"/>
        <w:spacing w:after="120" w:before="240"/>
      </w:pPr>
      <w:r>
        <w:t xml:space="preserve">3.3 Network Infrastructure Assets</w:t>
      </w:r>
    </w:p>
    <w:p>
      <w:pPr>
        <w:pStyle w:val="ListParagraph"/>
        <w:numPr>
          <w:ilvl w:val="0"/>
          <w:numId w:val="2"/>
        </w:numPr>
        <w:spacing w:after="100"/>
      </w:pPr>
      <w:r>
        <w:t xml:space="preserve">Open ports and exposed services</w:t>
      </w:r>
    </w:p>
    <w:p>
      <w:pPr>
        <w:pStyle w:val="ListParagraph"/>
        <w:numPr>
          <w:ilvl w:val="0"/>
          <w:numId w:val="2"/>
        </w:numPr>
        <w:spacing w:after="100"/>
      </w:pPr>
      <w:r>
        <w:t xml:space="preserve">DNS records and subdomains</w:t>
      </w:r>
    </w:p>
    <w:p>
      <w:pPr>
        <w:pStyle w:val="ListParagraph"/>
        <w:numPr>
          <w:ilvl w:val="0"/>
          <w:numId w:val="2"/>
        </w:numPr>
        <w:spacing w:after="100"/>
      </w:pPr>
      <w:r>
        <w:t xml:space="preserve">VPNs and remote-access gateways</w:t>
      </w:r>
    </w:p>
    <w:p>
      <w:pPr>
        <w:pStyle w:val="ListParagraph"/>
        <w:numPr>
          <w:ilvl w:val="0"/>
          <w:numId w:val="2"/>
        </w:numPr>
        <w:spacing w:after="100"/>
      </w:pPr>
      <w:r>
        <w:t xml:space="preserve">Cloud-hosted resources and storage buckets</w:t>
      </w:r>
    </w:p>
    <w:p>
      <w:pPr>
        <w:pStyle w:val="Heading2"/>
        <w:spacing w:after="120" w:before="240"/>
      </w:pPr>
      <w:r>
        <w:t xml:space="preserve">3.4 Human and Process Assets</w:t>
      </w:r>
    </w:p>
    <w:p>
      <w:pPr>
        <w:pStyle w:val="ListParagraph"/>
        <w:numPr>
          <w:ilvl w:val="0"/>
          <w:numId w:val="2"/>
        </w:numPr>
        <w:spacing w:after="100"/>
      </w:pPr>
      <w:r>
        <w:t xml:space="preserve">Employee credentials and access rights</w:t>
      </w:r>
    </w:p>
    <w:p>
      <w:pPr>
        <w:pStyle w:val="ListParagraph"/>
        <w:numPr>
          <w:ilvl w:val="0"/>
          <w:numId w:val="2"/>
        </w:numPr>
        <w:spacing w:after="100"/>
      </w:pPr>
      <w:r>
        <w:t xml:space="preserve">Administrative and privileged accounts</w:t>
      </w:r>
    </w:p>
    <w:p>
      <w:pPr>
        <w:pStyle w:val="ListParagraph"/>
        <w:numPr>
          <w:ilvl w:val="0"/>
          <w:numId w:val="2"/>
        </w:numPr>
        <w:spacing w:after="100"/>
      </w:pPr>
      <w:r>
        <w:t xml:space="preserve">Third-party vendor access</w:t>
      </w:r>
    </w:p>
    <w:p>
      <w:pPr>
        <w:pStyle w:val="Heading1"/>
        <w:spacing w:after="160" w:before="320"/>
      </w:pPr>
      <w:r>
        <w:t xml:space="preserve">4. Techniques for Identifying Network Assets</w:t>
      </w:r>
    </w:p>
    <w:p>
      <w:pPr>
        <w:pStyle w:val="Heading2"/>
        <w:spacing w:after="120" w:before="240"/>
      </w:pPr>
      <w:r>
        <w:t xml:space="preserve">4.1 Asset Discovery and Inventory</w:t>
      </w:r>
    </w:p>
    <w:p>
      <w:pPr>
        <w:pStyle w:val="ListParagraph"/>
        <w:numPr>
          <w:ilvl w:val="0"/>
          <w:numId w:val="2"/>
        </w:numPr>
        <w:spacing w:after="100"/>
      </w:pPr>
      <w:r>
        <w:t xml:space="preserve">Automated network scanning to detect live hosts</w:t>
      </w:r>
    </w:p>
    <w:p>
      <w:pPr>
        <w:pStyle w:val="ListParagraph"/>
        <w:numPr>
          <w:ilvl w:val="0"/>
          <w:numId w:val="2"/>
        </w:numPr>
        <w:spacing w:after="100"/>
      </w:pPr>
      <w:r>
        <w:t xml:space="preserve">Maintaining a Configuration Management Database (CMDB)</w:t>
      </w:r>
    </w:p>
    <w:p>
      <w:pPr>
        <w:pStyle w:val="ListParagraph"/>
        <w:numPr>
          <w:ilvl w:val="0"/>
          <w:numId w:val="2"/>
        </w:numPr>
        <w:spacing w:after="100"/>
      </w:pPr>
      <w:r>
        <w:t xml:space="preserve">Cloud asset discovery for dynamically provisioned resources</w:t>
      </w:r>
    </w:p>
    <w:p>
      <w:pPr>
        <w:pStyle w:val="Heading2"/>
        <w:spacing w:after="120" w:before="240"/>
      </w:pPr>
      <w:r>
        <w:t xml:space="preserve">4.2 Network Mapping</w:t>
      </w:r>
    </w:p>
    <w:p>
      <w:pPr>
        <w:pStyle w:val="ListParagraph"/>
        <w:numPr>
          <w:ilvl w:val="0"/>
          <w:numId w:val="2"/>
        </w:numPr>
        <w:spacing w:after="100"/>
      </w:pPr>
      <w:r>
        <w:t xml:space="preserve">Port scanning to identify open services (e.g., Nmap)</w:t>
      </w:r>
    </w:p>
    <w:p>
      <w:pPr>
        <w:pStyle w:val="ListParagraph"/>
        <w:numPr>
          <w:ilvl w:val="0"/>
          <w:numId w:val="2"/>
        </w:numPr>
        <w:spacing w:after="100"/>
      </w:pPr>
      <w:r>
        <w:t xml:space="preserve">Topology mapping to visualize connections between assets</w:t>
      </w:r>
    </w:p>
    <w:p>
      <w:pPr>
        <w:pStyle w:val="ListParagraph"/>
        <w:numPr>
          <w:ilvl w:val="0"/>
          <w:numId w:val="2"/>
        </w:numPr>
        <w:spacing w:after="100"/>
      </w:pPr>
      <w:r>
        <w:t xml:space="preserve">DNS enumeration and subdomain discovery</w:t>
      </w:r>
    </w:p>
    <w:p>
      <w:pPr>
        <w:pStyle w:val="Heading2"/>
        <w:spacing w:after="120" w:before="240"/>
      </w:pPr>
      <w:r>
        <w:t xml:space="preserve">4.3 External Attack Surface Discovery</w:t>
      </w:r>
    </w:p>
    <w:p>
      <w:pPr>
        <w:pStyle w:val="ListParagraph"/>
        <w:numPr>
          <w:ilvl w:val="0"/>
          <w:numId w:val="2"/>
        </w:numPr>
        <w:spacing w:after="100"/>
      </w:pPr>
      <w:r>
        <w:t xml:space="preserve">Attack Surface Management (ASM) platforms</w:t>
      </w:r>
    </w:p>
    <w:p>
      <w:pPr>
        <w:pStyle w:val="ListParagraph"/>
        <w:numPr>
          <w:ilvl w:val="0"/>
          <w:numId w:val="2"/>
        </w:numPr>
        <w:spacing w:after="100"/>
      </w:pPr>
      <w:r>
        <w:t xml:space="preserve">OSINT (Open-Source Intelligence) gathering</w:t>
      </w:r>
    </w:p>
    <w:p>
      <w:pPr>
        <w:pStyle w:val="ListParagraph"/>
        <w:numPr>
          <w:ilvl w:val="0"/>
          <w:numId w:val="2"/>
        </w:numPr>
        <w:spacing w:after="100"/>
      </w:pPr>
      <w:r>
        <w:t xml:space="preserve">Shadow IT detection for unauthorized or forgotten assets</w:t>
      </w:r>
    </w:p>
    <w:p>
      <w:pPr>
        <w:pStyle w:val="Heading2"/>
        <w:spacing w:after="120" w:before="240"/>
      </w:pPr>
      <w:r>
        <w:t xml:space="preserve">4.4 Vulnerability and Configuration Scanning</w:t>
      </w:r>
    </w:p>
    <w:p>
      <w:pPr>
        <w:pStyle w:val="ListParagraph"/>
        <w:numPr>
          <w:ilvl w:val="0"/>
          <w:numId w:val="2"/>
        </w:numPr>
        <w:spacing w:after="100"/>
      </w:pPr>
      <w:r>
        <w:t xml:space="preserve">Automated vulnerability scanners</w:t>
      </w:r>
    </w:p>
    <w:p>
      <w:pPr>
        <w:pStyle w:val="ListParagraph"/>
        <w:numPr>
          <w:ilvl w:val="0"/>
          <w:numId w:val="2"/>
        </w:numPr>
        <w:spacing w:after="100"/>
      </w:pPr>
      <w:r>
        <w:t xml:space="preserve">Configuration audits against security baselines</w:t>
      </w:r>
    </w:p>
    <w:p>
      <w:pPr>
        <w:pStyle w:val="ListParagraph"/>
        <w:numPr>
          <w:ilvl w:val="0"/>
          <w:numId w:val="2"/>
        </w:numPr>
        <w:spacing w:after="100"/>
      </w:pPr>
      <w:r>
        <w:t xml:space="preserve">Credentialed scans for deeper visibility into patch levels</w:t>
      </w:r>
    </w:p>
    <w:p>
      <w:pPr>
        <w:pStyle w:val="Heading1"/>
        <w:spacing w:after="160" w:before="320"/>
      </w:pPr>
      <w:r>
        <w:t xml:space="preserve">5. Analyzing Attack Surface Exposure</w:t>
      </w:r>
    </w:p>
    <w:p>
      <w:pPr>
        <w:spacing w:after="160"/>
        <w:jc w:val="both"/>
      </w:pPr>
      <w:r>
        <w:rPr>
          <w:sz w:val="22"/>
          <w:szCs w:val="22"/>
        </w:rPr>
        <w:t xml:space="preserve">Once assets are identified, each must be analyzed for the risk it introduces. This involves correlating exposure (is the asset reachable from the internet?), vulnerability (does it have known weaknesses?), and business impact (what happens if it is compromised?).</w:t>
      </w:r>
    </w:p>
    <w:p>
      <w:pPr>
        <w:pStyle w:val="Heading2"/>
        <w:spacing w:after="120" w:before="240"/>
      </w:pPr>
      <w:r>
        <w:t xml:space="preserve">5.1 Exposure Analysis</w:t>
      </w:r>
    </w:p>
    <w:p>
      <w:pPr>
        <w:pStyle w:val="ListParagraph"/>
        <w:numPr>
          <w:ilvl w:val="0"/>
          <w:numId w:val="2"/>
        </w:numPr>
        <w:spacing w:after="100"/>
      </w:pPr>
      <w:r>
        <w:t xml:space="preserve">Internet-facing vs. internally isolated assets</w:t>
      </w:r>
    </w:p>
    <w:p>
      <w:pPr>
        <w:pStyle w:val="ListParagraph"/>
        <w:numPr>
          <w:ilvl w:val="0"/>
          <w:numId w:val="2"/>
        </w:numPr>
        <w:spacing w:after="100"/>
      </w:pPr>
      <w:r>
        <w:t xml:space="preserve">Publicly accessible ports and services</w:t>
      </w:r>
    </w:p>
    <w:p>
      <w:pPr>
        <w:pStyle w:val="ListParagraph"/>
        <w:numPr>
          <w:ilvl w:val="0"/>
          <w:numId w:val="2"/>
        </w:numPr>
        <w:spacing w:after="100"/>
      </w:pPr>
      <w:r>
        <w:t xml:space="preserve">Misconfigured cloud storage and access controls</w:t>
      </w:r>
    </w:p>
    <w:p>
      <w:pPr>
        <w:pStyle w:val="Heading2"/>
        <w:spacing w:after="120" w:before="240"/>
      </w:pPr>
      <w:r>
        <w:t xml:space="preserve">5.2 Risk Prioritization</w:t>
      </w:r>
    </w:p>
    <w:p>
      <w:pPr>
        <w:pStyle w:val="ListParagraph"/>
        <w:numPr>
          <w:ilvl w:val="0"/>
          <w:numId w:val="2"/>
        </w:numPr>
        <w:spacing w:after="100"/>
      </w:pPr>
      <w:r>
        <w:t xml:space="preserve">Common Vulnerability Scoring System (CVSS) ratings</w:t>
      </w:r>
    </w:p>
    <w:p>
      <w:pPr>
        <w:pStyle w:val="ListParagraph"/>
        <w:numPr>
          <w:ilvl w:val="0"/>
          <w:numId w:val="2"/>
        </w:numPr>
        <w:spacing w:after="100"/>
      </w:pPr>
      <w:r>
        <w:t xml:space="preserve">Asset criticality and sensitivity of data handled</w:t>
      </w:r>
    </w:p>
    <w:p>
      <w:pPr>
        <w:pStyle w:val="ListParagraph"/>
        <w:numPr>
          <w:ilvl w:val="0"/>
          <w:numId w:val="2"/>
        </w:numPr>
        <w:spacing w:after="100"/>
      </w:pPr>
      <w:r>
        <w:t xml:space="preserve">Likelihood of exploitation based on threat intelligence</w:t>
      </w:r>
    </w:p>
    <w:p>
      <w:pPr>
        <w:pStyle w:val="Heading2"/>
        <w:spacing w:after="120" w:before="240"/>
      </w:pPr>
      <w:r>
        <w:t xml:space="preserve">5.3 Attack Path Analysis</w:t>
      </w:r>
    </w:p>
    <w:p>
      <w:pPr>
        <w:pStyle w:val="ListParagraph"/>
        <w:numPr>
          <w:ilvl w:val="0"/>
          <w:numId w:val="2"/>
        </w:numPr>
        <w:spacing w:after="100"/>
      </w:pPr>
      <w:r>
        <w:t xml:space="preserve">Mapping how an attacker could pivot from one asset to another</w:t>
      </w:r>
    </w:p>
    <w:p>
      <w:pPr>
        <w:pStyle w:val="ListParagraph"/>
        <w:numPr>
          <w:ilvl w:val="0"/>
          <w:numId w:val="2"/>
        </w:numPr>
        <w:spacing w:after="100"/>
      </w:pPr>
      <w:r>
        <w:t xml:space="preserve">Identifying chokepoints where segmentation can limit lateral movement</w:t>
      </w:r>
    </w:p>
    <w:p>
      <w:pPr>
        <w:pStyle w:val="Heading1"/>
        <w:spacing w:after="160" w:before="320"/>
      </w:pPr>
      <w:r>
        <w:t xml:space="preserve">6. Tools Used in Asset and Attack Surface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color="auto" w:val="clear"/>
            <w:tcMar>
              <w:top w:type="dxa" w:w="100"/>
              <w:left w:type="dxa" w:w="120"/>
              <w:bottom w:type="dxa" w:w="100"/>
              <w:right w:type="dxa" w:w="120"/>
            </w:tcMar>
          </w:tcPr>
          <w:p>
            <w:r>
              <w:rPr>
                <w:b/>
                <w:bCs/>
                <w:color w:val="FFFFFF"/>
                <w:sz w:val="20"/>
                <w:szCs w:val="20"/>
              </w:rPr>
              <w:t xml:space="preserve">Category</w:t>
            </w:r>
          </w:p>
        </w:tc>
        <w:tc>
          <w:tcPr>
            <w:tcW w:type="dxa" w:w="3000"/>
            <w:shd w:fill="1F4E79" w:color="auto" w:val="clear"/>
            <w:tcMar>
              <w:top w:type="dxa" w:w="100"/>
              <w:left w:type="dxa" w:w="120"/>
              <w:bottom w:type="dxa" w:w="100"/>
              <w:right w:type="dxa" w:w="120"/>
            </w:tcMar>
          </w:tcPr>
          <w:p>
            <w:r>
              <w:rPr>
                <w:b/>
                <w:bCs/>
                <w:color w:val="FFFFFF"/>
                <w:sz w:val="20"/>
                <w:szCs w:val="20"/>
              </w:rPr>
              <w:t xml:space="preserve">Example Tools</w:t>
            </w:r>
          </w:p>
        </w:tc>
        <w:tc>
          <w:tcPr>
            <w:tcW w:type="dxa" w:w="3000"/>
            <w:shd w:fill="1F4E79" w:color="auto" w:val="clear"/>
            <w:tcMar>
              <w:top w:type="dxa" w:w="100"/>
              <w:left w:type="dxa" w:w="120"/>
              <w:bottom w:type="dxa" w:w="100"/>
              <w:right w:type="dxa" w:w="120"/>
            </w:tcMar>
          </w:tcPr>
          <w:p>
            <w:r>
              <w:rPr>
                <w:b/>
                <w:bCs/>
                <w:color w:val="FFFFFF"/>
                <w:sz w:val="20"/>
                <w:szCs w:val="20"/>
              </w:rPr>
              <w:t xml:space="preserve">Purpose</w:t>
            </w:r>
          </w:p>
        </w:tc>
      </w:tr>
      <w:tr>
        <w:tc>
          <w:tcPr>
            <w:tcW w:type="dxa" w:w="3000"/>
            <w:tcMar>
              <w:top w:type="dxa" w:w="100"/>
              <w:left w:type="dxa" w:w="120"/>
              <w:bottom w:type="dxa" w:w="100"/>
              <w:right w:type="dxa" w:w="120"/>
            </w:tcMar>
          </w:tcPr>
          <w:p>
            <w:r>
              <w:rPr>
                <w:b w:val="false"/>
                <w:bCs w:val="false"/>
                <w:color w:val="000000"/>
                <w:sz w:val="20"/>
                <w:szCs w:val="20"/>
              </w:rPr>
              <w:t xml:space="preserve">Network scanning</w:t>
            </w:r>
          </w:p>
        </w:tc>
        <w:tc>
          <w:tcPr>
            <w:tcW w:type="dxa" w:w="3000"/>
            <w:tcMar>
              <w:top w:type="dxa" w:w="100"/>
              <w:left w:type="dxa" w:w="120"/>
              <w:bottom w:type="dxa" w:w="100"/>
              <w:right w:type="dxa" w:w="120"/>
            </w:tcMar>
          </w:tcPr>
          <w:p>
            <w:r>
              <w:rPr>
                <w:b w:val="false"/>
                <w:bCs w:val="false"/>
                <w:color w:val="000000"/>
                <w:sz w:val="20"/>
                <w:szCs w:val="20"/>
              </w:rPr>
              <w:t xml:space="preserve">Nmap, Masscan</w:t>
            </w:r>
          </w:p>
        </w:tc>
        <w:tc>
          <w:tcPr>
            <w:tcW w:type="dxa" w:w="3000"/>
            <w:tcMar>
              <w:top w:type="dxa" w:w="100"/>
              <w:left w:type="dxa" w:w="120"/>
              <w:bottom w:type="dxa" w:w="100"/>
              <w:right w:type="dxa" w:w="120"/>
            </w:tcMar>
          </w:tcPr>
          <w:p>
            <w:r>
              <w:rPr>
                <w:b w:val="false"/>
                <w:bCs w:val="false"/>
                <w:color w:val="000000"/>
                <w:sz w:val="20"/>
                <w:szCs w:val="20"/>
              </w:rPr>
              <w:t xml:space="preserve">Discover live hosts and open ports</w:t>
            </w:r>
          </w:p>
        </w:tc>
      </w:tr>
      <w:tr>
        <w:tc>
          <w:tcPr>
            <w:tcW w:type="dxa" w:w="3000"/>
            <w:tcMar>
              <w:top w:type="dxa" w:w="100"/>
              <w:left w:type="dxa" w:w="120"/>
              <w:bottom w:type="dxa" w:w="100"/>
              <w:right w:type="dxa" w:w="120"/>
            </w:tcMar>
          </w:tcPr>
          <w:p>
            <w:r>
              <w:rPr>
                <w:b w:val="false"/>
                <w:bCs w:val="false"/>
                <w:color w:val="000000"/>
                <w:sz w:val="20"/>
                <w:szCs w:val="20"/>
              </w:rPr>
              <w:t xml:space="preserve">Vulnerability scanning</w:t>
            </w:r>
          </w:p>
        </w:tc>
        <w:tc>
          <w:tcPr>
            <w:tcW w:type="dxa" w:w="3000"/>
            <w:tcMar>
              <w:top w:type="dxa" w:w="100"/>
              <w:left w:type="dxa" w:w="120"/>
              <w:bottom w:type="dxa" w:w="100"/>
              <w:right w:type="dxa" w:w="120"/>
            </w:tcMar>
          </w:tcPr>
          <w:p>
            <w:r>
              <w:rPr>
                <w:b w:val="false"/>
                <w:bCs w:val="false"/>
                <w:color w:val="000000"/>
                <w:sz w:val="20"/>
                <w:szCs w:val="20"/>
              </w:rPr>
              <w:t xml:space="preserve">Nessus, OpenVAS, Qualys</w:t>
            </w:r>
          </w:p>
        </w:tc>
        <w:tc>
          <w:tcPr>
            <w:tcW w:type="dxa" w:w="3000"/>
            <w:tcMar>
              <w:top w:type="dxa" w:w="100"/>
              <w:left w:type="dxa" w:w="120"/>
              <w:bottom w:type="dxa" w:w="100"/>
              <w:right w:type="dxa" w:w="120"/>
            </w:tcMar>
          </w:tcPr>
          <w:p>
            <w:r>
              <w:rPr>
                <w:b w:val="false"/>
                <w:bCs w:val="false"/>
                <w:color w:val="000000"/>
                <w:sz w:val="20"/>
                <w:szCs w:val="20"/>
              </w:rPr>
              <w:t xml:space="preserve">Detect known vulnerabilities</w:t>
            </w:r>
          </w:p>
        </w:tc>
      </w:tr>
      <w:tr>
        <w:tc>
          <w:tcPr>
            <w:tcW w:type="dxa" w:w="3000"/>
            <w:tcMar>
              <w:top w:type="dxa" w:w="100"/>
              <w:left w:type="dxa" w:w="120"/>
              <w:bottom w:type="dxa" w:w="100"/>
              <w:right w:type="dxa" w:w="120"/>
            </w:tcMar>
          </w:tcPr>
          <w:p>
            <w:r>
              <w:rPr>
                <w:b w:val="false"/>
                <w:bCs w:val="false"/>
                <w:color w:val="000000"/>
                <w:sz w:val="20"/>
                <w:szCs w:val="20"/>
              </w:rPr>
              <w:t xml:space="preserve">Attack surface management</w:t>
            </w:r>
          </w:p>
        </w:tc>
        <w:tc>
          <w:tcPr>
            <w:tcW w:type="dxa" w:w="3000"/>
            <w:tcMar>
              <w:top w:type="dxa" w:w="100"/>
              <w:left w:type="dxa" w:w="120"/>
              <w:bottom w:type="dxa" w:w="100"/>
              <w:right w:type="dxa" w:w="120"/>
            </w:tcMar>
          </w:tcPr>
          <w:p>
            <w:r>
              <w:rPr>
                <w:b w:val="false"/>
                <w:bCs w:val="false"/>
                <w:color w:val="000000"/>
                <w:sz w:val="20"/>
                <w:szCs w:val="20"/>
              </w:rPr>
              <w:t xml:space="preserve">Shodan, Censys</w:t>
            </w:r>
          </w:p>
        </w:tc>
        <w:tc>
          <w:tcPr>
            <w:tcW w:type="dxa" w:w="3000"/>
            <w:tcMar>
              <w:top w:type="dxa" w:w="100"/>
              <w:left w:type="dxa" w:w="120"/>
              <w:bottom w:type="dxa" w:w="100"/>
              <w:right w:type="dxa" w:w="120"/>
            </w:tcMar>
          </w:tcPr>
          <w:p>
            <w:r>
              <w:rPr>
                <w:b w:val="false"/>
                <w:bCs w:val="false"/>
                <w:color w:val="000000"/>
                <w:sz w:val="20"/>
                <w:szCs w:val="20"/>
              </w:rPr>
              <w:t xml:space="preserve">External-facing asset discovery</w:t>
            </w:r>
          </w:p>
        </w:tc>
      </w:tr>
      <w:tr>
        <w:tc>
          <w:tcPr>
            <w:tcW w:type="dxa" w:w="3000"/>
            <w:tcMar>
              <w:top w:type="dxa" w:w="100"/>
              <w:left w:type="dxa" w:w="120"/>
              <w:bottom w:type="dxa" w:w="100"/>
              <w:right w:type="dxa" w:w="120"/>
            </w:tcMar>
          </w:tcPr>
          <w:p>
            <w:r>
              <w:rPr>
                <w:b w:val="false"/>
                <w:bCs w:val="false"/>
                <w:color w:val="000000"/>
                <w:sz w:val="20"/>
                <w:szCs w:val="20"/>
              </w:rPr>
              <w:t xml:space="preserve">Configuration auditing</w:t>
            </w:r>
          </w:p>
        </w:tc>
        <w:tc>
          <w:tcPr>
            <w:tcW w:type="dxa" w:w="3000"/>
            <w:tcMar>
              <w:top w:type="dxa" w:w="100"/>
              <w:left w:type="dxa" w:w="120"/>
              <w:bottom w:type="dxa" w:w="100"/>
              <w:right w:type="dxa" w:w="120"/>
            </w:tcMar>
          </w:tcPr>
          <w:p>
            <w:r>
              <w:rPr>
                <w:b w:val="false"/>
                <w:bCs w:val="false"/>
                <w:color w:val="000000"/>
                <w:sz w:val="20"/>
                <w:szCs w:val="20"/>
              </w:rPr>
              <w:t xml:space="preserve">CIS-CAT, Lynis</w:t>
            </w:r>
          </w:p>
        </w:tc>
        <w:tc>
          <w:tcPr>
            <w:tcW w:type="dxa" w:w="3000"/>
            <w:tcMar>
              <w:top w:type="dxa" w:w="100"/>
              <w:left w:type="dxa" w:w="120"/>
              <w:bottom w:type="dxa" w:w="100"/>
              <w:right w:type="dxa" w:w="120"/>
            </w:tcMar>
          </w:tcPr>
          <w:p>
            <w:r>
              <w:rPr>
                <w:b w:val="false"/>
                <w:bCs w:val="false"/>
                <w:color w:val="000000"/>
                <w:sz w:val="20"/>
                <w:szCs w:val="20"/>
              </w:rPr>
              <w:t xml:space="preserve">Check systems against security baselines</w:t>
            </w:r>
          </w:p>
        </w:tc>
      </w:tr>
      <w:tr>
        <w:tc>
          <w:tcPr>
            <w:tcW w:type="dxa" w:w="3000"/>
            <w:tcMar>
              <w:top w:type="dxa" w:w="100"/>
              <w:left w:type="dxa" w:w="120"/>
              <w:bottom w:type="dxa" w:w="100"/>
              <w:right w:type="dxa" w:w="120"/>
            </w:tcMar>
          </w:tcPr>
          <w:p>
            <w:r>
              <w:rPr>
                <w:b w:val="false"/>
                <w:bCs w:val="false"/>
                <w:color w:val="000000"/>
                <w:sz w:val="20"/>
                <w:szCs w:val="20"/>
              </w:rPr>
              <w:t xml:space="preserve">Asset inventory / CMDB</w:t>
            </w:r>
          </w:p>
        </w:tc>
        <w:tc>
          <w:tcPr>
            <w:tcW w:type="dxa" w:w="3000"/>
            <w:tcMar>
              <w:top w:type="dxa" w:w="100"/>
              <w:left w:type="dxa" w:w="120"/>
              <w:bottom w:type="dxa" w:w="100"/>
              <w:right w:type="dxa" w:w="120"/>
            </w:tcMar>
          </w:tcPr>
          <w:p>
            <w:r>
              <w:rPr>
                <w:b w:val="false"/>
                <w:bCs w:val="false"/>
                <w:color w:val="000000"/>
                <w:sz w:val="20"/>
                <w:szCs w:val="20"/>
              </w:rPr>
              <w:t xml:space="preserve">Lansweeper, ServiceNow</w:t>
            </w:r>
          </w:p>
        </w:tc>
        <w:tc>
          <w:tcPr>
            <w:tcW w:type="dxa" w:w="3000"/>
            <w:tcMar>
              <w:top w:type="dxa" w:w="100"/>
              <w:left w:type="dxa" w:w="120"/>
              <w:bottom w:type="dxa" w:w="100"/>
              <w:right w:type="dxa" w:w="120"/>
            </w:tcMar>
          </w:tcPr>
          <w:p>
            <w:r>
              <w:rPr>
                <w:b w:val="false"/>
                <w:bCs w:val="false"/>
                <w:color w:val="000000"/>
                <w:sz w:val="20"/>
                <w:szCs w:val="20"/>
              </w:rPr>
              <w:t xml:space="preserve">Maintain a central asset record</w:t>
            </w:r>
          </w:p>
        </w:tc>
      </w:tr>
    </w:tbl>
    <w:p>
      <w:pPr>
        <w:spacing w:after="160"/>
      </w:pPr>
    </w:p>
    <w:p>
      <w:pPr>
        <w:pStyle w:val="Heading1"/>
        <w:spacing w:after="160" w:before="320"/>
      </w:pPr>
      <w:r>
        <w:t xml:space="preserve">7. Strategies to Reduce Attack Surface Exposure</w:t>
      </w:r>
    </w:p>
    <w:p>
      <w:pPr>
        <w:pStyle w:val="ListParagraph"/>
        <w:numPr>
          <w:ilvl w:val="0"/>
          <w:numId w:val="2"/>
        </w:numPr>
        <w:spacing w:after="100"/>
      </w:pPr>
      <w:r>
        <w:t xml:space="preserve">Decommission unused or unmanaged assets</w:t>
      </w:r>
    </w:p>
    <w:p>
      <w:pPr>
        <w:pStyle w:val="ListParagraph"/>
        <w:numPr>
          <w:ilvl w:val="0"/>
          <w:numId w:val="2"/>
        </w:numPr>
        <w:spacing w:after="100"/>
      </w:pPr>
      <w:r>
        <w:t xml:space="preserve">Close unnecessary open ports and disable unused services</w:t>
      </w:r>
    </w:p>
    <w:p>
      <w:pPr>
        <w:pStyle w:val="ListParagraph"/>
        <w:numPr>
          <w:ilvl w:val="0"/>
          <w:numId w:val="2"/>
        </w:numPr>
        <w:spacing w:after="100"/>
      </w:pPr>
      <w:r>
        <w:t xml:space="preserve">Apply network segmentation to isolate critical assets</w:t>
      </w:r>
    </w:p>
    <w:p>
      <w:pPr>
        <w:pStyle w:val="ListParagraph"/>
        <w:numPr>
          <w:ilvl w:val="0"/>
          <w:numId w:val="2"/>
        </w:numPr>
        <w:spacing w:after="100"/>
      </w:pPr>
      <w:r>
        <w:t xml:space="preserve">Enforce least-privilege access and multi-factor authentication</w:t>
      </w:r>
    </w:p>
    <w:p>
      <w:pPr>
        <w:pStyle w:val="ListParagraph"/>
        <w:numPr>
          <w:ilvl w:val="0"/>
          <w:numId w:val="2"/>
        </w:numPr>
        <w:spacing w:after="100"/>
      </w:pPr>
      <w:r>
        <w:t xml:space="preserve">Continuously monitor for newly appearing assets (shadow IT)</w:t>
      </w:r>
    </w:p>
    <w:p>
      <w:pPr>
        <w:pStyle w:val="ListParagraph"/>
        <w:numPr>
          <w:ilvl w:val="0"/>
          <w:numId w:val="2"/>
        </w:numPr>
        <w:spacing w:after="100"/>
      </w:pPr>
      <w:r>
        <w:t xml:space="preserve">Patch and update systems on a regular cycle</w:t>
      </w:r>
    </w:p>
    <w:p>
      <w:pPr>
        <w:pStyle w:val="Heading1"/>
        <w:spacing w:after="160" w:before="320"/>
      </w:pPr>
      <w:r>
        <w:t xml:space="preserve">8. Case Study: Asset Discovery in a Mid-Sized Enterprise</w:t>
      </w:r>
    </w:p>
    <w:p>
      <w:pPr>
        <w:spacing w:after="160"/>
        <w:jc w:val="both"/>
      </w:pPr>
      <w:r>
        <w:rPr>
          <w:sz w:val="22"/>
          <w:szCs w:val="22"/>
        </w:rPr>
        <w:t xml:space="preserve">A mid-sized enterprise undertook a full network asset identification exercise after an internal audit found several unmanaged devices connected to its network. Using automated network scanning and an Attack Surface Management platform, the security team built a complete inventory of hardware, cloud resources, and internet-facing services.</w:t>
      </w:r>
    </w:p>
    <w:p>
      <w:pPr>
        <w:pStyle w:val="Heading2"/>
        <w:spacing w:after="120" w:before="240"/>
      </w:pPr>
      <w:r>
        <w:t xml:space="preserve">Outcome</w:t>
      </w:r>
    </w:p>
    <w:p>
      <w:pPr>
        <w:pStyle w:val="ListParagraph"/>
        <w:numPr>
          <w:ilvl w:val="0"/>
          <w:numId w:val="2"/>
        </w:numPr>
        <w:spacing w:after="100"/>
      </w:pPr>
      <w:r>
        <w:t xml:space="preserve">Identified 15% more assets than were previously recorded in the CMDB</w:t>
      </w:r>
    </w:p>
    <w:p>
      <w:pPr>
        <w:pStyle w:val="ListParagraph"/>
        <w:numPr>
          <w:ilvl w:val="0"/>
          <w:numId w:val="2"/>
        </w:numPr>
        <w:spacing w:after="100"/>
      </w:pPr>
      <w:r>
        <w:t xml:space="preserve">Discovered three internet-exposed services that had no business justification</w:t>
      </w:r>
    </w:p>
    <w:p>
      <w:pPr>
        <w:pStyle w:val="ListParagraph"/>
        <w:numPr>
          <w:ilvl w:val="0"/>
          <w:numId w:val="2"/>
        </w:numPr>
        <w:spacing w:after="100"/>
      </w:pPr>
      <w:r>
        <w:t xml:space="preserve">Reduced the external attack surface by decommissioning unused subdomains and closing open ports</w:t>
      </w:r>
    </w:p>
    <w:p>
      <w:pPr>
        <w:pStyle w:val="ListParagraph"/>
        <w:numPr>
          <w:ilvl w:val="0"/>
          <w:numId w:val="2"/>
        </w:numPr>
        <w:spacing w:after="100"/>
      </w:pPr>
      <w:r>
        <w:t xml:space="preserve">Established continuous asset-discovery scanning to prevent future blind spots</w:t>
      </w:r>
    </w:p>
    <w:p>
      <w:pPr>
        <w:pStyle w:val="Heading1"/>
        <w:spacing w:after="160" w:before="320"/>
      </w:pPr>
      <w:r>
        <w:t xml:space="preserve">9. Challenges in Asset Identification and Analysis</w:t>
      </w:r>
    </w:p>
    <w:p>
      <w:pPr>
        <w:pStyle w:val="ListParagraph"/>
        <w:numPr>
          <w:ilvl w:val="0"/>
          <w:numId w:val="2"/>
        </w:numPr>
        <w:spacing w:after="100"/>
      </w:pPr>
      <w:r>
        <w:t xml:space="preserve">Dynamic and cloud-based environments that change constantly</w:t>
      </w:r>
    </w:p>
    <w:p>
      <w:pPr>
        <w:pStyle w:val="ListParagraph"/>
        <w:numPr>
          <w:ilvl w:val="0"/>
          <w:numId w:val="2"/>
        </w:numPr>
        <w:spacing w:after="100"/>
      </w:pPr>
      <w:r>
        <w:t xml:space="preserve">Shadow IT and unauthorized devices outside official inventory</w:t>
      </w:r>
    </w:p>
    <w:p>
      <w:pPr>
        <w:pStyle w:val="ListParagraph"/>
        <w:numPr>
          <w:ilvl w:val="0"/>
          <w:numId w:val="2"/>
        </w:numPr>
        <w:spacing w:after="100"/>
      </w:pPr>
      <w:r>
        <w:t xml:space="preserve">Incomplete or outdated asset records</w:t>
      </w:r>
    </w:p>
    <w:p>
      <w:pPr>
        <w:pStyle w:val="ListParagraph"/>
        <w:numPr>
          <w:ilvl w:val="0"/>
          <w:numId w:val="2"/>
        </w:numPr>
        <w:spacing w:after="100"/>
      </w:pPr>
      <w:r>
        <w:t xml:space="preserve">Limited visibility into third-party and vendor-connected systems</w:t>
      </w:r>
    </w:p>
    <w:p>
      <w:pPr>
        <w:pStyle w:val="ListParagraph"/>
        <w:numPr>
          <w:ilvl w:val="0"/>
          <w:numId w:val="2"/>
        </w:numPr>
        <w:spacing w:after="100"/>
      </w:pPr>
      <w:r>
        <w:t xml:space="preserve">Resource and budget constraints for continuous monitoring</w:t>
      </w:r>
    </w:p>
    <w:p>
      <w:pPr>
        <w:pStyle w:val="Heading1"/>
        <w:spacing w:after="160" w:before="320"/>
      </w:pPr>
      <w:r>
        <w:t xml:space="preserve">10. Best Practices</w:t>
      </w:r>
    </w:p>
    <w:p>
      <w:pPr>
        <w:pStyle w:val="ListParagraph"/>
        <w:numPr>
          <w:ilvl w:val="0"/>
          <w:numId w:val="2"/>
        </w:numPr>
        <w:spacing w:after="100"/>
      </w:pPr>
      <w:r>
        <w:t xml:space="preserve">Maintain a continuously updated asset inventory</w:t>
      </w:r>
    </w:p>
    <w:p>
      <w:pPr>
        <w:pStyle w:val="ListParagraph"/>
        <w:numPr>
          <w:ilvl w:val="0"/>
          <w:numId w:val="2"/>
        </w:numPr>
        <w:spacing w:after="100"/>
      </w:pPr>
      <w:r>
        <w:t xml:space="preserve">Combine internal scanning with external attack surface monitoring</w:t>
      </w:r>
    </w:p>
    <w:p>
      <w:pPr>
        <w:pStyle w:val="ListParagraph"/>
        <w:numPr>
          <w:ilvl w:val="0"/>
          <w:numId w:val="2"/>
        </w:numPr>
        <w:spacing w:after="100"/>
      </w:pPr>
      <w:r>
        <w:t xml:space="preserve">Prioritize remediation using risk-based scoring (e.g., CVSS)</w:t>
      </w:r>
    </w:p>
    <w:p>
      <w:pPr>
        <w:pStyle w:val="ListParagraph"/>
        <w:numPr>
          <w:ilvl w:val="0"/>
          <w:numId w:val="2"/>
        </w:numPr>
        <w:spacing w:after="100"/>
      </w:pPr>
      <w:r>
        <w:t xml:space="preserve">Integrate asset discovery into the DevSecOps pipeline</w:t>
      </w:r>
    </w:p>
    <w:p>
      <w:pPr>
        <w:pStyle w:val="ListParagraph"/>
        <w:numPr>
          <w:ilvl w:val="0"/>
          <w:numId w:val="2"/>
        </w:numPr>
        <w:spacing w:after="100"/>
      </w:pPr>
      <w:r>
        <w:t xml:space="preserve">Review and validate asset ownership periodically</w:t>
      </w:r>
    </w:p>
    <w:p>
      <w:pPr>
        <w:pStyle w:val="Heading1"/>
        <w:spacing w:after="160" w:before="320"/>
      </w:pPr>
      <w:r>
        <w:t xml:space="preserve">11. Conclusion</w:t>
      </w:r>
    </w:p>
    <w:p>
      <w:pPr>
        <w:spacing w:after="160"/>
        <w:jc w:val="both"/>
      </w:pPr>
      <w:r>
        <w:rPr>
          <w:sz w:val="22"/>
          <w:szCs w:val="22"/>
        </w:rPr>
        <w:t xml:space="preserve">Identifying and analyzing network assets is the essential first step in managing an organization's attack surface. Without an accurate and current inventory, security teams cannot reliably assess exposure or prioritize defenses. By combining automated discovery tools, structured risk analysis, and continuous monitoring, organizations can convert an unknown attack surface into a well-understood and actively managed one — reducing the likelihood that an overlooked asset becomes the entry point for a breach.</w:t>
      </w:r>
    </w:p>
    <w:p>
      <w:pPr>
        <w:pStyle w:val="Heading1"/>
        <w:spacing w:after="160" w:before="320"/>
      </w:pPr>
      <w:r>
        <w:t xml:space="preserve">12. References</w:t>
      </w:r>
    </w:p>
    <w:p>
      <w:pPr>
        <w:pStyle w:val="ListParagraph"/>
        <w:numPr>
          <w:ilvl w:val="0"/>
          <w:numId w:val="2"/>
        </w:numPr>
        <w:spacing w:after="100"/>
      </w:pPr>
      <w:r>
        <w:t xml:space="preserve">National Institute of Standards and Technology (NIST). Cybersecurity Framework (CSF 2.0).</w:t>
      </w:r>
    </w:p>
    <w:p>
      <w:pPr>
        <w:pStyle w:val="ListParagraph"/>
        <w:numPr>
          <w:ilvl w:val="0"/>
          <w:numId w:val="2"/>
        </w:numPr>
        <w:spacing w:after="100"/>
      </w:pPr>
      <w:r>
        <w:t xml:space="preserve">NIST Special Publication 800-53, Security and Privacy Controls for Information Systems and Organizations.</w:t>
      </w:r>
    </w:p>
    <w:p>
      <w:pPr>
        <w:pStyle w:val="ListParagraph"/>
        <w:numPr>
          <w:ilvl w:val="0"/>
          <w:numId w:val="2"/>
        </w:numPr>
        <w:spacing w:after="100"/>
      </w:pPr>
      <w:r>
        <w:t xml:space="preserve">Center for Internet Security (CIS). CIS Critical Security Controls v8.</w:t>
      </w:r>
    </w:p>
    <w:p>
      <w:pPr>
        <w:pStyle w:val="ListParagraph"/>
        <w:numPr>
          <w:ilvl w:val="0"/>
          <w:numId w:val="2"/>
        </w:numPr>
        <w:spacing w:after="100"/>
      </w:pPr>
      <w:r>
        <w:t xml:space="preserve">OWASP Foundation. Attack Surface Analysis Cheat Sheet.</w:t>
      </w:r>
    </w:p>
    <w:p>
      <w:pPr>
        <w:pStyle w:val="ListParagraph"/>
        <w:numPr>
          <w:ilvl w:val="0"/>
          <w:numId w:val="2"/>
        </w:numPr>
        <w:spacing w:after="100"/>
      </w:pPr>
      <w:r>
        <w:t xml:space="preserve">William Stallings, Network Security Essentials: Applications and Standards, Pearson.</w:t>
      </w:r>
    </w:p>
    <w:p>
      <w:pPr>
        <w:pStyle w:val="ListParagraph"/>
        <w:numPr>
          <w:ilvl w:val="0"/>
          <w:numId w:val="2"/>
        </w:numPr>
        <w:spacing w:after="100"/>
      </w:pPr>
      <w:r>
        <w:t xml:space="preserve">Charles P. Pfleeger &amp; Shari Lawrence Pfleeger, Security in Computing, Pearson.</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Abhinav Reddy | 192465054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2026-08-05T03:10:57.353Z</dcterms:created>
  <dcterms:modified xsi:type="dcterms:W3CDTF">2026-08-05T03:10:57.353Z</dcterms:modified>
</cp:coreProperties>
</file>

<file path=docProps/custom.xml><?xml version="1.0" encoding="utf-8"?>
<Properties xmlns="http://schemas.openxmlformats.org/officeDocument/2006/custom-properties" xmlns:vt="http://schemas.openxmlformats.org/officeDocument/2006/docPropsVTypes"/>
</file>