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6 Code and Branch Coverage</w:t>
      </w:r>
    </w:p>
    <w:p>
      <w:r>
        <w:t>Application: Irrigation Scheduler | Repository: L6_L7_37_irrigation_scheduler</w:t>
      </w:r>
    </w:p>
    <w:p>
      <w:r>
        <w:t>Tests were added to measure line and branch coverage of irrigation_scheduler.py. Both suites achieved 100% coverage; all 48 tests, including the starter tests, passed.</w:t>
      </w:r>
    </w:p>
    <w:p>
      <w:pPr>
        <w:pStyle w:val="Heading1"/>
      </w:pPr>
      <w:r>
        <w:t>Code coverage</w:t>
      </w:r>
    </w:p>
    <w:p>
      <w:r>
        <w:t>12 test cases passed. All 38 executable statements were covered, with no missing lines. The tests cover irrigation decisions, water volume, invalid area, and schedule budget handling.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552000" cy="304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cover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304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Branch coverage</w:t>
      </w:r>
    </w:p>
    <w:p>
      <w:r>
        <w:t>34 test cases passed. All 28 branch outcomes were covered, with no partial branches. Tests include threshold values, empty schedules, exact budgets, skipped zones, and budget exhaustion.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6552000" cy="304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ch_cover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304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765" w:right="794" w:bottom="765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6 Code and Branch Coverage</dc:title>
  <dc:subject>Irrigation Scheduler coverage results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