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“SOC Analyst Assistant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 Incident RAG Investigation System”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36"/>
          <w:shd w:fill="auto" w:val="clear"/>
        </w:rPr>
        <w:t xml:space="preserve">Scenario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48"/>
          <w:shd w:fill="auto" w:val="clear"/>
        </w:rPr>
        <w:t xml:space="preserve">Functional Requirements (Base 40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1. Load the Dataset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1194">
          <v:rect xmlns:o="urn:schemas-microsoft-com:office:office" xmlns:v="urn:schemas-microsoft-com:vml" id="rectole0000000000" style="width:437.350000pt;height:59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2. Chunking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890">
          <v:rect xmlns:o="urn:schemas-microsoft-com:office:office" xmlns:v="urn:schemas-microsoft-com:vml" id="rectole0000000001" style="width:437.350000pt;height:44.5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3. Embeddings + FAISS Vector Store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1923">
          <v:rect xmlns:o="urn:schemas-microsoft-com:office:office" xmlns:v="urn:schemas-microsoft-com:vml" id="rectole0000000002" style="width:437.350000pt;height:96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4. Bonus: Hybrid Retrieval (10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465">
          <v:rect xmlns:o="urn:schemas-microsoft-com:office:office" xmlns:v="urn:schemas-microsoft-com:vml" id="rectole0000000003" style="width:437.350000pt;height:23.2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5. LCEL RAG Chain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2186">
          <v:rect xmlns:o="urn:schemas-microsoft-com:office:office" xmlns:v="urn:schemas-microsoft-com:vml" id="rectole0000000004" style="width:437.350000pt;height:109.3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2753">
          <v:rect xmlns:o="urn:schemas-microsoft-com:office:office" xmlns:v="urn:schemas-microsoft-com:vml" id="rectole0000000005" style="width:437.350000pt;height:137.6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4697">
          <v:rect xmlns:o="urn:schemas-microsoft-com:office:office" xmlns:v="urn:schemas-microsoft-com:vml" id="rectole0000000006" style="width:437.350000pt;height:234.8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6. Memory (10 Marks)</w:t>
      </w:r>
    </w:p>
    <w:p>
      <w:pPr>
        <w:tabs>
          <w:tab w:val="left" w:pos="1995" w:leader="none"/>
        </w:tabs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object w:dxaOrig="8747" w:dyaOrig="364">
          <v:rect xmlns:o="urn:schemas-microsoft-com:office:office" xmlns:v="urn:schemas-microsoft-com:vml" id="rectole0000000007" style="width:437.350000pt;height:18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Bonus 1: Add a Tool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Threat Enrichment (5 Marks)</w:t>
      </w:r>
    </w:p>
    <w:p>
      <w:pPr>
        <w:tabs>
          <w:tab w:val="left" w:pos="1995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747" w:dyaOrig="1052">
          <v:rect xmlns:o="urn:schemas-microsoft-com:office:office" xmlns:v="urn:schemas-microsoft-com:vml" id="rectole0000000008" style="width:437.350000pt;height:52.6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tabs>
          <w:tab w:val="left" w:pos="1995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  <w:t xml:space="preserve">Bonus 2: Entity Memory Extraction (5 Marks)</w: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  <w:r>
        <w:object w:dxaOrig="8747" w:dyaOrig="2186">
          <v:rect xmlns:o="urn:schemas-microsoft-com:office:office" xmlns:v="urn:schemas-microsoft-com:vml" id="rectole0000000009" style="width:437.350000pt;height:109.3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7"/>
          <w:shd w:fill="auto" w:val="clear"/>
        </w:rPr>
      </w:pPr>
    </w:p>
    <w:p>
      <w:pPr>
        <w:spacing w:before="100" w:after="1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Bonus 3: Threat Score (5 Marks)</w:t>
      </w: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</w:p>
    <w:p>
      <w:pPr>
        <w:tabs>
          <w:tab w:val="left" w:pos="1995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object w:dxaOrig="8747" w:dyaOrig="2753">
          <v:rect xmlns:o="urn:schemas-microsoft-com:office:office" xmlns:v="urn:schemas-microsoft-com:vml" id="rectole0000000010" style="width:437.350000pt;height:137.65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Bonus 4: Structured Output (JSON) (5 Marks)</w:t>
      </w:r>
    </w:p>
    <w:p>
      <w:pPr>
        <w:tabs>
          <w:tab w:val="left" w:pos="1995" w:leader="none"/>
        </w:tabs>
        <w:spacing w:before="0" w:after="20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object w:dxaOrig="8747" w:dyaOrig="3280">
          <v:rect xmlns:o="urn:schemas-microsoft-com:office:office" xmlns:v="urn:schemas-microsoft-com:vml" id="rectole0000000011" style="width:437.350000pt;height:164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1995" w:leader="none"/>
        </w:tabs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numbering.xml" Id="docRId24" Type="http://schemas.openxmlformats.org/officeDocument/2006/relationships/numbering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media/image10.wmf" Id="docRId21" Type="http://schemas.openxmlformats.org/officeDocument/2006/relationships/image" /><Relationship Target="styles.xml" Id="docRId25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/Relationships>
</file>