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Segoe UI" w:cs="Segoe UI" w:eastAsia="Segoe UI" w:hAnsi="Segoe UI"/>
          <w:b/>
          <w:bCs/>
          <w:color w:val="0F5B6B"/>
          <w:sz w:val="40"/>
          <w:szCs w:val="40"/>
        </w:rPr>
        <w:t xml:space="preserve">IDBI Innovate 2026: Data Field Requirements</w:t>
      </w:r>
    </w:p>
    <w:p>
      <w:pPr>
        <w:spacing w:after="60"/>
        <w:jc w:val="center"/>
      </w:pPr>
      <w:r>
        <w:rPr>
          <w:rFonts w:ascii="Segoe UI" w:cs="Segoe UI" w:eastAsia="Segoe UI" w:hAnsi="Segoe UI"/>
          <w:b/>
          <w:bCs/>
          <w:sz w:val="26"/>
          <w:szCs w:val="26"/>
        </w:rPr>
        <w:t xml:space="preserve">FinRiskLens AI — AI-Powered MSME Credit Risk Intelligence</w:t>
      </w:r>
    </w:p>
    <w:p>
      <w:pPr>
        <w:pBdr>
          <w:bottom w:val="single" w:color="0F5B6B" w:sz="8" w:space="6"/>
        </w:pBdr>
        <w:spacing w:after="320"/>
        <w:jc w:val="center"/>
      </w:pPr>
      <w:r>
        <w:rPr>
          <w:rFonts w:ascii="Segoe UI" w:cs="Segoe UI" w:eastAsia="Segoe UI" w:hAnsi="Segoe UI"/>
          <w:color w:val="555555"/>
          <w:sz w:val="20"/>
          <w:szCs w:val="20"/>
        </w:rPr>
        <w:t xml:space="preserve">Team ASM FinTech  ·  Prototype API Data Requirements  ·  Submitted 24 August 2026</w:t>
      </w:r>
    </w:p>
    <w:p>
      <w:pPr>
        <w:spacing w:after="100" w:before="140"/>
      </w:pPr>
      <w:r>
        <w:rPr>
          <w:rFonts w:ascii="Segoe UI" w:cs="Segoe UI" w:eastAsia="Segoe UI" w:hAnsi="Segoe UI"/>
          <w:b/>
          <w:bCs/>
          <w:i w:val="false"/>
          <w:iCs w:val="false"/>
          <w:color w:val="0F5B6B"/>
          <w:sz w:val="26"/>
          <w:szCs w:val="26"/>
        </w:rPr>
        <w:t xml:space="preserve">Purpose of this document</w:t>
      </w:r>
    </w:p>
    <w:p>
      <w:pPr>
        <w:spacing w:after="30" w:before="30"/>
      </w:pPr>
      <w:r>
        <w:rPr>
          <w:rFonts w:ascii="Segoe UI" w:cs="Segoe UI" w:eastAsia="Segoe UI" w:hAnsi="Segoe UI"/>
          <w:b w:val="false"/>
          <w:bCs w:val="false"/>
          <w:i w:val="false"/>
          <w:iCs w:val="false"/>
          <w:sz w:val="22"/>
          <w:szCs w:val="22"/>
        </w:rPr>
        <w:t xml:space="preserve">This document specifies the exact request parameters and expected response data fields required for the FinRiskLens AI prototype build, in the format of the reference sample circulated by Team Hack2skill. It covers every external data API the platform consumes.</w:t>
      </w:r>
    </w:p>
    <w:p>
      <w:pPr>
        <w:spacing w:after="30" w:before="30"/>
      </w:pPr>
      <w:r>
        <w:rPr>
          <w:rFonts w:ascii="Segoe UI" w:cs="Segoe UI" w:eastAsia="Segoe UI" w:hAnsi="Segoe UI"/>
          <w:b w:val="false"/>
          <w:bCs w:val="false"/>
          <w:i w:val="false"/>
          <w:iCs w:val="false"/>
          <w:sz w:val="22"/>
          <w:szCs w:val="22"/>
        </w:rPr>
        <w:t xml:space="preserve">For each API two tables are provided: the request parameters we will send, and the response fields we expect to consume. Field names, nesting paths and sample values reflect what our scoring engine already parses today — our feature extractors read these exact paths from the sample and synthetic payloads currently held in our Azure Blob storage, so a sandbox response matching this contract will work against the existing prototype without code changes.</w:t>
      </w:r>
    </w:p>
    <w:p>
      <w:pPr>
        <w:spacing w:after="100" w:before="240"/>
      </w:pPr>
      <w:r>
        <w:rPr>
          <w:rFonts w:ascii="Segoe UI" w:cs="Segoe UI" w:eastAsia="Segoe UI" w:hAnsi="Segoe UI"/>
          <w:b/>
          <w:bCs/>
          <w:i w:val="false"/>
          <w:iCs w:val="false"/>
          <w:color w:val="0F5B6B"/>
          <w:sz w:val="26"/>
          <w:szCs w:val="26"/>
        </w:rPr>
        <w:t xml:space="preserve">How the data is used</w:t>
      </w:r>
    </w:p>
    <w:p>
      <w:pPr>
        <w:spacing w:after="30" w:before="30"/>
      </w:pPr>
      <w:r>
        <w:rPr>
          <w:rFonts w:ascii="Segoe UI" w:cs="Segoe UI" w:eastAsia="Segoe UI" w:hAnsi="Segoe UI"/>
          <w:b w:val="false"/>
          <w:bCs w:val="false"/>
          <w:i w:val="false"/>
          <w:iCs w:val="false"/>
          <w:sz w:val="22"/>
          <w:szCs w:val="22"/>
        </w:rPr>
        <w:t xml:space="preserve">Each raw API response is stored verbatim in the MSME's blob folder (container msme-data, folder = Udyam Registration Number) under a deterministic file name, then parsed by the corresponding feature extractor into a six-dimension Financial Health Score out of 1000: Revenue Vitality (250), Cash Flow Health (200), Transaction Trustworthiness (150), Compliance Quotient (150), Business Stability (150) and Debt Serviceability (100). Where a source is unavailable its weight is redistributed rather than zeroed, and the reduced-input basis is disclosed on the score card.</w:t>
      </w:r>
    </w:p>
    <w:p>
      <w:pPr>
        <w:spacing w:after="120" w:before="240"/>
      </w:pPr>
      <w:r>
        <w:rPr>
          <w:rFonts w:ascii="Segoe UI" w:cs="Segoe UI" w:eastAsia="Segoe UI" w:hAnsi="Segoe UI"/>
          <w:b/>
          <w:bCs/>
          <w:i w:val="false"/>
          <w:iCs w:val="false"/>
          <w:color w:val="0F5B6B"/>
          <w:sz w:val="26"/>
          <w:szCs w:val="26"/>
        </w:rPr>
        <w:t xml:space="preserve">API coverage summary</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550"/>
        <w:gridCol w:w="3000"/>
        <w:gridCol w:w="2750"/>
        <w:gridCol w:w="3086"/>
        <w:gridCol w:w="1400"/>
      </w:tblGrid>
      <w:tr>
        <w:trPr>
          <w:tblHeader/>
        </w:trPr>
        <w:tc>
          <w:tcPr>
            <w:tcW w:type="dxa" w:w="5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w:t>
            </w:r>
          </w:p>
        </w:tc>
        <w:tc>
          <w:tcPr>
            <w:tcW w:type="dxa" w:w="30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w:t>
            </w:r>
          </w:p>
        </w:tc>
        <w:tc>
          <w:tcPr>
            <w:tcW w:type="dxa" w:w="27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Stored As</w:t>
            </w:r>
          </w:p>
        </w:tc>
        <w:tc>
          <w:tcPr>
            <w:tcW w:type="dxa" w:w="308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Primary Signal</w:t>
            </w:r>
          </w:p>
        </w:tc>
        <w:tc>
          <w:tcPr>
            <w:tcW w:type="dxa" w:w="14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Priority</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Udyam Registration Lookup</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udyam.​json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Identity, vintage, NIC sector</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2</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PAN Verification</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(identity check)</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PAN validity, name match</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3</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 Taxpayer Profile</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gst_​taxpayer.​json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Registration status, constitution</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4</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 Return Summary</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gstr1_​summary_​MMyyyy.​json</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B2B share, counterparties</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5</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 B2B Invoices</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gstr1_​b2b_​MMyyyy.​json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Customer concentration</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6</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 Credit/Debit Notes</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gstr1_​cdnr_​MMyyyy.​json</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Credit-note ratio</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7</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 HSN Summary</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gstr1_​hsn_​summary_​MMyyyy.​json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Product diversification</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8</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GSTR-3B Summary Return</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gstr3b_​MMyyyy.​json</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Monthly turnover, tax discipline</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9</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GSTR-2A Inward Supplies</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gstr2a_​b2b_​MMyyyy.​json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Purchases, vendor concentration</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10</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GSTR-2B ITC Statement</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gstr2b_​MMyyyy.​json</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ITC claimed vs available</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11</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ITR Return History</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itr.​json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Income trend, P&amp;L ratios</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12</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Account Aggregator (3 calls)</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aa.​json</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Cash flow, EMI, returns</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13</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MCA Company Master (CIN)</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mca.​json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Status, capital, charges</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14</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MCA CIN Lookup / Search</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(resolves CIN)</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CIN discovery by name/PAN</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15</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MCA DIN Verification</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DIN_​&lt;din&gt;.​json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Director KYC, directorships</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Mandatory</w:t>
            </w:r>
          </w:p>
        </w:tc>
      </w:tr>
      <w:tr>
        <w:tc>
          <w:tcPr>
            <w:tcW w:type="dxa" w:w="55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16</w:t>
            </w:r>
          </w:p>
        </w:tc>
        <w:tc>
          <w:tcPr>
            <w:tcW w:type="dxa" w:w="30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IP Verification / Risk Score</w:t>
            </w:r>
          </w:p>
        </w:tc>
        <w:tc>
          <w:tcPr>
            <w:tcW w:type="dxa" w:w="27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(session audit)</w:t>
            </w:r>
          </w:p>
        </w:tc>
        <w:tc>
          <w:tcPr>
            <w:tcW w:type="dxa" w:w="3086"/>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Fraud, VPN/proxy, geo</w:t>
            </w:r>
          </w:p>
        </w:tc>
        <w:tc>
          <w:tcPr>
            <w:tcW w:type="dxa" w:w="1400"/>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r>
        <w:tc>
          <w:tcPr>
            <w:tcW w:type="dxa" w:w="55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17</w:t>
            </w:r>
          </w:p>
        </w:tc>
        <w:tc>
          <w:tcPr>
            <w:tcW w:type="dxa" w:w="30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EPFO Contribution History</w:t>
            </w:r>
          </w:p>
        </w:tc>
        <w:tc>
          <w:tcPr>
            <w:tcW w:type="dxa" w:w="27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epfo.​json</w:t>
            </w:r>
          </w:p>
        </w:tc>
        <w:tc>
          <w:tcPr>
            <w:tcW w:type="dxa" w:w="3086"/>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Headcount, payroll stability</w:t>
            </w:r>
          </w:p>
        </w:tc>
        <w:tc>
          <w:tcPr>
            <w:tcW w:type="dxa" w:w="1400"/>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Optional</w:t>
            </w:r>
          </w:p>
        </w:tc>
      </w:tr>
    </w:tbl>
    <w:p>
      <w:pPr>
        <w:spacing w:after="40" w:before="120"/>
      </w:pPr>
      <w:r>
        <w:rPr>
          <w:rFonts w:ascii="Segoe UI" w:cs="Segoe UI" w:eastAsia="Segoe UI" w:hAnsi="Segoe UI"/>
          <w:b w:val="false"/>
          <w:bCs w:val="false"/>
          <w:i/>
          <w:iCs/>
          <w:sz w:val="20"/>
          <w:szCs w:val="20"/>
        </w:rPr>
        <w:t xml:space="preserve">Priority indicates what the prototype needs for a complete score. Optional sources enrich the assessment; the engine degrades gracefully without them.</w:t>
      </w:r>
    </w:p>
    <w:p>
      <w:r>
        <w:br w:type="page"/>
      </w:r>
    </w:p>
    <w:p>
      <w:pPr>
        <w:pBdr>
          <w:bottom w:val="single" w:color="0F5B6B" w:sz="6" w:space="4"/>
        </w:pBdr>
        <w:spacing w:after="80" w:before="100"/>
      </w:pPr>
      <w:r>
        <w:rPr>
          <w:rFonts w:ascii="Segoe UI" w:cs="Segoe UI" w:eastAsia="Segoe UI" w:hAnsi="Segoe UI"/>
          <w:b/>
          <w:bCs/>
          <w:color w:val="0F5B6B"/>
          <w:sz w:val="30"/>
          <w:szCs w:val="30"/>
        </w:rPr>
        <w:t xml:space="preserve">1. Udyam Registration Lookup</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/udyam/fetch</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Primary onboarding entry point. The MSME supplies only the Udyam Registration Number; the response provides verified identity, address, linked PAN/GSTIN, NIC activity codes and plant locations. Consumed by UdyamFeatureExtractor for Business Stability and business vintage. Stored as udyam.json.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uan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19</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UDYAM-MH-20-0067394</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Udyam Registration Number. Format: UDYAM-&lt;2-char state code&gt;-&lt;2-digit DIC code&gt;-&lt;7-digit serial&gt;. Single lookup key for the entire onboarding flow.</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client_​id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FRL-REQ-004512</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Caller-side correlation / reference id, echoed back in the response for audit.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consent_​flag</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Y</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Confirms the MSME accepted the onboarding terms before the lookup is performed.</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client_​id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FRL-REQ-004512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Correlation id echoed from the request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uan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19</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UDYAM-MH-20-0067394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Echo of the requested Udyam Registration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certificate_​url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https:​/​/​udyamregistration.​gov.​in/​certificate/​ UDYAM-MH-20-0067394.​pdf</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Downloadable Udyam certificate URL</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main_​details.​name_​of_​enterprise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enterprise name; primary display name across the platform</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main_​details.​major_​activity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Services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Manufacturing or Services - primary activity classification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main_​details.​social_​category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General</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Social category of the promoter (General / OBC / SC / ST)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main_​details.​date_​of_​commencement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2015-06-18</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business operations commenced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main_​details.​date_​of_​incorporation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2015-04-02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incorporation; preferred source for business vintage in months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main_​details.​registration_​date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2020-07-11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Udyam registration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main_​details.​applied_​date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2020-07-01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Udyam application was submitted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main_​details.​organization_​type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Private Limited Company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Legal constitution of the enterprise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main_​details.​gender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Male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Gender of the primary promoter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main_​details.​dic_​name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District Industries Centre handling the registration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main_​details.​msme_​dfo</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MSME Development and Facilitation Office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main_​details.​state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Maharashtra</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State of registration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main_​details.​city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City of the registered address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main_​details.​village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Sitabuldi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Village / locality of the registered address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main_​details.​block</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Block A</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Block of the registered address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main_​details.​road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MG Road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Road / street of the registered address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main_​details.​name_​of_​building</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Fibrenet Complex</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Building name of the registered address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main_​details.​flat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Flat / door number of the registered address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main_​details.​pin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440012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6-digit postal PIN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main_​details.​mobile_​number</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9822012345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mobile number - secondary contact, not the OTP channel</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main_​details.​email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accounts@​ucnfibrenet.​in</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email - this is the registration / login OTP channel</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Linked GSTIN; pre-fills the GST consent step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main_​details.​Pan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PAN of the enterprise. Sensitive - mask in UI, never log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main_​details.​enterprise_​type_​list[​]​.​ classification_​year</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Assessment year of the Micro / Small / Medium classification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main_​details.​enterprise_​type_​list[​]​.​ enterprise_​type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Micro</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Micro / Small / Medium classification for that year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main_​details.​enterprise_​type_​list[​]​.​ classification_​date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2020-07-11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classification was assigned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location_​of_​plant_​details[​]​.​unit_​name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Unit I</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Name of the plant / unit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location_​of_​plant_​details[​]​.​line_​1</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Plot 14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Address line 1 of the unit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location_​of_​plant_​details[​]​.​building</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Fibrenet Complex</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Building of the unit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location_​of_​plant_​details[​]​.​street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MG Road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Street of the unit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location_​of_​plant_​details[​]​.​road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MG Road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Road of the unit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location_​of_​plant_​details[​]​.​village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Sitabuldi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Village of the unit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location_​of_​plant_​details[​]​.​city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City of the unit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location_​of_​plant_​details[​]​.​district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District of the unit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location_​of_​plant_​details[​]​.​state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Maharashtra</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State of the unit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location_​of_​plant_​details[​]​.​pin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440012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PIN code of the unit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nic_​code[​]​.​nic_​2_​digit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NIC 2-digit division - drives the sector risk weight in scoring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nic_​code[​]​.​nic_​4_​digit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6110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NIC 4-digit group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nic_​code[​]​.​nic_​5_​digit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61100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NIC 5-digit class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nic_​code[​]​.​activity_​type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Services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Activity type against the NIC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nic_​code[​]​.​added_​on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2020-07-11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NIC code was added to the registration</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2. PAN Verification</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/pan/verify</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Validates the PAN sourced from Udyam and confirms name and status. Used as an identity cross-check before the GST and ITR pulls, and supplies the lookup key for the ITR API.</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Permanent Account Number. Format: 5 letters + 4 digits + 1 letter. The 4th character denotes holder type (C = Company, P = Individual, F = Firm, H = HUF).</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Name to match against the PAN record, for name-verification mode</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consent_​reference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CONS_​FRL_​982731</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 audit reference for the verification call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Echo of the PAN queried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full_​name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name against the PAN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first_​name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First-name component (individual PANs)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middle_​name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Middle-name component (individual PANs)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last_​name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FIBRENET</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Last name / surname component (individual PANs)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VALID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PAN status - VALID / INVALID / DELETED / DEACTIVATED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category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Company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PAN holder category, derived from the 4th character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aadhaar_​seeding_​status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LINKED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the PAN is linked with Aadhaar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name_​match_​score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98</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Percentage match when a name is supplied in the request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last_​updated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2026-06-30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PAN record was last updated at source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response_​status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SUCCESS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processing result</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3. GST - Taxpayer Profile (Search Taxpayer)</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/gst/taxpayer/{gstin}</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Registration-level GST profile: legal and trade name, registration status and date, constitution and jurisdiction. Feeds the GST registration-active flag used in Compliance Quotient. Stored as gst_taxpayer.json.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- 15-digit alphanumeric. First 2 digits: state code (27 = Maharashtra). Next 10 characters: PAN of the business. 13th digit: number of registrations the entity has within the state. 14th character: default system character (Z). 15th digit: checksum validation code.</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TP</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Action code for the GSTN search-taxpayer operation</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 borrower identifier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lgnm</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legal name of the borrower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tradeNam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Trade / business name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Active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 registration status - Active / Cancelled / Suspended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rgdt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01/​07/​2018</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 registration date (dd/mm/yyyy)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cxdt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Cancellation date; blank when the registration is active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ctb</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Private Limited Company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Constitution of business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Regular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Taxpayer type / dealer type - Regular, Composition, SEZ</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nba[​]​</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Array</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Service Provision,​ Office /​ Sale Office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Nature of business activities declared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pradr.​addr.​bno</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building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pradr.​addr.​bnm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Fibrenet Complex</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building name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pradr.​addr.​st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MG Road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street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pradr.​addr.​loc</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Sitabuldi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locality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pradr.​addr.​city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city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pradr.​addr.​dst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district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pradr.​addr.​stcd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Maharashtra</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state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pradr.​addr.​pncd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440012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Principal place of business - PIN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stjCd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MH005</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State jurisdiction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stj</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 Division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State jurisdiction description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ctjCd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AB0206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Centre jurisdiction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ctj</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RANGE-II,​ NAGPUR-I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Centre jurisdiction description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lstupdt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2026-08-20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taxpayer record was last updated</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4. GST - GSTR-1 Return Summary</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/gst/returns/gstr1/summary</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Section-wise outward-supply summary per return period, with counterparty sub-totals. Drives B2B revenue share, counterparty diversity and the GSTR-1 vs GSTR-3B consistency cross-check. Stored as gstr1_summary_MMyyyy.json (one file per month).</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whose return is being fetched</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 (July 2026). One call per month; we request a trailing 12-month window.</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RETSUM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the return-summary operation</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the return belongs to</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fil_​dt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11-08-2026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GSTR-1 was actually filed - used to derive filing delay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fil_​status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Filed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Filing status for the period - Filed / Not Filed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sec_​sum[​]​.​sec_​nm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B2B</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Section name - B2B, B2CL, B2CS, EXP, CDNR, HSN, NIL</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sec_​sum[​]​.​ttl_​rec</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number of records in the section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8450000.​00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invoice value for the section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sec_​sum[​]​.​ttl_​taxval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7161016.​95</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taxable value for the section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sec_​sum[​]​.​ttl_​igst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412000.​00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IGST for the section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sec_​sum[​]​.​ttl_​cgst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438450.​00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CGST for the section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sec_​sum[​]​.​ttl_​sgst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438450.​00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SGST for the section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sec_​sum[​]​.​ttl_​cess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cess for the section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sec_​sum[​]​.​ttl_​tax</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1288900.​00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tax for the section - aggregated for B2B share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sec_​sum[​]​.​cpty_​sum[​]​.​ctin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27AAACI1195H1ZK</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Counterparty GSTIN - feeds counterparty diversity count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sec_​sum[​]​.​cpty_​sum[​]​.​ttl_​rec</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Number of records against that counterparty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sec_​sum[​]​.​cpty_​sum[​]​.​ttl_​val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1420000.​00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value against that counterparty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sec_​sum[​]​.​cpty_​sum[​]​.​ttl_​tax</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216610.​00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tax against that counterparty</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5. GST - GSTR-1 B2B Invoices</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/gst/returns/gstr1/b2b</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Invoice-level outward B2B supplies. Used to compute customer concentration (top-1 and top-5 buyer share), invoice counts and average invoice value. Stored as gstr1_b2b_MMyyyy.json.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GSTIN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B2B</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B2B invoice retrieval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b2b[​]​.​ctin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27AAACI1195H1ZK</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Buyer / recipient GSTIN - concentration is computed per ctin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b2b[​]​.​cfs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Y</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Counterparty filing status for the period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b2b[​]​.​inv[​]​.​inum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INV/​2026/​00842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Invoice number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18-07-2026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Invoice date (dd-mm-yyyy)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182400.​00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invoice value including tax</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b2b[​]​.​inv[​]​.​pos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Place of supply - state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b2b[​]​.​inv[​]​.​rchrg</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Reverse charge applicable - Y / 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b2b[​]​.​inv[​]​.​inv_​typ</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Invoice type - R (Regular), SEWP, SEWOP, 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b2b[​]​.​inv[​]​.​itms[​]​.​num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Line item serial number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154576.​27</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Taxable value of the line item - summed for customer concentration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b2b[​]​.​inv[​]​.​itms[​]​.​itm_​det.​rt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Applicable GST rate percentage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b2b[​]​.​inv[​]​.​itms[​]​.​itm_​det.​iamt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amount for the line item</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b2b[​]​.​inv[​]​.​itms[​]​.​itm_​det.​camt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13911.​87</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amount for the line item</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13911.​86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amount for the line item</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b2b[​]​.​inv[​]​.​itms[​]​.​itm_​det.​csamt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Cess amount for the line item</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6. GST - GSTR-1 Credit / Debit Notes (CDNR)</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/gst/returns/gstr1/cdnr</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Credit and debit notes issued against registered buyers. Total note value against turnover produces the credit-note ratio, a revenue-reversal and sales-quality signal. Stored as gstr1_cdnr_MMyyyy.json.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GSTIN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CDNR</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credit / debit note retrieval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cdnr[​]​.​ctin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27AAACI1195H1ZK</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Counterparty GSTIN the note was issued against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cdnr[​]​.​nt[​]​.​ntty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Note type - C (Credit) or D (Debit)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cdnr[​]​.​nt[​]​.​nt_​num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CN/​2026/​0044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Credit / debit note number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cdnr[​]​.​nt[​]​.​nt_​dt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22-07-2026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Note date (dd-mm-yyyy)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48200.​00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note value including tax</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cdnr[​]​.​nt[​]​.​p_​gst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Pre-GST regime flag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cdnr[​]​.​nt[​]​.​rsn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Sales Return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Reason for issuing the note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cdnr[​]​.​nt[​]​.​itms[​]​.​itm_​det.​txval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40847.​46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Taxable value of the note line - summed for the credit-note ratio</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cdnr[​]​.​nt[​]​.​itms[​]​.​itm_​det.​rt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Applicable GST rate percentage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cdnr[​]​.​nt[​]​.​itms[​]​.​itm_​det.​iamt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amount on the note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cdnr[​]​.​nt[​]​.​itms[​]​.​itm_​det.​camt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3676.​27</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amount on the note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cdnr[​]​.​nt[​]​.​itms[​]​.​itm_​det.​samt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3676.​27</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amount on the note</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7. GST - GSTR-1 HSN Summary</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/gst/returns/gstr1/hsn</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HSN / SAC-wise summary of outward supplies. The count of distinct HSN codes measures product and service diversification, an input to Business Stability. Stored as gstr1_hsn_summary_MMyyyy.json.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GSTIN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HSNSUM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HSN summary retrieval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hsn.​hsn_​b2b[​]​.​num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Serial number of the HSN entry (B2B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hsn.​hsn_​b2b[​]​.​hsn_​sc</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998422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HSN / SAC code - distinct codes counted for diversification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hsn.​hsn_​b2b[​]​.​desc</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Telecommunication services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Description of the goods or services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hsn.​hsn_​b2b[​]​.​uqc</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OTH</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Unit quantity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hsn.​hsn_​b2b[​]​.​qty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Quantity supplied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7161016.​95</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Taxable value against the HSN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hsn.​hsn_​b2b[​]​.​iamt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amount against the HSN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hsn.​hsn_​b2b[​]​.​camt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644491.​52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amount against the HSN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hsn.​hsn_​b2b[​]​.​samt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644491.​52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amount against the HSN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hsn.​hsn_​b2b[​]​.​csamt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Cess amount against the HSN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hsn.​hsn_​b2c[​]​.​hsn_​sc</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998422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HSN / SAC code for B2C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hsn.​hsn_​b2c[​]​.​txval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1284000.​00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Taxable value against the B2C HSN code</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8. GST - GSTR-3B Summary Return</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/gst/returns/gstr3b</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The single most important GST source. Monthly outward taxable supplies give the turnover series behind Revenue Vitality; the tax-payment block gives cash-vs-ITC discipline; filing dates give Compliance Quotient. Stored as gstr3b_MMyyyy.json (12 months requested).</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whose return is being fetched</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 One call per month across a trailing 12-month window.</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RETSUM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the GSTR-3B retrieval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the return belongs to</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 - converted to yyyyMM for the turnover series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fil_​dt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20-08-2026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GSTR-3B was filed - basis for filing-delay days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due_​dt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20-08-2026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Statutory due date for the period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sup_​details.​osup_​det.​txval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7161016.​95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Outward taxable supplies (other than zero-rated / nil / exempted). PRIMARY monthly turnover input.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sup_​details.​osup_​det.​iamt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on outward taxable supplies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sup_​details.​osup_​det.​camt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644491.​52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on outward taxable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sup_​details.​osup_​det.​samt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644491.​52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on outward taxable supplies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sup_​details.​osup_​det.​csamt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Cess on outward taxable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sup_​details.​osup_​zero.​txval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Outward zero-rated (export / SEZ) supplies - added to monthly turnover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sup_​details.​osup_​zero.​iamt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on zero-rated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sup_​details.​osup_​nil_​exmp.​txval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Nil-rated and exempted outward supplies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sup_​details.​osup_​nongst.​txval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Non-GST outward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sup_​details.​isup_​rev.​txval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12500.​00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Inward supplies liable to reverse charge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itc_​elg.​itc_​avl[​]​.​ty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IMPG</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ITC availed category - IMPG, IMPS, ISRC, ISD, OTH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itc_​elg.​itc_​avl[​]​.​iamt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ITC available under the category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itc_​elg.​itc_​avl[​]​.​camt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382000.​00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ITC available under the category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itc_​elg.​itc_​avl[​]​.​samt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382000.​00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ITC available under the category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itc_​elg.​itc_​net.​iamt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Net IGST ITC for the month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itc_​elg.​itc_​net.​camt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374500.​00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Net CGST ITC for the month - summed into monthly ITC average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itc_​elg.​itc_​net.​samt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374500.​00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Net SGST ITC for the month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itc_​elg.​itc_​net.​csamt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Net cess ITC for the month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itc_​elg.​itc_​rev[​]​.​iamt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ITC reversed during the period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itc_​elg.​itc_​inelg[​]​.​iamt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Ineligible ITC for the period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tx_​pmt.​pdcash[​]​.​ipd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paid in cash - basis of the cash-vs-ITC tax discipline ratio</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tx_​pmt.​pdcash[​]​.​cpd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269991.​52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paid in cash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tx_​pmt.​pdcash[​]​.​spd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269991.​52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paid in cash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tx_​pmt.​pdcash[​]​.​cspd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Cess paid in cash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tx_​pmt.​pditc.​c_​pdc</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374500.​00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liability discharged through CGST ITC</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tx_​pmt.​pditc.​s_​pds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374500.​00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liability discharged through SGST ITC</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tx_​pmt.​pditc.​i_​pdi</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liability discharged through IGST ITC</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intr_​ltfee[​]​.​intr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Interest payable for late filing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intr_​ltfee[​]​.​ltfee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Late fee levied for the period - direct compliance signal</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9. GST - GSTR-2A Inward Supplies (B2B)</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/gst/returns/gstr2a/b2b</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Auto-populated inward (purchase) invoices from suppliers. Gives monthly purchase value, purchase-to-sales ratio and vendor concentration - the supply-side view of the business. Stored as gstr2a_b2b_MMyyyy.json.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Recipient (buyer) GSTIN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B2B</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inward B2B retrieval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b2b[​]​.​ctin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27AAFCS8965P1ZV</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GSTIN - vendor concentration is computed per ctin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b2b[​]​.​cfs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Y</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filing status for the period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b2b[​]​.​inv[​]​.​inum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SUP/​26/​1180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invoice number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12-07-2026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invoice date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94400.​00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invoice value including tax</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b2b[​]​.​inv[​]​.​pos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Place of supply state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b2b[​]​.​inv[​]​.​itms[​]​.​itm_​det.​txval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Taxable value of the purchase line - summed for monthly purchases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b2b[​]​.​inv[​]​.​itms[​]​.​itm_​det.​rt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Applicable GST rate percentage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b2b[​]​.​inv[​]​.​itms[​]​.​itm_​det.​camt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7200.​00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on the purchase line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b2b[​]​.​inv[​]​.​itms[​]​.​itm_​det.​samt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7200.​00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on the purchase line</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10. GST - GSTR-2B Auto-drafted ITC Statement</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/gst/returns/gstr2b</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Static monthly ITC statement. Gives ITC available vs unavailable and supplier filing discipline - the ITC-claimed-vs-available ratio is a leading indicator of working-capital stress. Stored as gstr2b_MMyyyy.json. Note the payload is double-nested under a data node.</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Recipient GSTIN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ret_​period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in MMyyyy format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action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GETALL</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GSTN action code for the full GSTR-2B statement</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data.​chksum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64</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a3f5c1e9d2b7.​.​.​</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Checksum of the generated statement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data.​gstin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Recipient GSTIN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data.​rtnprd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Return period of the statement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data.​gendt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14-08-2026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GSTR-2B statement was generated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data.​itcsumm.​itcavl.​nonrevsup.​igst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IGST ITC available - non-reverse-charge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data.​itcsumm.​itcavl.​nonrevsup.​cgst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382000.​00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CGST ITC available - non-reverse-charge supplies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data.​itcsumm.​itcavl.​nonrevsup.​sgst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382000.​00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SGST ITC available - non-reverse-charge supplies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data.​itcsumm.​itcavl.​nonrevsup.​cess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Cess ITC available - non-reverse-charge supplies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data.​itcsumm.​itcavl.​revsup.​*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ITC available under reverse charge (igst / cgst / sgst / cess)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data.​itcsumm.​itcavl.​impg.​*</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ITC available on import of goods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data.​itcsumm.​itcunavl.​nonrevsup.​*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18400.​00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ITC NOT available - drives the ITC-unavailable share signal</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data.​docdata.​b2b[​]​.​ctin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27AAFCS8965P1ZV</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GSTIN in the ITC statement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data.​docdata.​b2b[​]​.​trdnm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Sharma Cables Pvt Ltd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trade name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data.​docdata.​b2b[​]​.​supfildt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11-08-2026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supplier filed - blank means not filed. Basis of supplier filing rate.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data.​docdata.​b2b[​]​.​supprd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Supplier's return period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data.​docdata.​b2b[​]​.​inv[​]​.​inum</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SUP/​26/​1180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Supplier invoice number in the ITC statement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data.​docdata.​b2b[​]​.​inv[​]​.​itcavl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ITC is available on this invoice - Y / 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data.​docdata.​b2b[​]​.​inv[​]​.​rsn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Reason ITC is unavailable, when applicable</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11. ITR - Income Tax Return History</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/itr/fetch</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Filed ITR history keyed by PAN, one node per assessment year. Supplies declared income trend, filing timeliness, and for business filers the P&amp;L / balance-sheet figures behind EBITDA margin, net margin, debtor days and asset turnover. Stored as itr.json.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PAN of the enterprise or proprietor - the ITR lookup key</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from_​assessment_​year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2023-24</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Start of the assessment-year window. We request the trailing 3 assessment years.</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to_​assessment_​year</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2026-27</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End of the assessment-year window</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consent_​reference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CONS_​FRL_​982731</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 audit reference authorising the ITR pull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result.​&lt;AY&gt;.​itrType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ITR3</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ITR form type filed for that assessment year - ITR1 / ITR3 / ITR5 / ITR6. Determines which income path is read.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result.​&lt;AY&gt;.​assessmentYear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2026-27</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Assessment year of the return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result.​&lt;AY&gt;.​filingDate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22/​09/​2026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return was filed (dd/MM/yyyy) - compared against the due date for timeliness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result.​&lt;AY&gt;.​ItrFilingDueDate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2026-10-31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Statutory due date (yyyy-MM-dd) for that assessment year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result.​&lt;AY&gt;.​ackNum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483920156220926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Acknowledgement number of the filed return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result.​&lt;AY&gt;.​ITR1_​IncomeDeductions.​ GrossTotIncome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2840000.​00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Gross total income - ITR-1 filers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result.​&lt;AY&gt;.​ITR1_​IncomeDeductions.​ TotalIncome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2690000.​00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income after deductions - ITR-1 filers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result.​&lt;AY&gt;.​PartB-TI.​GrossTotalIncome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8420000.​00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Gross total income - ITR-3 / 5 / 6 filers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result.​&lt;AY&gt;.​PartB-TI.​TotalIncome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7980000.​00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income after deductions - business filers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result.​&lt;AY&gt;.​TradingAccount.​ SalesGrossReceiptsTotal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35880000.​00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Sales / gross receipts from the trading account - basis for all P&amp;L ratios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result.​&lt;AY&gt;.​TradingAccount.​ TotRevenueFrmOperations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35880000.​00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revenue from operations - alternate turnover path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result.​&lt;AY&gt;.​PARTA_​PL.​NoBooksOfAccPL.​ GrossReceipt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Gross receipts where books of account are not maintained (presumptive filers)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result.​&lt;AY&gt;.​DebitsToPL.​PBIDTA</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4305600.​00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Profit before interest, depreciation, tax and amortisation - EBITDA proxy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result.​&lt;AY&gt;.​TaxProvAppr.​ProfitAfterTax</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2510000.​00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Profit after tax - basis of net profit margin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result.​&lt;AY&gt;.​PARTA_​PL.​NoBooksOfAccPL.​ NetProfit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Net profit where books are not maintained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result.​&lt;AY&gt;.​SundryDebtors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7280000.​00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Sundry debtors / trade receivables - basis of debtor days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result.​&lt;AY&gt;.​TradeReceivables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7280000.​00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Trade receivables - alternate debtor path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result.​&lt;AY&gt;.​TotalAssets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21400000.​00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assets from the balance sheet - basis of asset turnover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result.​&lt;AY&gt;.​TaxPaid.​TaxesPaid.​TotalTaxesPaid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780000.​00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taxes paid for the assessment year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response_​status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SUCCESS</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processing result</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12A. Account Aggregator - Consent Request</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/aa/ConsentRequestPlus</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Step 1 of the RBI Account Aggregator flow. We act as FIU and raise a consent request; the AA returns a consent handle and a redirect URL where the MSME approves on their AA app.</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header.​rid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b1f2c3d4-5e6f-7a8b-9c0d-1e2f3a4b5c6d</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Unique request id (UUID) for the AA call</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header.​ts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2026-08-24T11:​55:​32.​145Z</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ISO-8601 request timestamp</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header.​channelId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finvu</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Channel identifier assigned by the AA</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body.​custId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9822012345@​finvu</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Customer virtual user address (VUA) at the AA</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body.​consentDescription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MSME Credit Assessment</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Human-readable purpose shown to the MSME on the consent screen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body.​templateName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FINVU_​MSME_​CREDIT</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AA consent template governing FI types, purpose code and data window</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body.​aaId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cookiejar-aa@​finvu.​in</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Identifier of the Account Aggregator handling the consent</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body.​redirectUrl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https:​/​/​finrisklens.​ai/​Home/​ AAConsentCallback/​{txnId}</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URL the AA redirects to after the MSME approves or rejects</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header.​rid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b1f2c3d4-5e6f-7a8b-9c0d-1e2f3a4b5c6d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Echo of the request id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header.​ts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2026-08-24T11:​55:​32.​612Z</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Response timestamp</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header.​channelId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finvu</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Channel identifier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body.​ConsentHandle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3f8b21ac-77d4-4f16-9a2e-5c1b8e0d9a44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handle - the key used for all subsequent status and data calls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body.​url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https:​/​/​webvia.​finvu.​in/​ ?consentHandle=​3f8b21ac.​.​.​</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AA-hosted approval URL the MSME is redirected to</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body.​encryptedRequest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eyJhbGciOiJIUzI1NiIs.​.​.​</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Encrypted consent request payload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body.​encryptedFiuId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U0hBMjU2OkZJVV9GUkw=​</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Encrypted FIU identifier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body.​requestDate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2026-08-24T11:​55:​32Z</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consent request was raised</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12B. Account Aggregator - Consent Status &amp; Detail</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/aa/ConsentStatus/{consentHandle}/{custId}</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Step 2. Polls or receives the callback confirming whether the MSME approved. On ACCEPTED the consentId and the FI data range are read from the consent artefact and used for the data request.</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consentHandle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3f8b21ac-77d4-4f16-9a2e-5c1b8e0d9a44</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handle returned by the consent request (path parameter)</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custId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9822012345@​finvu</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Customer VUA at the AA (path parameter)</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header.​rid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c2e3d4f5-6a7b-8c9d-0e1f-2a3b4c5d6e7f</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Unique request id for the status call</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ACCEPTED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lifecycle status - PENDING / ACCEPTED / REJECTED / REVOKED / EXPIRED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9d4f7c22-1a08-4b63-8e5f-77c2a1b0e934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artefact id issued on approval - required for the FI data request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body.​ConsentDetail.​consentStart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2026-08-24T12:​02:​10Z</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validity start timestamp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body.​ConsentDetail.​consentExpiry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2027-08-24T12:​02:​10Z</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expiry timestamp</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body.​ConsentDetail.​consentMode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STORE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mode - VIEW / STORE / QUERY / STREAM</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body.​ConsentDetail.​fetchType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PERIODIC</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ONETIME or PERIODIC data fetch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body.​ConsentDetail.​fiTypes[​]​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Array</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DEPOSIT</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Financial information types consented - DEPOSIT, TERM_DEPOSIT, RECURRING_DEPOSIT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body.​ConsentDetail.​Purpose.​code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103</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AA purpose code - 103 = credit / lending appraisal</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body.​ConsentDetail.​FIDataRange.​from</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2025-08-01T00:​00:​00Z</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Start of the bank statement window requested (12 months)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body.​ConsentDetail.​FIDataRange.​to</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2026-07-31T23:​59:​59Z</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End of the bank statement window requested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body.​ConsentDetail.​DataLife.​unit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MONTH</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Data retention unit permitted by the consent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body.​ConsentDetail.​DataLife.​value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Data retention duration permitted by the consent</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12C. Account Aggregator - FI Data Fetch (Bank Statements)</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/aa/FIRequest, /aa/FIStatus, /aa/FIFetch</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Step 3 and the highest-value source in the platform. Returns account summaries and full transaction history. Drives Cash Flow Health, Transaction Trustworthiness and Debt Serviceability - monthly inflow/outflow, average and peak balance, cheque and ECS/NACH returns, EMI outflows, cash-deposit share and OD utilisation. Stored as aa.json.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body.​consentHandleId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3f8b21ac-77d4-4f16-9a2e-5c1b8e0d9a44</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handle from the consent request</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body.​consentId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9d4f7c22-1a08-4b63-8e5f-77c2a1b0e934</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Consent artefact id issued on approval</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body.​custId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9822012345@​finvu</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Customer VUA at the AA</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body.​dateRange.​from</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2025-08-01T00:​00:​00Z</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Start of the statement window - must sit inside the consent FIDataRange</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body.​dateRange.​to</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2026-07-31T23:​59:​59Z</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End of the statement window</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body.​sessionId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5b7e9c31-2d4a-4f80-91c6-3ea70b8d2f15</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Session id returned by FIRequest, used by FIStatus and FIFetch</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body.​fiRequestStatus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READY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Data-request status - PENDING / READY / DELIVERED / FAILED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body.​accounts[​]​.​linkRefNumber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d81b2f5a-0c47-4c9e-b3a1-6f2d9e07c418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Reference number of each linked account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body.​accounts[​]​.​status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DELIVERED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Per-account delivery status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body[​]​.​fiObjects[​]​.​maskedAccNumber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XXXXXX4821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Masked bank account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body[​]​.​fiObjects[​]​.​linkReferenceNumber</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d81b2f5a-0c47-4c9e-b3a1-6f2d9e07c418</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link reference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body[​]​.​fiObjects[​]​.​Profile.​Holders.​ Holder.​name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holder name - cross-checked against Udyam / PAN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body[​]​.​fiObjects[​]​.​Profile.​Holders.​ Holder.​pan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holder PAN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body[​]​.​fiObjects[​]​.​Profile.​Holders.​ Holder.​mobile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9822012345</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holder mobile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body[​]​.​fiObjects[​]​.​Profile.​Holders.​ Holder.​email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accounts@​ucnfibrenet.​in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holder email</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body[​]​.​fiObjects[​]​.​Profile.​Holders.​ Holder.​address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204 Fibrenet Complex,​ MG Road,​ Nagpur 440012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holder address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body[​]​.​fiObjects[​]​.​Summary.​type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CURRENT</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type - SAVINGS / CURRENT / OD / CC</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ACTIVE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status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body[​]​.​fiObjects[​]​.​Summary.​currentBalance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1842650.​00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Closing balance - basis of days-cash-on-hand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body[​]​.​fiObjects[​]​.​Summary.​currency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currency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body[​]​.​fiObjects[​]​.​Summary.​branch</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Sitabuldi,​ Nagpur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Branch of the account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body[​]​.​fiObjects[​]​.​Summary.​ifscCode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IBKL0000472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IFSC code of the branch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body[​]​.​fiObjects[​]​.​Summary.​openingDate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2015-08-14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opening date - banking relationship vintage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body[​]​.​fiObjects[​]​.​Summary.​currentODLimit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Sanctioned overdraft limit - basis of OD utilisation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body[​]​.​fiObjects[​]​.​Summary.​drawingLimit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2500000.​00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Drawing power against the OD / CC facility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body[​]​.​fiObjects[​]​.​Summary.​balanceDateTime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2026-07-31T23:​59:​59Z</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Timestamp the closing balance refers to</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body[​]​.​fiObjects[​]​.​Transactions.​startDate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2025-08-01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First date covered by the transaction set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body[​]​.​fiObjects[​]​.​Transactions.​endDate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2026-07-31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Last date covered by the transaction set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.​.​.​Transactions.​Transaction[​]​.​txnId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S18442765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Unique transaction id - used to de-duplicate across FIPs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.​.​.​Transactions.​Transaction[​]​.​type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CREDIT</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CREDIT or DEBIT - splits monthly inflow from outflow</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.​.​.​Transactions.​Transaction[​]​.​mode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UPI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Transaction mode - UPI / NEFT / RTGS / IMPS / CASH / CARD / ATM / OTHERS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.​.​.​Transactions.​Transaction[​]​.​amount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184200.​00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Transaction amount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.​.​.​Transactions.​Transaction[​]​.​currentBalance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1842650.​00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Running balance after the transaction - basis of AMB, peak balance and overdraw counts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.​.​.​Transactions.​Transaction[​]​.​valueDate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2026-07-18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Value date of the transaction - used for monthly bucketing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 transactionTimestamp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24</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2026-07-18T14:​22:​07Z</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Full transaction timestamp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.​.​.​Transactions.​Transaction[​]​.​narration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UPI/​DR/​618442765/​SHARMA CABLES/​IBKL</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Free-text narration. Pattern-matched for EMI, salary, cash deposits, cheque returns and ECS/NACH returns.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.​.​.​Transactions.​Transaction[​]​.​reference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618442765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Bank reference number for the transaction</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13. MCA - Company Master Data (by CIN)</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/mca/company/details</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Ministry of Corporate Affairs company master: incorporation, capital, status, registered address, the full director list and all registered charges. Charges reveal existing secured borrowings not visible in bank data. Stored as mca.json.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U61100MH2015PTC267394</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Corporate Identity Number - 21 characters. 1st char: listing status (U = unlisted, L = listed). Next 5 digits: industry code. Next 2 chars: state code. Next 4 digits: year of incorporation. Next 3 chars: ownership (PTC = private, PLC = public). Last 6 digits: registration number.</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name - alternative lookup when the CIN is not known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PAN - alternative lookup key</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client_​id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company_​48392015</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Caller correlation reference</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rrn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48392015_​1770723572745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Request reference number issued by MCA</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U61100MH2015PTC267394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Corporate Identity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status_​code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status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tran_​ref_​no</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20471060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Transaction reference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message.​client_​id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company_​48392015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Client correlation id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message.​company_​id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U61100MH2015PTC267394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identifier (mirrors the CIN)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message.​company_​type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Company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Entity type - Company / LLP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message.​company_​name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company name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.​.​.​company_​info.​roc_​code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RoC-Mumbai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Registrar of Companies office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.​.​.​company_​info.​registration_​number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267394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registration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.​.​.​company_​info.​company_​category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Company limited by Shares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category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.​.​.​company_​info.​class_​of_​company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Private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Private or Public</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.​.​.​company_​info.​company_​sub_​category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Non-govt company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sub-category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.​.​.​company_​info.​authorized_​capital</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Authorised share capital in INR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.​.​.​company_​info.​paid_​up_​capital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3500000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Paid-up share capital in INR - a size and commitment signal</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.​.​.​company_​info.​number_​of_​members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Number of members, for companies without share capital</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.​.​.​company_​info.​date_​of_​incorporation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2015-04-02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incorporation - independent confirmation of business vintage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.​.​.​company_​info.​registered_​address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Plot 14,​ Industrial Area,​ Maharashtra 270015 IN</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office address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.​.​.​company_​info.​address_​other_​than_​ro</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Correspondence address if different from the registered office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.​.​.​company_​info.​email_​id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info@​ucnfibrenet.​in</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email of the company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.​.​.​company_​info.​company_​status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Active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status - Active / Strike Off / Under Liquidation / Dormant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.​.​.​company_​info.​listed_​status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Unlisted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Listed or Unlisted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.​.​.​company_​info.​suspended_​at_​ stock_​exchange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Suspension status at the stock exchange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.​.​.​company_​info.​active_​compliance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ACTIVE compliant</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ACTIVE (INC-22A) compliance flag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.​.​.​company_​info.​status_​under_​cirp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Status under Corporate Insolvency Resolution Process - a hard negative if present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.​.​.​company_​info.​last_​agm_​date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2025-09-28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the last Annual General Meeting - filing discipline signal</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.​.​.​company_​info.​last_​bs_​date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2025-03-31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the last balance sheet filed with MCA</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.​.​.​directors[​]​.​din_​number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85111678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Director Identification Number - the key for the DIN API</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.​.​.​directors[​]​.​director_​name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Rajesh Chandwani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Name of the director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.​.​.​directors[​]​.​start_​date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2015-04-02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appointment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.​.​.​directors[​]​.​end_​date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1800-01-01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cessation. 1800-01-01 is the sentinel meaning still serving.</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.​.​.​directors[​]​.​surrendered_​din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Surrendered DIN, when applicable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.​.​.​charges[​]​.​assets_​under_​charge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Hypothecation of Stock &amp; Book Debts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Assets pledged under the charge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.​.​.​charges[​]​.​charge_​amount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12500000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Amount secured by the charge - existing secured borrowing</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.​.​.​charges[​]​.​date_​of_​creation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2021-11-16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charge was created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.​.​.​charges[​]​.​date_​of_​modification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2023-04-08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charge was last modified. 1800-01-01 means never modified.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.​.​.​charges[​]​.​status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OPEN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Charge status - OPEN or SATISFIED. Open charges reduce fresh lending headroom.</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14. MCA - CIN Lookup / Company Search</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GET /mca/company/search</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Resolves a CIN when only the company name or PAN is known - the entry point when the MSME is a company but has not supplied its CIN. The resolved CIN then feeds the Company Master Data call.</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company_​name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Conditional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name to search. Mandatory when pan is not supplied.</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Conditional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PAN. Mandatory when company_name is not supplied.</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state_​code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MH</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State code to narrow the search</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exact_​match</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Y for exact-name match only, N for fuzzy search</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results[​]​.​cin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U61100MH2015PTC267394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Corporate Identity Number of the matched company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results[​]​.​company_​name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name of the matched company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results[​]​.​registration_​number</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267394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registration number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results[​]​.​company_​status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Active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status at the time of the search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results[​]​.​date_​of_​incorporation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2015-04-02</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incorporation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results[​]​.​roc_​code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RoC-Mumbai</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Registrar of Companies office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results[​]​.​class_​of_​company</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Private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Private or Public</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results[​]​.​match_​score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97</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Name match confidence percentage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total_​results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Number of companies matched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response_​status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SUCCESS</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processing result</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15. MCA - DIN Director Verification</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/mca/din/details</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Director-level KYC against each DIN returned by the Company Master call. Confirms director identity and lists other directorships - a promoter-risk and related-party signal. One call per director; stored as DIN_&lt;din&gt;.json.</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85111678</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Director Identification Number - 8-digit numeric, unique per individual across all companies</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client_​id</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corporate_​din_​hYzkWdzfBnNVooeb</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Caller correlation reference</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AJKPC7712M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Director PAN, when a PAN cross-check is required</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rrn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12345678_​1770723572745</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Request reference number issued by MCA</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din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85111678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Echo of the DIN queried</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status_​code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status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tran_​ref_​no</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20471060</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Transaction reference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message.​client_​id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corporate_​din_​hYzkWdzfBnNVooeb</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Client correlation id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message.​din_​number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85111678</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Director Identification Number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message.​full_​name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Rajesh Chandwani</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Full name of the director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message.​father_​name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Suresh Chandwani</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Father's name of the director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message.​dob</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1964-03-14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birth of the director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message.​nationality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Nationality ISO country code</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message.​present_​address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204,​ Sona Mahal Apartments,​ Nagpur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Current residential address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message.​permanent_​address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Permanent residential address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message.​email</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rajesh.​chandwani@​example.​com</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email of the director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message.​pan_​number</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AJKPC7712M</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PAN of the director. Sensitive - mask in UI.</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message.​companies_​associated[​]​.​cin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U61100MH2015PTC267394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CIN of each company the director is associated with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message.​companies_​associated[​]​.​ company_​name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Name of the associated company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message.​companies_​associated[​]​.​ designation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Director</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Designation held in that company</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message.​companies_​associated[​]​.​ date_​of_​appointment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2015-04-02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of appointment in that company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message.​status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success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Record-level status returned by MCA</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16. IP Verification / Risk Score</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/ipQuality/riskScores</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Fraud and geolocation check on the source IP captured at login and onboarding. Produces the Secure Connection audit shown on the dashboard - VPN, proxy, Tor and bot detection plus a fraud score, used as a session-integrity signal alongside the financial data.</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Mandatory</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49.​36.​220.​14</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Source IPv4 or IPv6 address captured from the client request at login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strictness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Detection strictness level, 0 to 3 - higher increases sensitivity to anonymising networks</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user_​agent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Mozilla/​5.​0 (Windows NT 10.​0; Win64; x64)</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Client user agent string, for device-level correlation</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49.​36.​220.​14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The IP address evaluated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fraud_​score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Fraud risk score 0-100. Below 25 with no anonymising network is treated as a trusted origin.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vpn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Boolean</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false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the IP belongs to a known VPN service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proxy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Boolean</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false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the IP is a known proxy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tor</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Boolean</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false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the IP is a Tor exit node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bot_​status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Boolean</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false</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the request appears to be automated / non-human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ISP</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Reliance Jio Infocomm Limited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Internet service provider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organization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Reliance Jio Infocomm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Organisation the IP is registered to</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ASN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AS55836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Autonomous system number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connection_​type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Residential</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Connection type - Residential / Corporate / Mobile / Data Center</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country_​name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India</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Country name resolved from the IP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country_​code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ISO country code - non-IN origins are flagged for review</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region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Maharashtra</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State / region resolved from the IP</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city</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Nagpur</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City resolved from the IP</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latitude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21.​1458</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Latitude of the resolved location</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longitude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79.​0882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Longitude of the resolved location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response_​status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SUCCESS</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processing result</w:t>
            </w:r>
          </w:p>
        </w:tc>
      </w:tr>
    </w:tbl>
    <w:p>
      <w:r>
        <w:br w:type="page"/>
      </w:r>
    </w:p>
    <w:p>
      <w:pPr>
        <w:pBdr>
          <w:bottom w:val="single" w:color="0F5B6B" w:sz="6" w:space="4"/>
        </w:pBdr>
        <w:spacing w:after="80" w:before="100"/>
      </w:pPr>
      <w:r>
        <w:rPr>
          <w:rFonts w:ascii="Segoe UI" w:cs="Segoe UI" w:eastAsia="Segoe UI" w:hAnsi="Segoe UI"/>
          <w:b/>
          <w:bCs/>
          <w:color w:val="0F5B6B"/>
          <w:sz w:val="30"/>
          <w:szCs w:val="30"/>
        </w:rPr>
        <w:t xml:space="preserve">17. EPFO - Establishment &amp; Contribution History (Optional)</w:t>
      </w:r>
    </w:p>
    <w:p>
      <w:pPr>
        <w:spacing w:after="50" w:before="80"/>
      </w:pPr>
      <w:r>
        <w:rPr>
          <w:rFonts w:ascii="Segoe UI" w:cs="Segoe UI" w:eastAsia="Segoe UI" w:hAnsi="Segoe UI"/>
          <w:b/>
          <w:bCs/>
          <w:i w:val="false"/>
          <w:iCs w:val="false"/>
          <w:sz w:val="22"/>
          <w:szCs w:val="22"/>
        </w:rPr>
        <w:t xml:space="preserve">Endpoint:  </w:t>
      </w:r>
      <w:r>
        <w:rPr>
          <w:rFonts w:ascii="Consolas" w:cs="Consolas" w:eastAsia="Consolas" w:hAnsi="Consolas"/>
          <w:b w:val="false"/>
          <w:bCs w:val="false"/>
          <w:i w:val="false"/>
          <w:iCs w:val="false"/>
          <w:color w:val="444444"/>
          <w:sz w:val="20"/>
          <w:szCs w:val="20"/>
        </w:rPr>
        <w:t xml:space="preserve">POST /epfo/establishment</w:t>
      </w:r>
    </w:p>
    <w:p>
      <w:pPr>
        <w:spacing w:after="170" w:before="20"/>
      </w:pPr>
      <w:r>
        <w:rPr>
          <w:rFonts w:ascii="Segoe UI" w:cs="Segoe UI" w:eastAsia="Segoe UI" w:hAnsi="Segoe UI"/>
          <w:b/>
          <w:bCs/>
          <w:i w:val="false"/>
          <w:iCs w:val="false"/>
          <w:sz w:val="22"/>
          <w:szCs w:val="22"/>
        </w:rPr>
        <w:t xml:space="preserve">Purpose:  </w:t>
      </w:r>
      <w:r>
        <w:rPr>
          <w:rFonts w:ascii="Segoe UI" w:cs="Segoe UI" w:eastAsia="Segoe UI" w:hAnsi="Segoe UI"/>
          <w:b w:val="false"/>
          <w:bCs w:val="false"/>
          <w:i w:val="false"/>
          <w:iCs w:val="false"/>
          <w:sz w:val="22"/>
          <w:szCs w:val="22"/>
        </w:rPr>
        <w:t xml:space="preserve">Provident-fund contribution history as a payroll-stability and headcount proxy, feeding Business Stability and Compliance Quotient. Optional by design: many micro enterprises fall below the registration threshold. A clear NOT_REGISTERED response is required and must be distinguishable from a fetch failure - it is a valid input, not missing data.</w:t>
      </w:r>
    </w:p>
    <w:p>
      <w:pPr>
        <w:spacing w:after="100" w:before="100"/>
      </w:pPr>
      <w:r>
        <w:rPr>
          <w:rFonts w:ascii="Segoe UI" w:cs="Segoe UI" w:eastAsia="Segoe UI" w:hAnsi="Segoe UI"/>
          <w:b/>
          <w:bCs/>
          <w:i w:val="false"/>
          <w:iCs w:val="false"/>
          <w:color w:val="0F5B6B"/>
          <w:sz w:val="24"/>
          <w:szCs w:val="24"/>
        </w:rPr>
        <w:t xml:space="preserve">Request Parameters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50"/>
        <w:gridCol w:w="900"/>
        <w:gridCol w:w="850"/>
        <w:gridCol w:w="1150"/>
        <w:gridCol w:w="1900"/>
        <w:gridCol w:w="3336"/>
      </w:tblGrid>
      <w:tr>
        <w:trPr>
          <w:tblHeader/>
        </w:trPr>
        <w:tc>
          <w:tcPr>
            <w:tcW w:type="dxa" w:w="26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1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Mandatory/Optional</w:t>
            </w:r>
          </w:p>
        </w:tc>
        <w:tc>
          <w:tcPr>
            <w:tcW w:type="dxa" w:w="1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3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establishment_​id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Conditional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MHNGP0048392000</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EPFO establishment code. Mandatory when known; otherwise supply pan or gstin.</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pan</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Conditional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AABCU9603R</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Company PAN - alternative lookup key when the establishment id is unknown</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gstin</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27AABCU9603R1ZM</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GSTIN - additional lookup key</w:t>
            </w:r>
          </w:p>
        </w:tc>
      </w:tr>
      <w:tr>
        <w:tc>
          <w:tcPr>
            <w:tcW w:type="dxa" w:w="26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from_​month</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082025</w:t>
            </w:r>
          </w:p>
        </w:tc>
        <w:tc>
          <w:tcPr>
            <w:tcW w:type="dxa" w:w="33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Start of the contribution window in MMyyyy format</w:t>
            </w:r>
          </w:p>
        </w:tc>
      </w:tr>
      <w:tr>
        <w:tc>
          <w:tcPr>
            <w:tcW w:type="dxa" w:w="26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to_​month</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1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Optional</w:t>
            </w:r>
          </w:p>
        </w:tc>
        <w:tc>
          <w:tcPr>
            <w:tcW w:type="dxa" w:w="1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3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End of the contribution window in MMyyyy format</w:t>
            </w:r>
          </w:p>
        </w:tc>
      </w:tr>
    </w:tbl>
    <w:p>
      <w:pPr>
        <w:spacing w:after="100" w:before="260"/>
      </w:pPr>
      <w:r>
        <w:rPr>
          <w:rFonts w:ascii="Segoe UI" w:cs="Segoe UI" w:eastAsia="Segoe UI" w:hAnsi="Segoe UI"/>
          <w:b/>
          <w:bCs/>
          <w:i w:val="false"/>
          <w:iCs w:val="false"/>
          <w:color w:val="0F5B6B"/>
          <w:sz w:val="24"/>
          <w:szCs w:val="24"/>
        </w:rPr>
        <w:t xml:space="preserve">Response Fields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950"/>
        <w:gridCol w:w="900"/>
        <w:gridCol w:w="850"/>
        <w:gridCol w:w="2150"/>
        <w:gridCol w:w="3936"/>
      </w:tblGrid>
      <w:tr>
        <w:trPr>
          <w:tblHeader/>
        </w:trPr>
        <w:tc>
          <w:tcPr>
            <w:tcW w:type="dxa" w:w="29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API Response Field Name</w:t>
            </w:r>
          </w:p>
        </w:tc>
        <w:tc>
          <w:tcPr>
            <w:tcW w:type="dxa" w:w="9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Field Type</w:t>
            </w:r>
          </w:p>
        </w:tc>
        <w:tc>
          <w:tcPr>
            <w:tcW w:type="dxa" w:w="8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Max Field Length</w:t>
            </w:r>
          </w:p>
        </w:tc>
        <w:tc>
          <w:tcPr>
            <w:tcW w:type="dxa" w:w="215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Sample Values</w:t>
            </w:r>
          </w:p>
        </w:tc>
        <w:tc>
          <w:tcPr>
            <w:tcW w:type="dxa" w:w="393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Description</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establishment_​id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MHNGP0048392000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EPFO establishment code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establishment_​name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UCN FIBRENET PRIVATE LIMITED</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establishment name - cross-checked against Udyam and MCA</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registration_​status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REGISTERED</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or NOT_REGISTERED. NOT_REGISTERED is a valid business outcome, not an error.</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address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Plot 14,​ Industrial Area,​ Nagpur 440012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Registered address of the establishment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date_​of_​coverage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2016-04-01</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establishment came under EPFO coverage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ownership_​type</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50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Private Limited Company</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Ownership type recorded with EPFO</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pf_​status</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Active</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Current PF account status</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employee_​count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Current number of contributing employees - headcount proxy</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employee_​count_​12m_​ago</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36</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Contributing employees twelve months ago - basis of headcount trend</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monthly_​contribution[​]​.​wage_​month</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072026</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Wage month in MMyyyy format</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monthly_​contribution[​]​.​ecr_​filed</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Y</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the Electronic Challan cum Return was filed for the month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monthly_​contribution[​]​.​no_​of_​employees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6</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42</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Employees contributing in that month</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monthly_​contribution[​]​.​total_​amount</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Decimal</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18,2</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384200.​00</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Total PF contribution remitted for the month</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monthly_​contribution[​]​.​date_​of_​credit</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2026-08-14</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Date the contribution was credited - basis of remittance-delay days</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last_​ecr_​filed_​date</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Date</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10</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2026-08-14</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Most recent ECR filing date</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delayed_​remittance_​count_​12m</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Integer</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Number of months with delayed remittance in the last 12 - compliance signal</w:t>
            </w:r>
          </w:p>
        </w:tc>
      </w:tr>
      <w:tr>
        <w:tc>
          <w:tcPr>
            <w:tcW w:type="dxa" w:w="2950"/>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arrears_​flag</w:t>
            </w:r>
          </w:p>
        </w:tc>
        <w:tc>
          <w:tcPr>
            <w:tcW w:type="dxa" w:w="90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1</w:t>
            </w:r>
          </w:p>
        </w:tc>
        <w:tc>
          <w:tcPr>
            <w:tcW w:type="dxa" w:w="2150"/>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N</w:t>
            </w:r>
          </w:p>
        </w:tc>
        <w:tc>
          <w:tcPr>
            <w:tcW w:type="dxa" w:w="393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Whether PF arrears are outstanding against the establishment</w:t>
            </w:r>
          </w:p>
        </w:tc>
      </w:tr>
      <w:tr>
        <w:tc>
          <w:tcPr>
            <w:tcW w:type="dxa" w:w="2950"/>
            <w:shd w:fill="F5FAFB" w:color="auto" w:val="clear"/>
            <w:tcMar>
              <w:top w:type="dxa" w:w="90"/>
              <w:left w:type="dxa" w:w="110"/>
              <w:bottom w:type="dxa" w:w="90"/>
              <w:right w:type="dxa" w:w="110"/>
            </w:tcMar>
          </w:tcPr>
          <w:p>
            <w:pPr>
              <w:spacing w:after="0" w:before="0"/>
            </w:pPr>
            <w:r>
              <w:rPr>
                <w:rFonts w:ascii="Consolas" w:cs="Consolas" w:eastAsia="Consolas" w:hAnsi="Consolas"/>
                <w:b/>
                <w:bCs/>
                <w:i w:val="false"/>
                <w:iCs w:val="false"/>
                <w:sz w:val="20"/>
                <w:szCs w:val="20"/>
              </w:rPr>
              <w:t xml:space="preserve">response_​status</w:t>
            </w:r>
          </w:p>
        </w:tc>
        <w:tc>
          <w:tcPr>
            <w:tcW w:type="dxa" w:w="90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String</w:t>
            </w:r>
          </w:p>
        </w:tc>
        <w:tc>
          <w:tcPr>
            <w:tcW w:type="dxa" w:w="8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20</w:t>
            </w:r>
          </w:p>
        </w:tc>
        <w:tc>
          <w:tcPr>
            <w:tcW w:type="dxa" w:w="2150"/>
            <w:shd w:fill="F5FAFB" w:color="auto" w:val="clear"/>
            <w:tcMar>
              <w:top w:type="dxa" w:w="90"/>
              <w:left w:type="dxa" w:w="110"/>
              <w:bottom w:type="dxa" w:w="90"/>
              <w:right w:type="dxa" w:w="110"/>
            </w:tcMar>
          </w:tcPr>
          <w:p>
            <w:pPr>
              <w:spacing w:after="0" w:before="0"/>
              <w:jc w:val="center"/>
            </w:pPr>
            <w:r>
              <w:rPr>
                <w:rFonts w:ascii="Segoe UI" w:cs="Segoe UI" w:eastAsia="Segoe UI" w:hAnsi="Segoe UI"/>
                <w:b w:val="false"/>
                <w:bCs w:val="false"/>
                <w:i w:val="false"/>
                <w:iCs w:val="false"/>
                <w:sz w:val="20"/>
                <w:szCs w:val="20"/>
              </w:rPr>
              <w:t xml:space="preserve">SUCCESS</w:t>
            </w:r>
          </w:p>
        </w:tc>
        <w:tc>
          <w:tcPr>
            <w:tcW w:type="dxa" w:w="393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API processing result</w:t>
            </w:r>
          </w:p>
        </w:tc>
      </w:tr>
    </w:tbl>
    <w:p>
      <w:r>
        <w:br w:type="page"/>
      </w:r>
    </w:p>
    <w:p>
      <w:pPr>
        <w:pBdr>
          <w:bottom w:val="single" w:color="0F5B6B" w:sz="6" w:space="4"/>
        </w:pBdr>
        <w:spacing w:after="100" w:before="100"/>
      </w:pPr>
      <w:r>
        <w:rPr>
          <w:rFonts w:ascii="Segoe UI" w:cs="Segoe UI" w:eastAsia="Segoe UI" w:hAnsi="Segoe UI"/>
          <w:b/>
          <w:bCs/>
          <w:color w:val="0F5B6B"/>
          <w:sz w:val="30"/>
          <w:szCs w:val="30"/>
        </w:rPr>
        <w:t xml:space="preserve">General Notes &amp; Assumptions</w:t>
      </w:r>
    </w:p>
    <w:tbl>
      <w:tblPr>
        <w:tblW w:type="dxa" w:w="10786"/>
        <w:tblBorders>
          <w:top w:val="single" w:color="9FBEC6" w:sz="4"/>
          <w:left w:val="single" w:color="9FBEC6" w:sz="4"/>
          <w:bottom w:val="single" w:color="9FBEC6" w:sz="4"/>
          <w:right w:val="single" w:color="9FBEC6" w:sz="4"/>
          <w:insideH w:val="single" w:color="C4D8DD" w:sz="2"/>
          <w:insideV w:val="single" w:color="C4D8DD" w:sz="2"/>
        </w:tblBorders>
        <w:tblLayout w:type="fixed"/>
      </w:tblPr>
      <w:tblGrid>
        <w:gridCol w:w="2600"/>
        <w:gridCol w:w="8186"/>
      </w:tblGrid>
      <w:tr>
        <w:trPr>
          <w:tblHeader/>
        </w:trPr>
        <w:tc>
          <w:tcPr>
            <w:tcW w:type="dxa" w:w="2600"/>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Topic</w:t>
            </w:r>
          </w:p>
        </w:tc>
        <w:tc>
          <w:tcPr>
            <w:tcW w:type="dxa" w:w="8186"/>
            <w:shd w:fill="DCE9EC" w:color="auto" w:val="clear"/>
            <w:tcMar>
              <w:top w:type="dxa" w:w="90"/>
              <w:left w:type="dxa" w:w="110"/>
              <w:bottom w:type="dxa" w:w="90"/>
              <w:right w:type="dxa" w:w="110"/>
            </w:tcMar>
          </w:tcPr>
          <w:p>
            <w:pPr>
              <w:spacing w:after="0" w:before="0"/>
              <w:jc w:val="center"/>
            </w:pPr>
            <w:r>
              <w:rPr>
                <w:rFonts w:ascii="Segoe UI" w:cs="Segoe UI" w:eastAsia="Segoe UI" w:hAnsi="Segoe UI"/>
                <w:b/>
                <w:bCs/>
                <w:i w:val="false"/>
                <w:iCs w:val="false"/>
                <w:color w:val="0F5B6B"/>
                <w:sz w:val="20"/>
                <w:szCs w:val="20"/>
              </w:rPr>
              <w:t xml:space="preserve">Detail</w:t>
            </w:r>
          </w:p>
        </w:tc>
      </w:tr>
      <w:tr>
        <w:tc>
          <w:tcPr>
            <w:tcW w:type="dxa" w:w="260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Envelope handling</w:t>
            </w:r>
          </w:p>
        </w:tc>
        <w:tc>
          <w:tcPr>
            <w:tcW w:type="dxa" w:w="818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Our parsers accept both a bare payload and one wrapped as response.message.data, so either sandbox convention will work without code changes.</w:t>
            </w:r>
          </w:p>
        </w:tc>
      </w:tr>
      <w:tr>
        <w:tc>
          <w:tcPr>
            <w:tcW w:type="dxa" w:w="260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Date formats</w:t>
            </w:r>
          </w:p>
        </w:tc>
        <w:tc>
          <w:tcPr>
            <w:tcW w:type="dxa" w:w="818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We accept yyyy-MM-dd, dd-MM-yyyy and dd/MM/yyyy and normalise internally. GST return periods are MMyyyy. The value 1800-01-01 is treated as the MCA sentinel for 'not set'.</w:t>
            </w:r>
          </w:p>
        </w:tc>
      </w:tr>
      <w:tr>
        <w:tc>
          <w:tcPr>
            <w:tcW w:type="dxa" w:w="260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Data window</w:t>
            </w:r>
          </w:p>
        </w:tc>
        <w:tc>
          <w:tcPr>
            <w:tcW w:type="dxa" w:w="818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 and Account Aggregator data are requested for a trailing 12 months; ITR for the trailing 3 assessment years. A minimum of 6 months of GST and AA data is needed for a reliable score.</w:t>
            </w:r>
          </w:p>
        </w:tc>
      </w:tr>
      <w:tr>
        <w:tc>
          <w:tcPr>
            <w:tcW w:type="dxa" w:w="260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Monthly files</w:t>
            </w:r>
          </w:p>
        </w:tc>
        <w:tc>
          <w:tcPr>
            <w:tcW w:type="dxa" w:w="818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GST return APIs are called once per return period. A 12-month pull produces 12 files per return type, named with the MMyyyy suffix shown in the coverage table.</w:t>
            </w:r>
          </w:p>
        </w:tc>
      </w:tr>
      <w:tr>
        <w:tc>
          <w:tcPr>
            <w:tcW w:type="dxa" w:w="260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Amounts</w:t>
            </w:r>
          </w:p>
        </w:tc>
        <w:tc>
          <w:tcPr>
            <w:tcW w:type="dxa" w:w="818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All monetary values are in INR. We accept them as numeric or as numeric strings; both are parsed. Decimal precision of 18,2 is assumed.</w:t>
            </w:r>
          </w:p>
        </w:tc>
      </w:tr>
      <w:tr>
        <w:tc>
          <w:tcPr>
            <w:tcW w:type="dxa" w:w="260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Missing data</w:t>
            </w:r>
          </w:p>
        </w:tc>
        <w:tc>
          <w:tcPr>
            <w:tcW w:type="dxa" w:w="818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 source being absent must be distinguishable from a fetch failure. EPFO NOT_REGISTERED in particular is a valid business outcome for micro enterprises and is scored as such, not penalised.</w:t>
            </w:r>
          </w:p>
        </w:tc>
      </w:tr>
      <w:tr>
        <w:tc>
          <w:tcPr>
            <w:tcW w:type="dxa" w:w="260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Consent</w:t>
            </w:r>
          </w:p>
        </w:tc>
        <w:tc>
          <w:tcPr>
            <w:tcW w:type="dxa" w:w="818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Account Aggregator data is pulled strictly against an approved consent artefact. GST, ITR and EPFO access is authorised once at onboarding. Every pull is logged against the MSME record for audit.</w:t>
            </w:r>
          </w:p>
        </w:tc>
      </w:tr>
      <w:tr>
        <w:tc>
          <w:tcPr>
            <w:tcW w:type="dxa" w:w="260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Sensitive fields</w:t>
            </w:r>
          </w:p>
        </w:tc>
        <w:tc>
          <w:tcPr>
            <w:tcW w:type="dxa" w:w="818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PAN, DIN PAN, bank account numbers and director addresses are masked in all UI surfaces, excluded from logs, and never returned in our outbound ULI/OCEN score API.</w:t>
            </w:r>
          </w:p>
        </w:tc>
      </w:tr>
      <w:tr>
        <w:tc>
          <w:tcPr>
            <w:tcW w:type="dxa" w:w="2600"/>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Error contract</w:t>
            </w:r>
          </w:p>
        </w:tc>
        <w:tc>
          <w:tcPr>
            <w:tcW w:type="dxa" w:w="8186"/>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Please distinguish not-found (valid identifier, no data) from unauthorised (scope) from invalid-input (malformed identifier). Collapsing these into a generic 400 prevents correct partial-completeness handling.</w:t>
            </w:r>
          </w:p>
        </w:tc>
      </w:tr>
      <w:tr>
        <w:tc>
          <w:tcPr>
            <w:tcW w:type="dxa" w:w="2600"/>
            <w:shd w:fill="F5FAFB" w:color="auto" w:val="clear"/>
            <w:tcMar>
              <w:top w:type="dxa" w:w="90"/>
              <w:left w:type="dxa" w:w="110"/>
              <w:bottom w:type="dxa" w:w="90"/>
              <w:right w:type="dxa" w:w="110"/>
            </w:tcMar>
          </w:tcPr>
          <w:p>
            <w:pPr>
              <w:spacing w:after="0" w:before="0"/>
            </w:pPr>
            <w:r>
              <w:rPr>
                <w:rFonts w:ascii="Segoe UI" w:cs="Segoe UI" w:eastAsia="Segoe UI" w:hAnsi="Segoe UI"/>
                <w:b/>
                <w:bCs/>
                <w:i w:val="false"/>
                <w:iCs w:val="false"/>
                <w:sz w:val="20"/>
                <w:szCs w:val="20"/>
              </w:rPr>
              <w:t xml:space="preserve">Rate limits</w:t>
            </w:r>
          </w:p>
        </w:tc>
        <w:tc>
          <w:tcPr>
            <w:tcW w:type="dxa" w:w="8186"/>
            <w:shd w:fill="F5FAFB" w:color="auto" w:val="clear"/>
            <w:tcMar>
              <w:top w:type="dxa" w:w="90"/>
              <w:left w:type="dxa" w:w="110"/>
              <w:bottom w:type="dxa" w:w="90"/>
              <w:right w:type="dxa" w:w="110"/>
            </w:tcMar>
          </w:tcPr>
          <w:p>
            <w:pPr>
              <w:spacing w:after="0" w:before="0"/>
            </w:pPr>
            <w:r>
              <w:rPr>
                <w:rFonts w:ascii="Segoe UI" w:cs="Segoe UI" w:eastAsia="Segoe UI" w:hAnsi="Segoe UI"/>
                <w:b w:val="false"/>
                <w:bCs w:val="false"/>
                <w:i w:val="false"/>
                <w:iCs w:val="false"/>
                <w:sz w:val="20"/>
                <w:szCs w:val="20"/>
              </w:rPr>
              <w:t xml:space="preserve">Please confirm per-API rate limits and any batch endpoints. A single MSME onboarding triggers roughly 50 to 60 calls, dominated by the 12-month GST pull.</w:t>
            </w:r>
          </w:p>
        </w:tc>
      </w:tr>
    </w:tbl>
    <w:p>
      <w:pPr>
        <w:spacing w:after="100" w:before="300"/>
      </w:pPr>
      <w:r>
        <w:rPr>
          <w:rFonts w:ascii="Segoe UI" w:cs="Segoe UI" w:eastAsia="Segoe UI" w:hAnsi="Segoe UI"/>
          <w:b/>
          <w:bCs/>
          <w:i w:val="false"/>
          <w:iCs w:val="false"/>
          <w:color w:val="0F5B6B"/>
          <w:sz w:val="24"/>
          <w:szCs w:val="24"/>
        </w:rPr>
        <w:t xml:space="preserve">Contact</w:t>
      </w:r>
    </w:p>
    <w:p>
      <w:pPr>
        <w:spacing w:after="30" w:before="30"/>
      </w:pPr>
      <w:r>
        <w:rPr>
          <w:rFonts w:ascii="Segoe UI" w:cs="Segoe UI" w:eastAsia="Segoe UI" w:hAnsi="Segoe UI"/>
          <w:b w:val="false"/>
          <w:bCs w:val="false"/>
          <w:i w:val="false"/>
          <w:iCs w:val="false"/>
          <w:sz w:val="22"/>
          <w:szCs w:val="22"/>
        </w:rPr>
        <w:t xml:space="preserve">Team ASM FinTech  ·  FinRiskLens AI  ·  IDBI Innovate 2026</w:t>
      </w:r>
    </w:p>
    <w:p>
      <w:pPr>
        <w:spacing w:after="30" w:before="30"/>
      </w:pPr>
      <w:r>
        <w:rPr>
          <w:rFonts w:ascii="Segoe UI" w:cs="Segoe UI" w:eastAsia="Segoe UI" w:hAnsi="Segoe UI"/>
          <w:b w:val="false"/>
          <w:bCs w:val="false"/>
          <w:i/>
          <w:iCs/>
          <w:sz w:val="20"/>
          <w:szCs w:val="20"/>
        </w:rPr>
        <w:t xml:space="preserve">Prepared for the Mentor-Mentee Connect and sandbox API environment setup.</w:t>
      </w:r>
    </w:p>
    <w:sectPr>
      <w:pgSz w:w="11906" w:h="16838" w:orient="portrait"/>
      <w:pgMar w:top="780" w:right="560" w:bottom="78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IDBI Innovate 2026 - Data Field Requirements - FinRiskLens AI</dc:title>
  <dc:creator>Team ASM FinTech</dc:creator>
  <dc:description>Request and response data field specification for all external APIs consumed by the FinRiskLens AI prototype</dc:description>
  <cp:lastModifiedBy>Un-named</cp:lastModifiedBy>
  <cp:revision>1</cp:revision>
  <dcterms:created xsi:type="dcterms:W3CDTF">2026-08-24T08:14:23.263Z</dcterms:created>
  <dcterms:modified xsi:type="dcterms:W3CDTF">2026-08-24T08:14:23.264Z</dcterms:modified>
</cp:coreProperties>
</file>

<file path=docProps/custom.xml><?xml version="1.0" encoding="utf-8"?>
<Properties xmlns="http://schemas.openxmlformats.org/officeDocument/2006/custom-properties" xmlns:vt="http://schemas.openxmlformats.org/officeDocument/2006/docPropsVTypes"/>
</file>