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Synthesis and Physical Design on CAE</w:t>
      </w:r>
    </w:p>
    <w:p>
      <w:pPr/>
      <w:r>
        <w:rPr>
          <w:color w:val="505050"/>
          <w:sz w:val="18"/>
        </w:rPr>
        <w:t>By Abhinav Nandwani</w:t>
      </w:r>
    </w:p>
    <w:p>
      <w:pPr/>
      <w:r>
        <w:t>Use this guide to run synthesis, inspect mapped logic and timing in Design Vision, and bring a small design into IC Compiler II for physical inspection. Keep the terminal transcript, scripts, and GUI observations together. The register example teaches the workflow; its area and timing are not accelerator estimates.</w:t>
      </w:r>
    </w:p>
    <w:p>
      <w:pPr>
        <w:pStyle w:val="Heading1"/>
      </w:pPr>
      <w:r>
        <w:t>Sign in to Guacamole</w:t>
      </w:r>
    </w:p>
    <w:p>
      <w:pPr/>
      <w:r>
        <w:t>Guacamole displays a CAE Linux desktop in your browser. The tools run on the CAE machine. Use your own UW NetID and confirm that your account can reach CAE Linux services before the lab.</w:t>
      </w:r>
    </w:p>
    <w:p>
      <w:pPr>
        <w:spacing w:after="80"/>
        <w:ind w:left="288" w:hanging="288"/>
      </w:pPr>
      <w:r>
        <w:t xml:space="preserve">1. On your laptop, open </w:t>
      </w:r>
      <w:hyperlink r:id="rId11">
        <w:r>
          <w:rPr>
            <w:color w:val="0563C1"/>
            <w:u w:val="single"/>
          </w:rPr>
          <w:t>https://guacamole.cae.wisc.edu</w:t>
        </w:r>
      </w:hyperlink>
      <w:r>
        <w:t xml:space="preserve"> in a browser.</w:t>
      </w:r>
    </w:p>
    <w:p>
      <w:pPr>
        <w:spacing w:after="80"/>
        <w:ind w:left="288" w:hanging="288"/>
      </w:pPr>
      <w:r>
        <w:t>2. Complete the UW web sign-in with your NetID and password, then complete MFA if requested.</w:t>
      </w:r>
    </w:p>
    <w:p>
      <w:pPr>
        <w:spacing w:after="80"/>
        <w:ind w:left="288" w:hanging="288"/>
      </w:pPr>
      <w:r>
        <w:t>3. At the Linux login screen, enter your UW NetID and password again. Use your NetID credentials at this second prompt too. The old separate CAE username and password are not the instructions for this service.</w:t>
      </w:r>
    </w:p>
    <w:p>
      <w:pPr>
        <w:spacing w:after="80"/>
        <w:ind w:left="288" w:hanging="288"/>
      </w:pPr>
      <w:r>
        <w:t>4. Wait for the Linux desktop. Open Apps in the upper-left corner and choose Terminal under Favorites. Maximize the terminal by double-clicking its title bar.</w:t>
      </w:r>
    </w:p>
    <w:p>
      <w:pPr>
        <w:spacing w:after="80"/>
        <w:ind w:left="288" w:hanging="288"/>
      </w:pPr>
      <w:r>
        <w:t>5. Keep the Guacamole tab open. A terminal inside this desktop is already on CAE; do not SSH back into CAE from it.</w:t>
      </w:r>
    </w:p>
    <w:p>
      <w:pPr>
        <w:keepNext/>
        <w:spacing w:after="60"/>
        <w:jc w:val="center"/>
      </w:pPr>
      <w:r>
        <w:drawing>
          <wp:inline xmlns:a="http://schemas.openxmlformats.org/drawingml/2006/main" xmlns:pic="http://schemas.openxmlformats.org/drawingml/2006/picture">
            <wp:extent cx="2743200" cy="1734854"/>
            <wp:docPr id="1" name="Picture 1"/>
            <wp:cNvGraphicFramePr>
              <a:graphicFrameLocks noChangeAspect="1"/>
            </wp:cNvGraphicFramePr>
            <a:graphic>
              <a:graphicData uri="http://schemas.openxmlformats.org/drawingml/2006/picture">
                <pic:pic>
                  <pic:nvPicPr>
                    <pic:cNvPr id="0" name="02-apps-terminal.png"/>
                    <pic:cNvPicPr/>
                  </pic:nvPicPr>
                  <pic:blipFill>
                    <a:blip r:embed="rId12"/>
                    <a:srcRect l="0" t="0" r="64592" b="65069"/>
                    <a:stretch>
                      <a:fillRect/>
                    </a:stretch>
                  </pic:blipFill>
                  <pic:spPr>
                    <a:xfrm>
                      <a:off x="0" y="0"/>
                      <a:ext cx="2743200" cy="1734854"/>
                    </a:xfrm>
                    <a:prstGeom prst="rect"/>
                  </pic:spPr>
                </pic:pic>
              </a:graphicData>
            </a:graphic>
          </wp:inline>
        </w:drawing>
      </w:r>
    </w:p>
    <w:p>
      <w:pPr>
        <w:spacing w:after="160"/>
      </w:pPr>
      <w:r>
        <w:rPr>
          <w:i/>
          <w:sz w:val="18"/>
        </w:rPr>
        <w:t>Open Terminal from the CAE Apps menu.</w:t>
      </w:r>
    </w:p>
    <w:p>
      <w:pPr/>
      <w:r>
        <w:t>If you already have an active session, the browser may reconnect without showing every login screen. If sign-in fails, record which prompt failed: UW web sign-in, MFA, or the Linux desktop login. These are different stages.</w:t>
      </w:r>
    </w:p>
    <w:p>
      <w:pPr/>
      <w:r>
        <w:t xml:space="preserve">Official CAE login instructions and screenshots: </w:t>
      </w:r>
      <w:hyperlink r:id="rId13">
        <w:r>
          <w:rPr>
            <w:color w:val="0563C1"/>
            <w:u w:val="single"/>
          </w:rPr>
          <w:t>https://kb.wisc.edu/cae/163323</w:t>
        </w:r>
      </w:hyperlink>
      <w:r/>
    </w:p>
    <w:p>
      <w:r>
        <w:br w:type="page"/>
      </w:r>
    </w:p>
    <w:p>
      <w:pPr>
        <w:pStyle w:val="Heading1"/>
      </w:pPr>
      <w:r>
        <w:t>Enter the Synopsys environment</w:t>
      </w:r>
    </w:p>
    <w:p>
      <w:pPr/>
      <w:r>
        <w:t xml:space="preserve">Run these commands in the CAE terminal, one line at a time. Do not type a prompt such as </w:t>
      </w:r>
      <w:r>
        <w:rPr>
          <w:rFonts w:ascii="Courier New" w:hAnsi="Courier New"/>
          <w:sz w:val="18"/>
        </w:rPr>
        <w:t>$</w:t>
      </w:r>
      <w:r>
        <w:t xml:space="preserve"> or </w:t>
      </w:r>
      <w:r>
        <w:rPr>
          <w:rFonts w:ascii="Courier New" w:hAnsi="Courier New"/>
          <w:sz w:val="18"/>
        </w:rPr>
        <w:t>synopsys&gt;</w:t>
      </w:r>
      <w:r>
        <w:t xml:space="preserve"> before a command.</w:t>
      </w:r>
    </w:p>
    <w:p>
      <w:pPr>
        <w:pStyle w:val="Code"/>
        <w:keepLines/>
        <w:spacing w:after="160"/>
      </w:pPr>
      <w:r>
        <w:t>module load synopsys/suite</w:t>
        <w:br/>
        <w:t>synopsys-run</w:t>
        <w:br/>
        <w:t>command -v vcs dc_shell verdi icc2_shell pt_shell</w:t>
      </w:r>
    </w:p>
    <w:p>
      <w:pPr/>
      <w:r>
        <w:t xml:space="preserve">The prompt becomes </w:t>
      </w:r>
      <w:r>
        <w:rPr>
          <w:rFonts w:ascii="Courier New" w:hAnsi="Courier New"/>
          <w:sz w:val="18"/>
        </w:rPr>
        <w:t>synopsys&gt;</w:t>
      </w:r>
      <w:r>
        <w:t>. The module selects the site setup; the container provides the operating environment expected by the tools. Load the module before entering the container and repeat this setup for every new terminal used for Synopsys tools.</w:t>
      </w:r>
    </w:p>
    <w:p>
      <w:pPr>
        <w:keepNext/>
        <w:spacing w:after="60"/>
        <w:jc w:val="center"/>
      </w:pPr>
      <w:r>
        <w:drawing>
          <wp:inline xmlns:a="http://schemas.openxmlformats.org/drawingml/2006/main" xmlns:pic="http://schemas.openxmlformats.org/drawingml/2006/picture">
            <wp:extent cx="5943600" cy="1334148"/>
            <wp:docPr id="2" name="Picture 2"/>
            <wp:cNvGraphicFramePr>
              <a:graphicFrameLocks noChangeAspect="1"/>
            </wp:cNvGraphicFramePr>
            <a:graphic>
              <a:graphicData uri="http://schemas.openxmlformats.org/drawingml/2006/picture">
                <pic:pic>
                  <pic:nvPicPr>
                    <pic:cNvPr id="0" name="v2-environment.png"/>
                    <pic:cNvPicPr/>
                  </pic:nvPicPr>
                  <pic:blipFill>
                    <a:blip r:embed="rId14"/>
                    <a:srcRect l="0" t="7818" r="24010" b="65574"/>
                    <a:stretch>
                      <a:fillRect/>
                    </a:stretch>
                  </pic:blipFill>
                  <pic:spPr>
                    <a:xfrm>
                      <a:off x="0" y="0"/>
                      <a:ext cx="5943600" cy="1334148"/>
                    </a:xfrm>
                    <a:prstGeom prst="rect"/>
                  </pic:spPr>
                </pic:pic>
              </a:graphicData>
            </a:graphic>
          </wp:inline>
        </w:drawing>
      </w:r>
    </w:p>
    <w:p>
      <w:pPr>
        <w:spacing w:after="160"/>
      </w:pPr>
      <w:r>
        <w:rPr>
          <w:i/>
          <w:sz w:val="18"/>
        </w:rPr>
        <w:t>Tool paths inside the working CAE Synopsys container.</w:t>
      </w:r>
    </w:p>
    <w:p>
      <w:pPr>
        <w:pStyle w:val="Heading1"/>
      </w:pPr>
      <w:r>
        <w:t>Get the companion exercise onto CAE</w:t>
      </w:r>
    </w:p>
    <w:p>
      <w:pPr/>
      <w:r>
        <w:t>On your laptop, open Terminal or PowerShell. Clone the guide repository, then copy it to your CAE home directory:</w:t>
      </w:r>
    </w:p>
    <w:p>
      <w:pPr>
        <w:pStyle w:val="Code"/>
        <w:keepLines/>
        <w:spacing w:after="160"/>
      </w:pPr>
      <w:r>
        <w:t xml:space="preserve">git clone </w:t>
      </w:r>
      <w:hyperlink r:id="rId15">
        <w:r>
          <w:rPr>
            <w:color w:val="0563C1"/>
            <w:u w:val="single"/>
            <w:rFonts w:ascii="Courier New" w:hAnsi="Courier New"/>
            <w:sz w:val="18"/>
          </w:rPr>
          <w:t>https://github.com/abhinavnandwani/cae-synopsys-guides.git</w:t>
        </w:r>
      </w:hyperlink>
      <w:r>
        <w:br/>
        <w:t>scp -r cae-synopsys-guides YOUR_NETID@best-tux.cae.wisc.edu:~/</w:t>
      </w:r>
    </w:p>
    <w:p>
      <w:pPr/>
      <w:r>
        <w:t xml:space="preserve">Replace </w:t>
      </w:r>
      <w:r>
        <w:rPr>
          <w:rFonts w:ascii="Courier New" w:hAnsi="Courier New"/>
          <w:sz w:val="18"/>
        </w:rPr>
        <w:t>YOUR_NETID</w:t>
      </w:r>
      <w:r>
        <w:t xml:space="preserve"> with your NetID. Check a new SSH host key against the CAE fingerprint at </w:t>
      </w:r>
      <w:hyperlink r:id="rId16">
        <w:r>
          <w:rPr>
            <w:color w:val="0563C1"/>
            <w:u w:val="single"/>
          </w:rPr>
          <w:t>https://kb.wisc.edu/moodle/162780</w:t>
        </w:r>
      </w:hyperlink>
      <w:r>
        <w:t xml:space="preserve"> before accepting. If Git is unavailable, extract the repository ZIP, rename its folder to </w:t>
      </w:r>
      <w:r>
        <w:rPr>
          <w:rFonts w:ascii="Courier New" w:hAnsi="Courier New"/>
          <w:sz w:val="18"/>
        </w:rPr>
        <w:t>cae-synopsys-guides</w:t>
      </w:r>
      <w:r>
        <w:t>, then run the SCP line. Guacamole does not provide file transfer. The repository README also explains cloning directly on CAE.</w:t>
      </w:r>
    </w:p>
    <w:p>
      <w:pPr/>
      <w:r>
        <w:t>Back in the CAE container terminal:</w:t>
      </w:r>
    </w:p>
    <w:p>
      <w:pPr>
        <w:pStyle w:val="Code"/>
        <w:keepLines/>
        <w:spacing w:after="160"/>
      </w:pPr>
      <w:r>
        <w:t>cd ~/cae-synopsys-guides/lab</w:t>
        <w:br/>
        <w:t>pwd</w:t>
        <w:br/>
        <w:t>ls</w:t>
      </w:r>
    </w:p>
    <w:p>
      <w:pPr/>
      <w:r>
        <w:t xml:space="preserve">You should see </w:t>
      </w:r>
      <w:r>
        <w:rPr>
          <w:rFonts w:ascii="Courier New" w:hAnsi="Courier New"/>
          <w:sz w:val="18"/>
        </w:rPr>
        <w:t>run_lab.py</w:t>
      </w:r>
      <w:r>
        <w:t xml:space="preserve">, </w:t>
      </w:r>
      <w:r>
        <w:rPr>
          <w:rFonts w:ascii="Courier New" w:hAnsi="Courier New"/>
          <w:sz w:val="18"/>
        </w:rPr>
        <w:t>rtl</w:t>
      </w:r>
      <w:r>
        <w:t xml:space="preserve">, </w:t>
      </w:r>
      <w:r>
        <w:rPr>
          <w:rFonts w:ascii="Courier New" w:hAnsi="Courier New"/>
          <w:sz w:val="18"/>
        </w:rPr>
        <w:t>tb</w:t>
      </w:r>
      <w:r>
        <w:t xml:space="preserve">, </w:t>
      </w:r>
      <w:r>
        <w:rPr>
          <w:rFonts w:ascii="Courier New" w:hAnsi="Courier New"/>
          <w:sz w:val="18"/>
        </w:rPr>
        <w:t>synth</w:t>
      </w:r>
      <w:r>
        <w:t xml:space="preserve">, and </w:t>
      </w:r>
      <w:r>
        <w:rPr>
          <w:rFonts w:ascii="Courier New" w:hAnsi="Courier New"/>
          <w:sz w:val="18"/>
        </w:rPr>
        <w:t>README.md</w:t>
      </w:r>
      <w:r>
        <w:t>. The recorded screenshots use a dated demonstration folder. Use the folder you copied. Keep work in your home directory so it is available across CAE hosts.</w:t>
      </w:r>
    </w:p>
    <w:p>
      <w:r>
        <w:br w:type="page"/>
      </w:r>
    </w:p>
    <w:p>
      <w:pPr>
        <w:pStyle w:val="Heading1"/>
      </w:pPr>
      <w:r>
        <w:t>Work confidently in the terminal</w:t>
      </w:r>
    </w:p>
    <w:p>
      <w:pPr/>
      <w:r>
        <w:t xml:space="preserve">The current directory affects relative paths. </w:t>
      </w:r>
      <w:r>
        <w:rPr>
          <w:rFonts w:ascii="Courier New" w:hAnsi="Courier New"/>
          <w:sz w:val="18"/>
        </w:rPr>
        <w:t>pwd</w:t>
      </w:r>
      <w:r>
        <w:t xml:space="preserve"> prints it, </w:t>
      </w:r>
      <w:r>
        <w:rPr>
          <w:rFonts w:ascii="Courier New" w:hAnsi="Courier New"/>
          <w:sz w:val="18"/>
        </w:rPr>
        <w:t>ls</w:t>
      </w:r>
      <w:r>
        <w:t xml:space="preserve"> lists files, </w:t>
      </w:r>
      <w:r>
        <w:rPr>
          <w:rFonts w:ascii="Courier New" w:hAnsi="Courier New"/>
          <w:sz w:val="18"/>
        </w:rPr>
        <w:t>cd ..</w:t>
      </w:r>
      <w:r>
        <w:t xml:space="preserve"> moves to the parent, and </w:t>
      </w:r>
      <w:r>
        <w:rPr>
          <w:rFonts w:ascii="Courier New" w:hAnsi="Courier New"/>
          <w:sz w:val="18"/>
        </w:rPr>
        <w:t>cd ~/cae-synopsys-guides/lab</w:t>
      </w:r>
      <w:r>
        <w:t xml:space="preserve"> returns to the exercise. A leading </w:t>
      </w:r>
      <w:r>
        <w:rPr>
          <w:rFonts w:ascii="Courier New" w:hAnsi="Courier New"/>
          <w:sz w:val="18"/>
        </w:rPr>
        <w:t>/</w:t>
      </w:r>
      <w:r>
        <w:t xml:space="preserve"> means an absolute path; </w:t>
      </w:r>
      <w:r>
        <w:rPr>
          <w:rFonts w:ascii="Courier New" w:hAnsi="Courier New"/>
          <w:sz w:val="18"/>
        </w:rPr>
        <w:t>~</w:t>
      </w:r>
      <w:r>
        <w:t xml:space="preserve"> means your home directory. Quote paths containing spaces.</w:t>
      </w:r>
    </w:p>
    <w:tbl>
      <w:tblPr>
        <w:tblW w:type="auto" w:w="0"/>
        <w:tblLayout w:type="fixed"/>
        <w:tblLook w:firstColumn="1" w:firstRow="1" w:lastColumn="0" w:lastRow="0" w:noHBand="0" w:noVBand="1" w:val="04A0"/>
      </w:tblPr>
      <w:tblGrid>
        <w:gridCol w:w="2952"/>
        <w:gridCol w:w="7128"/>
      </w:tblGrid>
      <w:tr>
        <w:trPr>
          <w:cantSplit/>
          <w:tblHeader/>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Prompt or location</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Commands that belong there</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Laptop Terminal or PowerShell</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ssh</w:t>
            </w:r>
            <w:r>
              <w:rPr>
                <w:b w:val="0"/>
                <w:sz w:val="18"/>
              </w:rPr>
              <w:t xml:space="preserve"> and </w:t>
            </w:r>
            <w:r>
              <w:rPr>
                <w:rFonts w:ascii="Courier New" w:hAnsi="Courier New"/>
                <w:b w:val="0"/>
                <w:sz w:val="18"/>
              </w:rPr>
              <w:t>scp</w:t>
            </w:r>
            <w:r>
              <w:rPr>
                <w:b w:val="0"/>
                <w:sz w:val="18"/>
              </w:rPr>
              <w:t xml:space="preserve"> to reach CAE or transfer files.</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CAE host shell</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module load synopsys/suite</w:t>
            </w:r>
            <w:r>
              <w:rPr>
                <w:b w:val="0"/>
                <w:sz w:val="18"/>
              </w:rPr>
              <w:t xml:space="preserve">, then </w:t>
            </w:r>
            <w:r>
              <w:rPr>
                <w:rFonts w:ascii="Courier New" w:hAnsi="Courier New"/>
                <w:b w:val="0"/>
                <w:sz w:val="18"/>
              </w:rPr>
              <w:t>synopsys-run</w:t>
            </w:r>
            <w:r>
              <w:rPr>
                <w:b w:val="0"/>
                <w:sz w:val="18"/>
              </w:rPr>
              <w:t>.</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 xml:space="preserve">Container </w:t>
            </w:r>
            <w:r>
              <w:rPr>
                <w:rFonts w:ascii="Courier New" w:hAnsi="Courier New"/>
                <w:b w:val="0"/>
                <w:sz w:val="18"/>
              </w:rPr>
              <w:t>synopsys&gt;</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 xml:space="preserve">Linux commands, </w:t>
            </w:r>
            <w:r>
              <w:rPr>
                <w:rFonts w:ascii="Courier New" w:hAnsi="Courier New"/>
                <w:b w:val="0"/>
                <w:sz w:val="18"/>
              </w:rPr>
              <w:t>python3 run_lab.py</w:t>
            </w:r>
            <w:r>
              <w:rPr>
                <w:b w:val="0"/>
                <w:sz w:val="18"/>
              </w:rPr>
              <w:t xml:space="preserve">, </w:t>
            </w:r>
            <w:r>
              <w:rPr>
                <w:rFonts w:ascii="Courier New" w:hAnsi="Courier New"/>
                <w:b w:val="0"/>
                <w:sz w:val="18"/>
              </w:rPr>
              <w:t>vcs</w:t>
            </w:r>
            <w:r>
              <w:rPr>
                <w:b w:val="0"/>
                <w:sz w:val="18"/>
              </w:rPr>
              <w:t xml:space="preserve">, </w:t>
            </w:r>
            <w:r>
              <w:rPr>
                <w:rFonts w:ascii="Courier New" w:hAnsi="Courier New"/>
                <w:b w:val="0"/>
                <w:sz w:val="18"/>
              </w:rPr>
              <w:t>verdi</w:t>
            </w:r>
            <w:r>
              <w:rPr>
                <w:b w:val="0"/>
                <w:sz w:val="18"/>
              </w:rPr>
              <w:t xml:space="preserve">, </w:t>
            </w:r>
            <w:r>
              <w:rPr>
                <w:rFonts w:ascii="Courier New" w:hAnsi="Courier New"/>
                <w:b w:val="0"/>
                <w:sz w:val="18"/>
              </w:rPr>
              <w:t>dc_shell</w:t>
            </w:r>
            <w:r>
              <w:rPr>
                <w:b w:val="0"/>
                <w:sz w:val="18"/>
              </w:rPr>
              <w:t xml:space="preserve">, and </w:t>
            </w:r>
            <w:r>
              <w:rPr>
                <w:rFonts w:ascii="Courier New" w:hAnsi="Courier New"/>
                <w:b w:val="0"/>
                <w:sz w:val="18"/>
              </w:rPr>
              <w:t>icc2_shell</w:t>
            </w:r>
            <w:r>
              <w:rPr>
                <w:b w:val="0"/>
                <w:sz w:val="18"/>
              </w:rPr>
              <w:t>.</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 xml:space="preserve">Tool prompt such as </w:t>
            </w:r>
            <w:r>
              <w:rPr>
                <w:rFonts w:ascii="Courier New" w:hAnsi="Courier New"/>
                <w:b w:val="0"/>
                <w:sz w:val="18"/>
              </w:rPr>
              <w:t>dc_shell&gt;</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 xml:space="preserve">Tool Tcl commands such as </w:t>
            </w:r>
            <w:r>
              <w:rPr>
                <w:rFonts w:ascii="Courier New" w:hAnsi="Courier New"/>
                <w:b w:val="0"/>
                <w:sz w:val="18"/>
              </w:rPr>
              <w:t>read_ddc</w:t>
            </w:r>
            <w:r>
              <w:rPr>
                <w:b w:val="0"/>
                <w:sz w:val="18"/>
              </w:rPr>
              <w:t xml:space="preserve">, </w:t>
            </w:r>
            <w:r>
              <w:rPr>
                <w:rFonts w:ascii="Courier New" w:hAnsi="Courier New"/>
                <w:b w:val="0"/>
                <w:sz w:val="18"/>
              </w:rPr>
              <w:t>report_timing</w:t>
            </w:r>
            <w:r>
              <w:rPr>
                <w:b w:val="0"/>
                <w:sz w:val="18"/>
              </w:rPr>
              <w:t xml:space="preserve">, and </w:t>
            </w:r>
            <w:r>
              <w:rPr>
                <w:rFonts w:ascii="Courier New" w:hAnsi="Courier New"/>
                <w:b w:val="0"/>
                <w:sz w:val="18"/>
              </w:rPr>
              <w:t>help</w:t>
            </w:r>
            <w:r>
              <w:rPr>
                <w:b w:val="0"/>
                <w:sz w:val="18"/>
              </w:rPr>
              <w:t>.</w:t>
            </w:r>
          </w:p>
        </w:tc>
      </w:tr>
    </w:tbl>
    <w:p>
      <w:pPr>
        <w:spacing w:after="0"/>
      </w:pPr>
    </w:p>
    <w:p>
      <w:pPr/>
      <w:r>
        <w:t>Use these from the exercise folder to inspect source and logs without changing them:</w:t>
      </w:r>
    </w:p>
    <w:p>
      <w:pPr>
        <w:pStyle w:val="Code"/>
        <w:keepLines/>
        <w:spacing w:after="160"/>
      </w:pPr>
      <w:r>
        <w:t>ls -lh</w:t>
        <w:br/>
        <w:t>cat rtl/sb_flop.v</w:t>
        <w:br/>
        <w:t>sed -n '1,80p' tb/tb.sv</w:t>
        <w:br/>
        <w:t>less runs/YOUR_RUN/compile.log</w:t>
        <w:br/>
        <w:t>grep -nE 'Error|Fatal|Warning' runs/YOUR_RUN/compile.log</w:t>
        <w:br/>
        <w:t>tail -n 30 runs/YOUR_RUN/simulate.log</w:t>
      </w:r>
    </w:p>
    <w:p>
      <w:pPr/>
      <w:r>
        <w:t xml:space="preserve">Replace </w:t>
      </w:r>
      <w:r>
        <w:rPr>
          <w:rFonts w:ascii="Courier New" w:hAnsi="Courier New"/>
          <w:sz w:val="18"/>
        </w:rPr>
        <w:t>YOUR_RUN</w:t>
      </w:r>
      <w:r>
        <w:t xml:space="preserve"> with an actual directory printed by the runner. In </w:t>
      </w:r>
      <w:r>
        <w:rPr>
          <w:rFonts w:ascii="Courier New" w:hAnsi="Courier New"/>
          <w:sz w:val="18"/>
        </w:rPr>
        <w:t>less</w:t>
      </w:r>
      <w:r>
        <w:t xml:space="preserve">, use Space to advance, </w:t>
      </w:r>
      <w:r>
        <w:rPr>
          <w:rFonts w:ascii="Courier New" w:hAnsi="Courier New"/>
          <w:sz w:val="18"/>
        </w:rPr>
        <w:t>/Error</w:t>
      </w:r>
      <w:r>
        <w:t xml:space="preserve"> then Enter to search, </w:t>
      </w:r>
      <w:r>
        <w:rPr>
          <w:rFonts w:ascii="Courier New" w:hAnsi="Courier New"/>
          <w:sz w:val="18"/>
        </w:rPr>
        <w:t>n</w:t>
      </w:r>
      <w:r>
        <w:t xml:space="preserve"> for the next match, and </w:t>
      </w:r>
      <w:r>
        <w:rPr>
          <w:rFonts w:ascii="Courier New" w:hAnsi="Courier New"/>
          <w:sz w:val="18"/>
        </w:rPr>
        <w:t>q</w:t>
      </w:r>
      <w:r>
        <w:t xml:space="preserve"> to return to the shell. An Up-arrow recalls a command; Tab completes a path. Read a command before rerunning it.</w:t>
      </w:r>
    </w:p>
    <w:p>
      <w:pPr/>
      <w:r>
        <w:t xml:space="preserve">For an interactive foreground command that is stuck, Ctrl+C requests interruption. For a GUI launched with </w:t>
      </w:r>
      <w:r>
        <w:rPr>
          <w:rFonts w:ascii="Courier New" w:hAnsi="Courier New"/>
          <w:sz w:val="18"/>
        </w:rPr>
        <w:t>&amp;</w:t>
      </w:r>
      <w:r>
        <w:t xml:space="preserve">, close the application through its File menu. </w:t>
      </w:r>
      <w:r>
        <w:rPr>
          <w:rFonts w:ascii="Courier New" w:hAnsi="Courier New"/>
          <w:sz w:val="18"/>
        </w:rPr>
        <w:t>jobs</w:t>
      </w:r>
      <w:r>
        <w:t xml:space="preserve"> lists jobs started by that shell. Keep logs: </w:t>
      </w:r>
      <w:r>
        <w:rPr>
          <w:rFonts w:ascii="Courier New" w:hAnsi="Courier New"/>
          <w:sz w:val="18"/>
        </w:rPr>
        <w:t>command &gt; run.log 2&gt;&amp;1</w:t>
      </w:r>
      <w:r>
        <w:t xml:space="preserve"> sends both standard output and errors to a file. Immediately after a command, </w:t>
      </w:r>
      <w:r>
        <w:rPr>
          <w:rFonts w:ascii="Courier New" w:hAnsi="Courier New"/>
          <w:sz w:val="18"/>
        </w:rPr>
        <w:t>echo $?</w:t>
      </w:r>
      <w:r>
        <w:t xml:space="preserve"> reports its exit status, but a zero status alone does not prove the design passed.</w:t>
      </w:r>
    </w:p>
    <w:p>
      <w:pPr>
        <w:pStyle w:val="Heading1"/>
      </w:pPr>
      <w:r>
        <w:t>Connect without the browser when useful</w:t>
      </w:r>
    </w:p>
    <w:p>
      <w:pPr/>
      <w:r>
        <w:t xml:space="preserve">For terminal-only work, open a terminal on your laptop and run </w:t>
      </w:r>
      <w:r>
        <w:rPr>
          <w:rFonts w:ascii="Courier New" w:hAnsi="Courier New"/>
          <w:sz w:val="18"/>
        </w:rPr>
        <w:t>ssh YOUR_NETID@best-tux.cae.wisc.edu</w:t>
      </w:r>
      <w:r>
        <w:t>, then load the module and enter the container as above. Use Guacamole for the GUI steps in this handout. SSH and Guacamole may reach different hosts, but your CAE home directory is shared.</w:t>
      </w:r>
    </w:p>
    <w:p>
      <w:pPr/>
      <w:r>
        <w:t xml:space="preserve">When finished, save work, close the EDA applications, and run </w:t>
      </w:r>
      <w:r>
        <w:rPr>
          <w:rFonts w:ascii="Courier New" w:hAnsi="Courier New"/>
          <w:sz w:val="18"/>
        </w:rPr>
        <w:t>exit</w:t>
      </w:r>
      <w:r>
        <w:t xml:space="preserve"> to leave the container. Log out of the Linux desktop from the upper-right system menu. Closing the browser alone can leave the session running during CAE's two-hour reconnection window.</w:t>
      </w:r>
    </w:p>
    <w:p>
      <w:r>
        <w:br w:type="page"/>
      </w:r>
    </w:p>
    <w:p>
      <w:pPr>
        <w:pStyle w:val="Heading1"/>
      </w:pPr>
      <w:r>
        <w:t>Run synthesis and inspect the outputs</w:t>
      </w:r>
    </w:p>
    <w:p>
      <w:pPr/>
      <w:r>
        <w:t>From the exercise folder inside the Synopsys container:</w:t>
      </w:r>
    </w:p>
    <w:p>
      <w:pPr>
        <w:pStyle w:val="Code"/>
        <w:keepLines/>
        <w:spacing w:after="160"/>
      </w:pPr>
      <w:r>
        <w:t>python3 run_lab.py synthesis</w:t>
      </w:r>
    </w:p>
    <w:p>
      <w:pPr/>
      <w:r>
        <w:t xml:space="preserve">The runner creates a fresh directory, selects the installed teaching library, calls </w:t>
      </w:r>
      <w:r>
        <w:rPr>
          <w:rFonts w:ascii="Courier New" w:hAnsi="Courier New"/>
          <w:sz w:val="18"/>
        </w:rPr>
        <w:t>dc_shell -f synth/run.tcl</w:t>
      </w:r>
      <w:r>
        <w:t xml:space="preserve">, and checks diagnostics, the completion marker, and required files. Change into the exact directory printed as </w:t>
      </w:r>
      <w:r>
        <w:rPr>
          <w:rFonts w:ascii="Courier New" w:hAnsi="Courier New"/>
          <w:sz w:val="18"/>
        </w:rPr>
        <w:t>RUN_DIRECTORY</w:t>
      </w:r>
      <w:r>
        <w:t>.</w:t>
      </w:r>
    </w:p>
    <w:p>
      <w:pPr>
        <w:pStyle w:val="Code"/>
        <w:keepLines/>
        <w:spacing w:after="160"/>
      </w:pPr>
      <w:r>
        <w:t>less synthesis.log</w:t>
        <w:br/>
        <w:t>cat area.rpt</w:t>
        <w:br/>
        <w:t>cat timing.rpt</w:t>
        <w:br/>
        <w:t>cat constraints.rpt</w:t>
        <w:br/>
        <w:t>cat constraints.sdc</w:t>
        <w:br/>
        <w:t>cat mapped.v</w:t>
      </w:r>
    </w:p>
    <w:tbl>
      <w:tblPr>
        <w:tblW w:type="auto" w:w="0"/>
        <w:tblLayout w:type="fixed"/>
        <w:tblLook w:firstColumn="1" w:firstRow="1" w:lastColumn="0" w:lastRow="0" w:noHBand="0" w:noVBand="1" w:val="04A0"/>
      </w:tblPr>
      <w:tblGrid>
        <w:gridCol w:w="2952"/>
        <w:gridCol w:w="7128"/>
      </w:tblGrid>
      <w:tr>
        <w:trPr>
          <w:cantSplit/>
          <w:tblHeader/>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Output</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What it tells you</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synthesis.log</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Tool version, source loading, linking, compilation, and diagnostics.</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mapped.v</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Structural netlist using cells in the selected library.</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mapped.ddc</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Design Compiler database for resuming inspection in Design Vision.</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constraints.sdc</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Exported timing intent, including clocks and I/O delays.</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area.rpt</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Cell count and mapped cell area, plus any estimated interconnect area.</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timing.rpt</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Reported path, arrival time, required time, and slack.</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constraints.rpt</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Constraint violations reported by this run.</w:t>
            </w:r>
          </w:p>
        </w:tc>
      </w:tr>
    </w:tbl>
    <w:p>
      <w:pPr>
        <w:spacing w:after="0"/>
      </w:pPr>
    </w:p>
    <w:p>
      <w:pPr/>
      <w:r>
        <w:t>The tested one-register run has two mapped cells and cell area 7.116032 in the library's area units. Its default maximum-delay report has slack 8.86 ns. The report's total area includes an interconnect estimate; it is not a routed core area. Do not compare these numbers with another run without checking library, corner, constraints, and implementation stage.</w:t>
      </w:r>
    </w:p>
    <w:p>
      <w:pPr>
        <w:pStyle w:val="Heading1"/>
      </w:pPr>
      <w:r>
        <w:t>Read the synthesis script</w:t>
      </w:r>
    </w:p>
    <w:p>
      <w:pPr/>
      <w:r>
        <w:t xml:space="preserve">From the exercise root, open </w:t>
      </w:r>
      <w:r>
        <w:rPr>
          <w:rFonts w:ascii="Courier New" w:hAnsi="Courier New"/>
          <w:sz w:val="18"/>
        </w:rPr>
        <w:t>synth/run.tcl</w:t>
      </w:r>
      <w:r>
        <w:t xml:space="preserve">. The runner supplies </w:t>
      </w:r>
      <w:r>
        <w:rPr>
          <w:rFonts w:ascii="Courier New" w:hAnsi="Courier New"/>
          <w:sz w:val="18"/>
        </w:rPr>
        <w:t>SB_RTL</w:t>
      </w:r>
      <w:r>
        <w:t xml:space="preserve"> and </w:t>
      </w:r>
      <w:r>
        <w:rPr>
          <w:rFonts w:ascii="Courier New" w:hAnsi="Courier New"/>
          <w:sz w:val="18"/>
        </w:rPr>
        <w:t>SB_TARGET_LIBRARY</w:t>
      </w:r>
      <w:r>
        <w:t xml:space="preserve"> as absolute paths. </w:t>
      </w:r>
      <w:r>
        <w:rPr>
          <w:rFonts w:ascii="Courier New" w:hAnsi="Courier New"/>
          <w:sz w:val="18"/>
        </w:rPr>
        <w:t>target_library</w:t>
      </w:r>
      <w:r>
        <w:t xml:space="preserve"> controls available mapping cells; </w:t>
      </w:r>
      <w:r>
        <w:rPr>
          <w:rFonts w:ascii="Courier New" w:hAnsi="Courier New"/>
          <w:sz w:val="18"/>
        </w:rPr>
        <w:t>link_library</w:t>
      </w:r>
      <w:r>
        <w:t xml:space="preserve"> controls reference resolution. The script reads RTL, selects </w:t>
      </w:r>
      <w:r>
        <w:rPr>
          <w:rFonts w:ascii="Courier New" w:hAnsi="Courier New"/>
          <w:sz w:val="18"/>
        </w:rPr>
        <w:t>sb_flop</w:t>
      </w:r>
      <w:r>
        <w:t>, links, creates a clock and I/O delays, compiles, checks the design, and exports the results.</w:t>
      </w:r>
    </w:p>
    <w:p>
      <w:r>
        <w:br w:type="page"/>
      </w:r>
    </w:p>
    <w:p>
      <w:pPr>
        <w:pStyle w:val="Heading1"/>
      </w:pPr>
      <w:r>
        <w:t>Make timing assumptions explicit</w:t>
      </w:r>
    </w:p>
    <w:p>
      <w:pPr/>
      <w:r>
        <w:t>The teaching constraints are deliberately simple:</w:t>
      </w:r>
    </w:p>
    <w:p>
      <w:pPr>
        <w:pStyle w:val="Code"/>
        <w:keepLines/>
        <w:spacing w:after="160"/>
      </w:pPr>
      <w:r>
        <w:t>create_clock -name clk -period 10 [get_ports clk]</w:t>
        <w:br/>
        <w:t>set_input_delay 1 -clock clk [get_ports {rst d}]</w:t>
        <w:br/>
        <w:t>set_output_delay 1 -clock clk [get_ports q]</w:t>
      </w:r>
    </w:p>
    <w:p>
      <w:pPr/>
      <w:r>
        <w:t>The period is 10 ns. The input delay reserves time for the external launch side; the output delay reserves time for the external capture side. These values are assumptions for learning the tools, not a project timing budget. Real constraints must also address applicable generated clocks, input transition, output load, uncertainty, exceptions, and operating scenarios.</w:t>
      </w:r>
    </w:p>
    <w:p>
      <w:pPr/>
      <w:r>
        <w:t xml:space="preserve">Use these Tcl commands in </w:t>
      </w:r>
      <w:r>
        <w:rPr>
          <w:rFonts w:ascii="Courier New" w:hAnsi="Courier New"/>
          <w:sz w:val="18"/>
        </w:rPr>
        <w:t>dc_shell</w:t>
      </w:r>
      <w:r>
        <w:t xml:space="preserve"> or Design Vision after loading the design:</w:t>
      </w:r>
    </w:p>
    <w:p>
      <w:pPr>
        <w:pStyle w:val="Code"/>
        <w:keepLines/>
        <w:spacing w:after="160"/>
      </w:pPr>
      <w:r>
        <w:t>check_design</w:t>
        <w:br/>
        <w:t>check_timing</w:t>
        <w:br/>
        <w:t>report_clock</w:t>
        <w:br/>
        <w:t>report_timing -delay_type max -max_paths 5</w:t>
        <w:br/>
        <w:t>report_timing -delay_type min -max_paths 5</w:t>
        <w:br/>
        <w:t>report_constraint -all_violators</w:t>
        <w:br/>
        <w:t>report_area</w:t>
      </w:r>
    </w:p>
    <w:p>
      <w:pPr/>
      <w:r/>
      <w:r>
        <w:rPr>
          <w:rFonts w:ascii="Courier New" w:hAnsi="Courier New"/>
          <w:sz w:val="18"/>
        </w:rPr>
        <w:t>check_design</w:t>
      </w:r>
      <w:r>
        <w:t xml:space="preserve"> asks structural questions; </w:t>
      </w:r>
      <w:r>
        <w:rPr>
          <w:rFonts w:ascii="Courier New" w:hAnsi="Courier New"/>
          <w:sz w:val="18"/>
        </w:rPr>
        <w:t>check_timing</w:t>
      </w:r>
      <w:r>
        <w:t xml:space="preserve"> helps reveal missing or inconsistent timing setup. Maximum-delay and minimum-delay checks answer different questions. For a setup path, slack is required time minus arrival time; for a hold path the relationship is different. Always identify the analysis type before interpreting the sign and number.</w:t>
      </w:r>
    </w:p>
    <w:p>
      <w:pPr>
        <w:pStyle w:val="Heading1"/>
      </w:pPr>
      <w:r>
        <w:t>Read one path completely</w:t>
      </w:r>
    </w:p>
    <w:p>
      <w:pPr/>
      <w:r>
        <w:t xml:space="preserve">Start with the startpoint and endpoint, then identify the clock and path group. Follow the cell and net contributions to data arrival time. Read the required time and slack. In the recorded example, the path starts at </w:t>
      </w:r>
      <w:r>
        <w:rPr>
          <w:rFonts w:ascii="Courier New" w:hAnsi="Courier New"/>
          <w:sz w:val="18"/>
        </w:rPr>
        <w:t>rst</w:t>
      </w:r>
      <w:r>
        <w:t>, ends at the mapped register, and reports arrival 1.01 ns, required 9.88 ns, and slack 8.86 ns after rounding.</w:t>
      </w:r>
    </w:p>
    <w:p>
      <w:pPr/>
      <w:r>
        <w:t>Positive slack for this path does not show that every intended path exists or is constrained. Pre-layout timing also lacks the final physical parasitics and clock tree. Keep a stage label on every report: mapped synthesis, placed, post-clock-tree, or routed.</w:t>
      </w:r>
    </w:p>
    <w:p>
      <w:r>
        <w:br w:type="page"/>
      </w:r>
    </w:p>
    <w:p>
      <w:pPr>
        <w:pStyle w:val="Heading1"/>
      </w:pPr>
      <w:r>
        <w:t>Load the mapped design in Design Vision</w:t>
      </w:r>
    </w:p>
    <w:p>
      <w:pPr/>
      <w:r>
        <w:t xml:space="preserve">In Guacamole, launch </w:t>
      </w:r>
      <w:r>
        <w:rPr>
          <w:rFonts w:ascii="Courier New" w:hAnsi="Courier New"/>
          <w:sz w:val="18"/>
        </w:rPr>
        <w:t>design_vision</w:t>
      </w:r>
      <w:r>
        <w:t xml:space="preserve"> from the synthesis run directory. Maximize the window and wait for startup to complete. At the bottom Tcl input line, enter:</w:t>
      </w:r>
    </w:p>
    <w:p>
      <w:pPr>
        <w:pStyle w:val="Code"/>
        <w:keepLines/>
        <w:spacing w:after="160"/>
      </w:pPr>
      <w:r>
        <w:t>set edk /srv/auto/apps/saed32_edk/2023/lib/stdcell_rvt</w:t>
        <w:br/>
        <w:t>set dbdir "$edk/SAED32_EDK/lib/stdcell_rvt/db_nldm"</w:t>
        <w:br/>
        <w:t>set lib "$dbdir/saed32rvt_tt1p05v25c.db"</w:t>
        <w:br/>
        <w:t>set_app_var target_library [list $lib]</w:t>
        <w:br/>
        <w:t>set_app_var link_library [concat * $target_library]</w:t>
        <w:br/>
        <w:t>read_ddc mapped.ddc</w:t>
        <w:br/>
        <w:t>current_design sb_flop</w:t>
        <w:br/>
        <w:t>link</w:t>
        <w:br/>
        <w:t>read_sdc constraints.sdc</w:t>
        <w:br/>
        <w:t>check_design</w:t>
      </w:r>
    </w:p>
    <w:p>
      <w:pPr>
        <w:spacing w:after="80"/>
        <w:ind w:left="288" w:hanging="288"/>
      </w:pPr>
      <w:r>
        <w:t>1. Read the console after each command. Resolve missing library or unresolved-reference errors before drawing conclusions.</w:t>
      </w:r>
    </w:p>
    <w:p>
      <w:pPr>
        <w:spacing w:after="80"/>
        <w:ind w:left="288" w:hanging="288"/>
      </w:pPr>
      <w:r>
        <w:t xml:space="preserve">2. Select </w:t>
      </w:r>
      <w:r>
        <w:rPr>
          <w:rFonts w:ascii="Courier New" w:hAnsi="Courier New"/>
          <w:sz w:val="18"/>
        </w:rPr>
        <w:t>sb_flop</w:t>
      </w:r>
      <w:r>
        <w:t xml:space="preserve"> in Logical Hierarchy, then choose Schematic, New Schematic View.</w:t>
      </w:r>
    </w:p>
    <w:p>
      <w:pPr>
        <w:spacing w:after="80"/>
        <w:ind w:left="288" w:hanging="288"/>
      </w:pPr>
      <w:r>
        <w:t>3. Double-click the module boundary box to expand the mapped contents.</w:t>
      </w:r>
    </w:p>
    <w:p>
      <w:pPr>
        <w:spacing w:after="80"/>
        <w:ind w:left="288" w:hanging="288"/>
      </w:pPr>
      <w:r>
        <w:t>4. Choose View, Zoom, Zoom Fit All. Collapse an unused pane to give the schematic more width; double-click its bottom tab to restore it.</w:t>
      </w:r>
    </w:p>
    <w:p>
      <w:pPr>
        <w:keepNext/>
        <w:spacing w:after="60"/>
        <w:jc w:val="center"/>
      </w:pPr>
      <w:r>
        <w:drawing>
          <wp:inline xmlns:a="http://schemas.openxmlformats.org/drawingml/2006/main" xmlns:pic="http://schemas.openxmlformats.org/drawingml/2006/picture">
            <wp:extent cx="5943600" cy="2398981"/>
            <wp:docPr id="3" name="Picture 3"/>
            <wp:cNvGraphicFramePr>
              <a:graphicFrameLocks noChangeAspect="1"/>
            </wp:cNvGraphicFramePr>
            <a:graphic>
              <a:graphicData uri="http://schemas.openxmlformats.org/drawingml/2006/picture">
                <pic:pic>
                  <pic:nvPicPr>
                    <pic:cNvPr id="0" name="v2-dv-schematic.png"/>
                    <pic:cNvPicPr/>
                  </pic:nvPicPr>
                  <pic:blipFill>
                    <a:blip r:embed="rId17"/>
                    <a:srcRect l="1778" t="11980" r="81" b="26230"/>
                    <a:stretch>
                      <a:fillRect/>
                    </a:stretch>
                  </pic:blipFill>
                  <pic:spPr>
                    <a:xfrm>
                      <a:off x="0" y="0"/>
                      <a:ext cx="5943600" cy="2398981"/>
                    </a:xfrm>
                    <a:prstGeom prst="rect"/>
                  </pic:spPr>
                </pic:pic>
              </a:graphicData>
            </a:graphic>
          </wp:inline>
        </w:drawing>
      </w:r>
    </w:p>
    <w:p>
      <w:pPr>
        <w:spacing w:after="160"/>
      </w:pPr>
      <w:r>
        <w:rPr>
          <w:i/>
          <w:sz w:val="18"/>
        </w:rPr>
        <w:t>Design Vision showing the expanded mapped register and its ports.</w:t>
      </w:r>
    </w:p>
    <w:p>
      <w:pPr/>
      <w:r>
        <w:t xml:space="preserve">Trace the boundary ports to the mapped cells. Inspect </w:t>
      </w:r>
      <w:r>
        <w:rPr>
          <w:rFonts w:ascii="Courier New" w:hAnsi="Courier New"/>
          <w:sz w:val="18"/>
        </w:rPr>
        <w:t>q_reg</w:t>
      </w:r>
      <w:r>
        <w:t xml:space="preserve"> and compare its pin connections with </w:t>
      </w:r>
      <w:r>
        <w:rPr>
          <w:rFonts w:ascii="Courier New" w:hAnsi="Courier New"/>
          <w:sz w:val="18"/>
        </w:rPr>
        <w:t>mapped.v</w:t>
      </w:r>
      <w:r>
        <w:t>. Synthesis can use library-specific transformations, so the cell's actual function matters. A schematic confirms connectivity and mapping choices; it does not replace formal equivalence or functional verification.</w:t>
      </w:r>
    </w:p>
    <w:p>
      <w:r>
        <w:br w:type="page"/>
      </w:r>
    </w:p>
    <w:p>
      <w:pPr>
        <w:pStyle w:val="Heading1"/>
      </w:pPr>
      <w:r>
        <w:t>Generate and investigate timing in the GUI</w:t>
      </w:r>
    </w:p>
    <w:p>
      <w:pPr/>
      <w:r>
        <w:t xml:space="preserve">Choose Timing, Report Timing Path. Start with </w:t>
      </w:r>
      <w:r>
        <w:rPr>
          <w:rFonts w:ascii="Courier New" w:hAnsi="Courier New"/>
          <w:sz w:val="18"/>
        </w:rPr>
        <w:t>max</w:t>
      </w:r>
      <w:r>
        <w:t xml:space="preserve"> delay, </w:t>
      </w:r>
      <w:r>
        <w:rPr>
          <w:rFonts w:ascii="Courier New" w:hAnsi="Courier New"/>
          <w:sz w:val="18"/>
        </w:rPr>
        <w:t>full</w:t>
      </w:r>
      <w:r>
        <w:t xml:space="preserve"> path type, one worst path per endpoint, and one path per group. Leave From, Through, and To empty for the initial report, and enable To report viewer.</w:t>
      </w:r>
    </w:p>
    <w:p>
      <w:pPr>
        <w:keepNext/>
        <w:spacing w:after="60"/>
        <w:jc w:val="center"/>
      </w:pPr>
      <w:r>
        <w:drawing>
          <wp:inline xmlns:a="http://schemas.openxmlformats.org/drawingml/2006/main" xmlns:pic="http://schemas.openxmlformats.org/drawingml/2006/picture">
            <wp:extent cx="3200400" cy="2918011"/>
            <wp:docPr id="4" name="Picture 4"/>
            <wp:cNvGraphicFramePr>
              <a:graphicFrameLocks noChangeAspect="1"/>
            </wp:cNvGraphicFramePr>
            <a:graphic>
              <a:graphicData uri="http://schemas.openxmlformats.org/drawingml/2006/picture">
                <pic:pic>
                  <pic:nvPicPr>
                    <pic:cNvPr id="0" name="v2-dv-timing-dialog.png"/>
                    <pic:cNvPicPr/>
                  </pic:nvPicPr>
                  <pic:blipFill>
                    <a:blip r:embed="rId18"/>
                    <a:srcRect l="27324" t="14628" r="28698" b="22825"/>
                    <a:stretch>
                      <a:fillRect/>
                    </a:stretch>
                  </pic:blipFill>
                  <pic:spPr>
                    <a:xfrm>
                      <a:off x="0" y="0"/>
                      <a:ext cx="3200400" cy="2918011"/>
                    </a:xfrm>
                    <a:prstGeom prst="rect"/>
                  </pic:spPr>
                </pic:pic>
              </a:graphicData>
            </a:graphic>
          </wp:inline>
        </w:drawing>
      </w:r>
    </w:p>
    <w:p>
      <w:pPr>
        <w:spacing w:after="160"/>
      </w:pPr>
      <w:r>
        <w:rPr>
          <w:i/>
          <w:sz w:val="18"/>
        </w:rPr>
        <w:t>The timing dialog used to select the initial report.</w:t>
      </w:r>
    </w:p>
    <w:p>
      <w:pPr>
        <w:spacing w:after="80"/>
        <w:ind w:left="288" w:hanging="288"/>
      </w:pPr>
      <w:r>
        <w:t>1. Click OK and allow the report pane to populate. Confirm the design, startpoint, endpoint, path group, and delay type.</w:t>
      </w:r>
    </w:p>
    <w:p>
      <w:pPr>
        <w:spacing w:after="80"/>
        <w:ind w:left="288" w:hanging="288"/>
      </w:pPr>
      <w:r>
        <w:t>2. Read the complete path through arrival time, required time, and slack. Scroll the report if necessary; the first screen may not contain the final slack line.</w:t>
      </w:r>
    </w:p>
    <w:p>
      <w:pPr>
        <w:spacing w:after="80"/>
        <w:ind w:left="288" w:hanging="288"/>
      </w:pPr>
      <w:r>
        <w:t>3. Use linked object names in the report and the schematic to locate the cell or net under investigation.</w:t>
      </w:r>
    </w:p>
    <w:p>
      <w:pPr>
        <w:spacing w:after="80"/>
        <w:ind w:left="288" w:hanging="288"/>
      </w:pPr>
      <w:r>
        <w:t>4. Return to the timing dialog to narrow From or To when investigating a specific interface or register. Repeat with minimum delay when investigating hold behavior.</w:t>
      </w:r>
    </w:p>
    <w:p>
      <w:pPr>
        <w:spacing w:after="80"/>
        <w:ind w:left="288" w:hanging="288"/>
      </w:pPr>
      <w:r>
        <w:t>5. Read the generated Tcl command in the console. Preserve the equivalent command in the run script so the report can be regenerated outside the GUI.</w:t>
      </w:r>
    </w:p>
    <w:p>
      <w:pPr/>
      <w:r>
        <w:t xml:space="preserve">For larger text, use View, Preferences, Style Settings. Normal controls interface labels and Monospace controls report text. Enlarge the pane as well as the font. Save reports from Tcl with </w:t>
      </w:r>
      <w:r>
        <w:rPr>
          <w:rFonts w:ascii="Courier New" w:hAnsi="Courier New"/>
          <w:sz w:val="18"/>
        </w:rPr>
        <w:t>redirect -file focused_timing.rpt {report_timing -max_paths 5}</w:t>
      </w:r>
      <w:r>
        <w:t>.</w:t>
      </w:r>
    </w:p>
    <w:p>
      <w:r>
        <w:br w:type="page"/>
      </w:r>
    </w:p>
    <w:p>
      <w:pPr>
        <w:pStyle w:val="Heading1"/>
      </w:pPr>
      <w:r>
        <w:t>Understand the inputs to physical implementation</w:t>
      </w:r>
    </w:p>
    <w:p>
      <w:pPr/>
      <w:r>
        <w:t xml:space="preserve">ICC2 needs physical technology and cell abstracts in addition to logical timing models. A successful </w:t>
      </w:r>
      <w:r>
        <w:rPr>
          <w:rFonts w:ascii="Courier New" w:hAnsi="Courier New"/>
          <w:sz w:val="18"/>
        </w:rPr>
        <w:t>dc_shell</w:t>
      </w:r>
      <w:r>
        <w:t xml:space="preserve"> run using a </w:t>
      </w:r>
      <w:r>
        <w:rPr>
          <w:rFonts w:ascii="Courier New" w:hAnsi="Courier New"/>
          <w:sz w:val="18"/>
        </w:rPr>
        <w:t>.db</w:t>
      </w:r>
      <w:r>
        <w:t xml:space="preserve"> does not establish that the physical setup is complete.</w:t>
      </w:r>
    </w:p>
    <w:tbl>
      <w:tblPr>
        <w:tblW w:type="auto" w:w="0"/>
        <w:tblLayout w:type="fixed"/>
        <w:tblLook w:firstColumn="1" w:firstRow="1" w:lastColumn="0" w:lastRow="0" w:noHBand="0" w:noVBand="1" w:val="04A0"/>
      </w:tblPr>
      <w:tblGrid>
        <w:gridCol w:w="2952"/>
        <w:gridCol w:w="7128"/>
      </w:tblGrid>
      <w:tr>
        <w:trPr>
          <w:cantSplit/>
          <w:tblHeader/>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Input</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Purpose</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Technology file or technology library</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Layers, routing geometry, sites, and physical rules used by implementation.</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Reference cell library</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Physical cell abstracts, pins, and logical/timing views, normally packaged as NDM for ICC2.</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Mapped netlist</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Instances and connectivity to implement.</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SDC and scenario setup</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Clocks, interface budgets, exceptions, and analysis conditions.</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RC technology</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Parasitic modeling appropriate to the implementation and extraction flow.</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Floorplan and power intent</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Die/core geometry, macros, pins, power nets, and applicable domain requirements.</w:t>
            </w:r>
          </w:p>
        </w:tc>
      </w:tr>
    </w:tbl>
    <w:p>
      <w:pPr>
        <w:spacing w:after="0"/>
      </w:pPr>
    </w:p>
    <w:p>
      <w:pPr/>
      <w:r>
        <w:t xml:space="preserve">The accessible CAE SAED32 EDK contains the timing </w:t>
      </w:r>
      <w:r>
        <w:rPr>
          <w:rFonts w:ascii="Courier New" w:hAnsi="Courier New"/>
          <w:sz w:val="18"/>
        </w:rPr>
        <w:t>.db</w:t>
      </w:r>
      <w:r>
        <w:t>, standard-cell LEF, and a Milkyway technology file used by this teaching exercise. The separate SAED32 PDK directory returned permission denied for the tested account. These are different paths. Keep licensed library data on CAE; the companion package contains scripts referencing installed data, not copies of that data.</w:t>
      </w:r>
    </w:p>
    <w:p>
      <w:pPr/>
      <w:r>
        <w:t>The teaching corner is RVT, TT, 1.05 V, 25 C. It is not a project process or signoff-corner decision. Agree the project library, corners, RC setup, and constraints before reporting meaningful PPA.</w:t>
      </w:r>
    </w:p>
    <w:p>
      <w:r>
        <w:br w:type="page"/>
      </w:r>
    </w:p>
    <w:p>
      <w:pPr>
        <w:pStyle w:val="Heading1"/>
      </w:pPr>
      <w:r>
        <w:t>Prepare the teaching reference library from the terminal</w:t>
      </w:r>
    </w:p>
    <w:p>
      <w:pPr/>
      <w:r>
        <w:t>Finish the synthesis exercise first. In a container shell, set the successful run directory and create a separate physical run:</w:t>
      </w:r>
    </w:p>
    <w:p>
      <w:pPr>
        <w:pStyle w:val="Code"/>
        <w:keepLines/>
        <w:spacing w:after="160"/>
      </w:pPr>
      <w:r>
        <w:t>SB_LAB="$HOME/cae-synopsys-guides/lab"</w:t>
        <w:br/>
        <w:t>export SB_SYNTH_RUN="$SB_LAB/runs/YOUR_SYNTHESIS_RUN"</w:t>
        <w:br/>
        <w:t>SB_PHYS=$(mktemp -d "$SB_LAB/runs/physical-XXXXXX")</w:t>
        <w:br/>
        <w:t>cd "$SB_PHYS"</w:t>
        <w:br/>
        <w:t>icc2_lm_shell -f "$SB_LAB/physical/build_reference.tcl" \</w:t>
        <w:br/>
        <w:t xml:space="preserve">  &gt; library.log 2&gt;&amp;1</w:t>
        <w:br/>
        <w:t>less library.log</w:t>
      </w:r>
    </w:p>
    <w:p>
      <w:pPr/>
      <w:r>
        <w:t xml:space="preserve">Replace </w:t>
      </w:r>
      <w:r>
        <w:rPr>
          <w:rFonts w:ascii="Courier New" w:hAnsi="Courier New"/>
          <w:sz w:val="18"/>
        </w:rPr>
        <w:t>YOUR_SYNTHESIS_RUN</w:t>
      </w:r>
      <w:r>
        <w:t xml:space="preserve"> with the actual directory. The script runs in Library Manager, whose prompt is </w:t>
      </w:r>
      <w:r>
        <w:rPr>
          <w:rFonts w:ascii="Courier New" w:hAnsi="Courier New"/>
          <w:sz w:val="18"/>
        </w:rPr>
        <w:t>lm_shell&gt;</w:t>
      </w:r>
      <w:r>
        <w:t xml:space="preserve">. It creates a workspace using the installed technology file, reads the timing </w:t>
      </w:r>
      <w:r>
        <w:rPr>
          <w:rFonts w:ascii="Courier New" w:hAnsi="Courier New"/>
          <w:sz w:val="18"/>
        </w:rPr>
        <w:t>.db</w:t>
      </w:r>
      <w:r>
        <w:t xml:space="preserve"> and cell LEF, checks the workspace, and writes </w:t>
      </w:r>
      <w:r>
        <w:rPr>
          <w:rFonts w:ascii="Courier New" w:hAnsi="Courier New"/>
          <w:sz w:val="18"/>
        </w:rPr>
        <w:t>sb_rvt.ndm</w:t>
      </w:r>
      <w:r>
        <w:t xml:space="preserve"> in this private run directory.</w:t>
      </w:r>
    </w:p>
    <w:p>
      <w:pPr>
        <w:pStyle w:val="Code"/>
        <w:keepLines/>
        <w:spacing w:after="160"/>
      </w:pPr>
      <w:r>
        <w:t>set edk /srv/auto/apps/saed32_edk/2023</w:t>
        <w:br/>
        <w:t>set cells $edk/lib/stdcell_rvt/SAED32_EDK/lib/stdcell_rvt</w:t>
        <w:br/>
        <w:t>create_workspace -technology $edk/tech/milkyway/saed32nm_1p9m_mw.tf \</w:t>
        <w:br/>
        <w:t xml:space="preserve">  -flow normal sb_rvt</w:t>
        <w:br/>
        <w:t>read_db $cells/db_nldm/saed32rvt_tt1p05v25c.db</w:t>
        <w:br/>
        <w:t>read_lef $cells/lef/saed32nm_rvt_1p9m.lef</w:t>
        <w:br/>
        <w:t>check_workspace</w:t>
        <w:br/>
        <w:t>commit_workspace -output sb_rvt.ndm</w:t>
      </w:r>
    </w:p>
    <w:p>
      <w:pPr/>
      <w:r>
        <w:t>The tested workspace check succeeded and created 294 frames. Its diagnostics included a technology-layer warning, a LEF bus-character warning, and warnings about large M1 routing blockages in cell abstracts. Preserve and review them. Successful import does not certify the library for routing or signoff.</w:t>
      </w:r>
    </w:p>
    <w:p>
      <w:pPr/>
      <w:r>
        <w:t xml:space="preserve">Keep </w:t>
      </w:r>
      <w:r>
        <w:rPr>
          <w:rFonts w:ascii="Courier New" w:hAnsi="Courier New"/>
          <w:sz w:val="18"/>
        </w:rPr>
        <w:t>library.log</w:t>
      </w:r>
      <w:r>
        <w:t xml:space="preserve"> with the run. Stop if the workspace check fails or the NDM output is missing. Do not copy the generated reference library into a public repository or the handout package.</w:t>
      </w:r>
    </w:p>
    <w:p>
      <w:r>
        <w:br w:type="page"/>
      </w:r>
    </w:p>
    <w:p>
      <w:pPr>
        <w:pStyle w:val="Heading1"/>
      </w:pPr>
      <w:r>
        <w:t>Import and floorplan the register in ICC2</w:t>
      </w:r>
    </w:p>
    <w:p>
      <w:pPr/>
      <w:r>
        <w:t>In the same physical run directory, run:</w:t>
      </w:r>
    </w:p>
    <w:p>
      <w:pPr>
        <w:pStyle w:val="Code"/>
        <w:keepLines/>
        <w:spacing w:after="160"/>
      </w:pPr>
      <w:r>
        <w:t>icc2_shell -f "$SB_LAB/physical/floorplan.tcl" \</w:t>
        <w:br/>
        <w:t xml:space="preserve">  &gt; floorplan.log 2&gt;&amp;1</w:t>
        <w:br/>
        <w:t>less floorplan.log</w:t>
        <w:br/>
        <w:t>grep -nE 'Error|Warning|REGISTER_|FLOORPLAN_DONE' floorplan.log</w:t>
      </w:r>
    </w:p>
    <w:p>
      <w:pPr/>
      <w:r>
        <w:t xml:space="preserve">The script creates </w:t>
      </w:r>
      <w:r>
        <w:rPr>
          <w:rFonts w:ascii="Courier New" w:hAnsi="Courier New"/>
          <w:sz w:val="18"/>
        </w:rPr>
        <w:t>sb_flop.dlib</w:t>
      </w:r>
      <w:r>
        <w:t>, imports the mapped netlist, links the design against the reference NDM, reads the SDC, initializes a small die and core, makes an initial floorplan placement, and saves the block and library. The corresponding interactive Tcl commands are:</w:t>
      </w:r>
    </w:p>
    <w:p>
      <w:pPr>
        <w:pStyle w:val="Code"/>
        <w:keepLines/>
        <w:spacing w:after="160"/>
      </w:pPr>
      <w:r>
        <w:t>create_lib -ref_libs {sb_rvt.ndm} sb_flop.dlib</w:t>
        <w:br/>
        <w:t>read_verilog -top sb_flop $env(SB_SYNTH_RUN)/mapped.v</w:t>
        <w:br/>
        <w:t>link_block</w:t>
        <w:br/>
        <w:t>read_sdc $env(SB_SYNTH_RUN)/constraints.sdc</w:t>
        <w:br/>
        <w:t>initialize_floorplan -control_type die \</w:t>
        <w:br/>
        <w:t xml:space="preserve">  -boundary {{0 0} {20 20}} -core_offset 2</w:t>
        <w:br/>
        <w:t>create_placement -floorplan</w:t>
        <w:br/>
        <w:t>get_attribute [get_cells q_reg] origin</w:t>
        <w:br/>
        <w:t>get_attribute [get_cells q_reg] physical_status</w:t>
        <w:br/>
        <w:t>save_block</w:t>
        <w:br/>
        <w:t>save_lib</w:t>
      </w:r>
    </w:p>
    <w:p>
      <w:pPr/>
      <w:r>
        <w:t>The boundary and offset are teaching dimensions in the technology's distance units. The tool snaps the core to the site rows. This tiny design deliberately leaves plenty of empty space. It does not establish the accelerator's utilization target or floorplan dimensions.</w:t>
      </w:r>
    </w:p>
    <w:p>
      <w:pPr/>
      <w:r>
        <w:t>Check the successful-link message, floorplan-completion message, cell location/status, and saved files. The tested technology also prompted ICC2 to derive missing preferred routing directions. Review that setup before routing a project design. The completion marker only means the script reached its end; errors earlier in the log still need attention.</w:t>
      </w:r>
    </w:p>
    <w:p>
      <w:r>
        <w:br w:type="page"/>
      </w:r>
    </w:p>
    <w:p>
      <w:pPr>
        <w:pStyle w:val="Heading1"/>
      </w:pPr>
      <w:r>
        <w:t>Open and inspect the physical design in the GUI</w:t>
      </w:r>
    </w:p>
    <w:p>
      <w:pPr/>
      <w:r>
        <w:t xml:space="preserve">Start </w:t>
      </w:r>
      <w:r>
        <w:rPr>
          <w:rFonts w:ascii="Courier New" w:hAnsi="Courier New"/>
          <w:sz w:val="18"/>
        </w:rPr>
        <w:t>icc2_shell</w:t>
      </w:r>
      <w:r>
        <w:t xml:space="preserve"> in the physical run directory. At its Tcl prompt, reopen the saved design:</w:t>
      </w:r>
    </w:p>
    <w:p>
      <w:pPr>
        <w:pStyle w:val="Code"/>
        <w:keepLines/>
        <w:spacing w:after="160"/>
      </w:pPr>
      <w:r>
        <w:t>open_lib sb_flop.dlib</w:t>
        <w:br/>
        <w:t>open_block sb_flop</w:t>
        <w:br/>
        <w:t>start_gui</w:t>
      </w:r>
    </w:p>
    <w:p>
      <w:pPr/>
      <w:r>
        <w:t xml:space="preserve">If the block is already open in the same session, use only </w:t>
      </w:r>
      <w:r>
        <w:rPr>
          <w:rFonts w:ascii="Courier New" w:hAnsi="Courier New"/>
          <w:sz w:val="18"/>
        </w:rPr>
        <w:t>start_gui</w:t>
      </w:r>
      <w:r>
        <w:t xml:space="preserve">. Maximize the IC Compiler II window. Its title should identify </w:t>
      </w:r>
      <w:r>
        <w:rPr>
          <w:rFonts w:ascii="Courier New" w:hAnsi="Courier New"/>
          <w:sz w:val="18"/>
        </w:rPr>
        <w:t>sb_flop.dlib:sb_flop.design</w:t>
      </w:r>
      <w:r>
        <w:t>. Check that title before inspecting or editing anything.</w:t>
      </w:r>
    </w:p>
    <w:p>
      <w:pPr>
        <w:keepNext/>
        <w:spacing w:after="60"/>
        <w:jc w:val="center"/>
      </w:pPr>
      <w:r>
        <w:drawing>
          <wp:inline xmlns:a="http://schemas.openxmlformats.org/drawingml/2006/main" xmlns:pic="http://schemas.openxmlformats.org/drawingml/2006/picture">
            <wp:extent cx="5943600" cy="3320151"/>
            <wp:docPr id="5" name="Picture 5"/>
            <wp:cNvGraphicFramePr>
              <a:graphicFrameLocks noChangeAspect="1"/>
            </wp:cNvGraphicFramePr>
            <a:graphic>
              <a:graphicData uri="http://schemas.openxmlformats.org/drawingml/2006/picture">
                <pic:pic>
                  <pic:nvPicPr>
                    <pic:cNvPr id="0" name="v2-icc2-floorplan.png"/>
                    <pic:cNvPicPr/>
                  </pic:nvPicPr>
                  <pic:blipFill>
                    <a:blip r:embed="rId19"/>
                    <a:srcRect l="0" t="6557" r="0" b="6305"/>
                    <a:stretch>
                      <a:fillRect/>
                    </a:stretch>
                  </pic:blipFill>
                  <pic:spPr>
                    <a:xfrm>
                      <a:off x="0" y="0"/>
                      <a:ext cx="5943600" cy="3320151"/>
                    </a:xfrm>
                    <a:prstGeom prst="rect"/>
                  </pic:spPr>
                </pic:pic>
              </a:graphicData>
            </a:graphic>
          </wp:inline>
        </w:drawing>
      </w:r>
    </w:p>
    <w:p>
      <w:pPr>
        <w:spacing w:after="160"/>
      </w:pPr>
      <w:r>
        <w:rPr>
          <w:i/>
          <w:sz w:val="18"/>
        </w:rPr>
        <w:t>The initial physical view of the register in its teaching floorplan.</w:t>
      </w:r>
    </w:p>
    <w:p>
      <w:pPr>
        <w:spacing w:after="80"/>
        <w:ind w:left="288" w:hanging="288"/>
      </w:pPr>
      <w:r>
        <w:t>1. Identify the outer die boundary and the inner core boundary. The core is inset from the die and aligned to the placement sites.</w:t>
      </w:r>
    </w:p>
    <w:p>
      <w:pPr>
        <w:spacing w:after="80"/>
        <w:ind w:left="288" w:hanging="288"/>
      </w:pPr>
      <w:r>
        <w:t xml:space="preserve">2. Find the rectangle labelled </w:t>
      </w:r>
      <w:r>
        <w:rPr>
          <w:rFonts w:ascii="Courier New" w:hAnsi="Courier New"/>
          <w:sz w:val="18"/>
        </w:rPr>
        <w:t>q_reg</w:t>
      </w:r>
      <w:r>
        <w:t>. Click it once to select the cell, then open the Property Editor tab on the right.</w:t>
      </w:r>
    </w:p>
    <w:p>
      <w:pPr>
        <w:spacing w:after="80"/>
        <w:ind w:left="288" w:hanging="288"/>
      </w:pPr>
      <w:r>
        <w:t xml:space="preserve">3. Read its name, reference view, origin, orientation, and </w:t>
      </w:r>
      <w:r>
        <w:rPr>
          <w:rFonts w:ascii="Courier New" w:hAnsi="Courier New"/>
          <w:sz w:val="18"/>
        </w:rPr>
        <w:t>physical_status</w:t>
      </w:r>
      <w:r>
        <w:t xml:space="preserve">. The recorded initial placement reports </w:t>
      </w:r>
      <w:r>
        <w:rPr>
          <w:rFonts w:ascii="Courier New" w:hAnsi="Courier New"/>
          <w:sz w:val="18"/>
        </w:rPr>
        <w:t>placed</w:t>
      </w:r>
      <w:r>
        <w:t>; this is not a statement that detailed legalization or routing checks passed.</w:t>
      </w:r>
    </w:p>
    <w:p>
      <w:pPr>
        <w:spacing w:after="80"/>
        <w:ind w:left="288" w:hanging="288"/>
      </w:pPr>
      <w:r>
        <w:t xml:space="preserve">4. Compare the selected instance with </w:t>
      </w:r>
      <w:r>
        <w:rPr>
          <w:rFonts w:ascii="Courier New" w:hAnsi="Courier New"/>
          <w:sz w:val="18"/>
        </w:rPr>
        <w:t>mapped.v</w:t>
      </w:r>
      <w:r>
        <w:t>. The logical netlist, physical abstract, and timing view must refer to compatible cells and pins.</w:t>
      </w:r>
    </w:p>
    <w:p>
      <w:pPr>
        <w:spacing w:after="80"/>
        <w:ind w:left="288" w:hanging="288"/>
      </w:pPr>
      <w:r>
        <w:t>5. With the cell selected, choose View, Zoom, Zoom Fit Selection. Choose Zoom Fit All to recover the overview. The right-side View Settings panel controls visible objects and layers. Hiding an object does not remove it from the design.</w:t>
      </w:r>
    </w:p>
    <w:p>
      <w:pPr/>
      <w:r>
        <w:t>The empty space and absence of a routed interconnect network are expected at this stage. An initial floorplan placement is useful for learning selection, geometry, and database inspection. It is not a finished physical design.</w:t>
      </w:r>
    </w:p>
    <w:p>
      <w:r>
        <w:br w:type="page"/>
      </w:r>
    </w:p>
    <w:p>
      <w:pPr>
        <w:pStyle w:val="Heading1"/>
      </w:pPr>
      <w:r>
        <w:t>Connect GUI observations to repeatable commands</w:t>
      </w:r>
    </w:p>
    <w:p>
      <w:pPr/>
      <w:r>
        <w:t>The Property Editor provides concrete database attributes. Use the tool console to query the same selected design objects explicitly:</w:t>
      </w:r>
    </w:p>
    <w:p>
      <w:pPr>
        <w:pStyle w:val="Code"/>
        <w:keepLines/>
        <w:spacing w:after="160"/>
      </w:pPr>
      <w:r>
        <w:t>get_attribute [get_cells q_reg] origin</w:t>
        <w:br/>
        <w:t>get_attribute [get_cells q_reg] orientation</w:t>
        <w:br/>
        <w:t>get_attribute [get_cells q_reg] physical_status</w:t>
        <w:br/>
        <w:t>get_object_name [get_pins q_reg/*]</w:t>
      </w:r>
    </w:p>
    <w:p>
      <w:pPr/>
      <w:r>
        <w:t xml:space="preserve">The recorded cell origin was approximately </w:t>
      </w:r>
      <w:r>
        <w:rPr>
          <w:rFonts w:ascii="Courier New" w:hAnsi="Courier New"/>
          <w:sz w:val="18"/>
        </w:rPr>
        <w:t>{8.0387 8.7512}</w:t>
      </w:r>
      <w:r>
        <w:t xml:space="preserve">, orientation </w:t>
      </w:r>
      <w:r>
        <w:rPr>
          <w:rFonts w:ascii="Courier New" w:hAnsi="Courier New"/>
          <w:sz w:val="18"/>
        </w:rPr>
        <w:t>R0</w:t>
      </w:r>
      <w:r>
        <w:t xml:space="preserve">, and physical status </w:t>
      </w:r>
      <w:r>
        <w:rPr>
          <w:rFonts w:ascii="Courier New" w:hAnsi="Courier New"/>
          <w:sz w:val="18"/>
        </w:rPr>
        <w:t>placed</w:t>
      </w:r>
      <w:r>
        <w:t>. Coordinates can change when the floorplan or placement settings change; compare the geometry and status with the run you actually opened.</w:t>
      </w:r>
    </w:p>
    <w:p>
      <w:pPr/>
      <w:r>
        <w:t>When a larger design is difficult to navigate, select an object by its name or query it in the console before zooming and tracing its connections. Confirm both the instance name and reference cell. A similarly named cell in another hierarchy is a different object.</w:t>
      </w:r>
    </w:p>
    <w:p>
      <w:pPr/>
      <w:r>
        <w:t>Inspect messages as part of GUI use. Open the Console tab at the bottom and use View, Error Browser for diagnostics. Start from the first relevant setup error. Check the saved run log when the GUI only shows the most recent messages.</w:t>
      </w:r>
    </w:p>
    <w:p>
      <w:pPr>
        <w:pStyle w:val="Heading1"/>
      </w:pPr>
      <w:r>
        <w:t>Save a checkpoint and know what remains</w:t>
      </w:r>
    </w:p>
    <w:p>
      <w:pPr/>
      <w:r>
        <w:t xml:space="preserve">After an intentional change, save the block and library using </w:t>
      </w:r>
      <w:r>
        <w:rPr>
          <w:rFonts w:ascii="Courier New" w:hAnsi="Courier New"/>
          <w:sz w:val="18"/>
        </w:rPr>
        <w:t>save_block</w:t>
      </w:r>
      <w:r>
        <w:t xml:space="preserve"> and </w:t>
      </w:r>
      <w:r>
        <w:rPr>
          <w:rFonts w:ascii="Courier New" w:hAnsi="Courier New"/>
          <w:sz w:val="18"/>
        </w:rPr>
        <w:t>save_lib</w:t>
      </w:r>
      <w:r>
        <w:t>. Keep the script and log that produced that state. Reopening the saved block is a useful check that the result is reproducible beyond the current GUI session.</w:t>
      </w:r>
    </w:p>
    <w:p>
      <w:pPr/>
      <w:r>
        <w:t>The demonstrated physical exercise ends after import, floorplan initialization, and initial placement. It has not built a power grid, assigned a final pin plan, performed detailed legalization, constructed the clock tree, routed signals, extracted final parasitics, or passed signoff checks. Before extending it, establish the approved technology, RC data, scenarios, power setup, and physical checks for the project.</w:t>
      </w:r>
    </w:p>
    <w:p>
      <w:pPr/>
      <w:r>
        <w:t>Do not hide a warning by suppressing it just to get a cleaner screenshot. Record whether it is a teaching-library limitation, a missing flow input, or a real design problem. Separate those from the measured outcomes of a completed implementation stage.</w:t>
      </w:r>
    </w:p>
    <w:p>
      <w:r>
        <w:br w:type="page"/>
      </w:r>
    </w:p>
    <w:p>
      <w:pPr>
        <w:pStyle w:val="Heading1"/>
      </w:pPr>
      <w:r>
        <w:t>Build chip-level and per-unit runs</w:t>
      </w:r>
    </w:p>
    <w:p>
      <w:pPr/>
      <w:r>
        <w:t>Keep one explicit configuration for the chip and one for each unit. Each configuration should identify its top module, ordered source manifest, parameters, clocks, interface budgets, library/corner, and implementation status. A stub may make the flow runnable while RTL is unfinished, but its outputs and timing assumptions must be visible in the run record.</w:t>
      </w:r>
    </w:p>
    <w:tbl>
      <w:tblPr>
        <w:tblW w:type="auto" w:w="0"/>
        <w:tblLayout w:type="fixed"/>
        <w:tblLook w:firstColumn="1" w:firstRow="1" w:lastColumn="0" w:lastRow="0" w:noHBand="0" w:noVBand="1" w:val="04A0"/>
      </w:tblPr>
      <w:tblGrid>
        <w:gridCol w:w="2952"/>
        <w:gridCol w:w="7128"/>
      </w:tblGrid>
      <w:tr>
        <w:trPr>
          <w:cantSplit/>
          <w:tblHeader/>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Evidence to retain for each target</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Review question</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Input manifest and revision</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Exactly what design and stubs were implemented?</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Library and constraints</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Under what assumptions are the numbers meaningful?</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Logs and design checks</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Did the tool resolve references and complete each stage?</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Mapped netlist and SDC</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Can the next stage consume the result reproducibly?</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Saved physical block and stage</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Is this imported, floorplanned, placed, clocked, or routed?</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Area, timing, congestion, and violations</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What passes, what fails, and what remains unmeasured?</w:t>
            </w:r>
          </w:p>
        </w:tc>
      </w:tr>
    </w:tbl>
    <w:p>
      <w:pPr>
        <w:spacing w:after="0"/>
      </w:pPr>
    </w:p>
    <w:p>
      <w:pPr/>
      <w:r>
        <w:t>The immediate project work is a runnable chip-level flow plus separate unit runs with clearly marked stubs where necessary. Keep the flow reproducible as real blocks arrive. Do not present stub area as an estimate of the missing block or an empty timing report as closure.</w:t>
      </w:r>
    </w:p>
    <w:p>
      <w:pPr>
        <w:pStyle w:val="Heading1"/>
      </w:pPr>
      <w:r>
        <w:t>Troubleshoot by stage</w:t>
      </w:r>
    </w:p>
    <w:p>
      <w:pPr/>
      <w:r>
        <w:t>For synthesis, start with source loading, top selection, linking, and constraints. For physical import, start with technology and reference libraries, cell/pin resolution, and netlist consistency. For placement, inspect sites, floorplan geometry, legal cell locations, and power connectivity before tuning optimization options.</w:t>
      </w:r>
    </w:p>
    <w:p>
      <w:pPr/>
      <w:r>
        <w:t xml:space="preserve">If a license check fails, save the exact tool diagnostic and version. If a GUI appears unresponsive during launch, allow startup to complete before starting another copy. If a command is unfamiliar, use </w:t>
      </w:r>
      <w:r>
        <w:rPr>
          <w:rFonts w:ascii="Courier New" w:hAnsi="Courier New"/>
          <w:sz w:val="18"/>
        </w:rPr>
        <w:t>help -verbose command_name</w:t>
      </w:r>
      <w:r>
        <w:t xml:space="preserve"> or </w:t>
      </w:r>
      <w:r>
        <w:rPr>
          <w:rFonts w:ascii="Courier New" w:hAnsi="Courier New"/>
          <w:sz w:val="18"/>
        </w:rPr>
        <w:t>man command_name</w:t>
      </w:r>
      <w:r>
        <w:t xml:space="preserve"> in the tool version you are running.</w:t>
      </w:r>
    </w:p>
    <w:p>
      <w:pPr/>
      <w:r>
        <w:t>Close GUI tools, save your checkpoints, leave the container, and log out of the CAE desktop when finished. Design Compiler and Design Vision were exercised on Y-2026.03; ICC2 uses X-2025.06-SP3 on this CAE installation.</w:t>
      </w:r>
    </w:p>
    <w:p>
      <w:pPr/>
      <w:r>
        <w:t xml:space="preserve">Setup: </w:t>
      </w:r>
      <w:hyperlink r:id="rId20">
        <w:r>
          <w:rPr>
            <w:color w:val="0563C1"/>
            <w:u w:val="single"/>
          </w:rPr>
          <w:t>https://kb.wisc.edu/cae-software-guide</w:t>
        </w:r>
      </w:hyperlink>
      <w:r/>
    </w:p>
    <w:p>
      <w:pPr/>
      <w:r>
        <w:t xml:space="preserve">ICC2 capabilities: </w:t>
      </w:r>
      <w:hyperlink r:id="rId21">
        <w:r>
          <w:rPr>
            <w:color w:val="0563C1"/>
            <w:u w:val="single"/>
          </w:rPr>
          <w:t>https://www.synopsys.com/implementation-and-signoff/physical-implementation/ic-compiler.html</w:t>
        </w:r>
      </w:hyperlink>
      <w:r/>
    </w:p>
    <w:sectPr w:rsidR="00FC693F" w:rsidRPr="0006063C" w:rsidSect="00034616">
      <w:headerReference w:type="default" r:id="rId9"/>
      <w:footerReference w:type="default" r:id="rId10"/>
      <w:pgSz w:w="12240" w:h="15840"/>
      <w:pgMar w:top="835" w:right="1080" w:bottom="835"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23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ABHINAV NANDWANI  /  CAE LAB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44"/>
    </w:pPr>
    <w:rPr>
      <w:rFonts w:ascii="Courier New" w:hAnsi="Courier New"/>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uacamole.cae.wisc.edu" TargetMode="External"/><Relationship Id="rId12" Type="http://schemas.openxmlformats.org/officeDocument/2006/relationships/image" Target="media/image1.png"/><Relationship Id="rId13" Type="http://schemas.openxmlformats.org/officeDocument/2006/relationships/hyperlink" Target="https://kb.wisc.edu/cae/163323" TargetMode="External"/><Relationship Id="rId14" Type="http://schemas.openxmlformats.org/officeDocument/2006/relationships/image" Target="media/image2.png"/><Relationship Id="rId15" Type="http://schemas.openxmlformats.org/officeDocument/2006/relationships/hyperlink" Target="https://github.com/abhinavnandwani/cae-synopsys-guides.git" TargetMode="External"/><Relationship Id="rId16" Type="http://schemas.openxmlformats.org/officeDocument/2006/relationships/hyperlink" Target="https://kb.wisc.edu/moodle/162780"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yperlink" Target="https://kb.wisc.edu/cae-software-guide" TargetMode="External"/><Relationship Id="rId21" Type="http://schemas.openxmlformats.org/officeDocument/2006/relationships/hyperlink" Target="https://www.synopsys.com/implementation-and-signoff/physical-implementation/ic-compil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Synthesis and Physical Design on CAE</dc:title>
  <dc:subject>CAE Synopsys terminal and GUI guide</dc:subject>
  <dc:creator>Abhinav Nandwani</dc:creator>
  <cp:keywords>CAE, Synopsys, Abhinav Nandwani</cp:keywords>
  <dc:description>generated by python-docx</dc:description>
  <cp:lastModifiedBy>Abhinav Nandwani</cp:lastModifiedBy>
  <cp:revision>1</cp:revision>
  <dcterms:created xsi:type="dcterms:W3CDTF">2013-12-23T23:15:00Z</dcterms:created>
  <dcterms:modified xsi:type="dcterms:W3CDTF">2013-12-23T23:15:00Z</dcterms:modified>
  <cp:category/>
</cp:coreProperties>
</file>