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on CAE</w:t>
      </w:r>
    </w:p>
    <w:p>
      <w:pPr/>
      <w:r>
        <w:rPr>
          <w:color w:val="505050"/>
          <w:sz w:val="18"/>
        </w:rPr>
        <w:t>By Abhinav Nandwani</w:t>
      </w:r>
    </w:p>
    <w:p>
      <w:pPr/>
      <w:r>
        <w:t>Use this guide to compile a SystemVerilog test, inspect its source and waveforms, generate coverage, and prove that the test catches a known bug. The terminal and GUI sections use the same small register example. The final section connects this workflow to the team's test plan and verification scaffolding.</w:t>
      </w:r>
    </w:p>
    <w:p>
      <w:pPr>
        <w:pStyle w:val="Heading1"/>
      </w:pPr>
      <w:r>
        <w:t>Sign in to Guacamole</w:t>
      </w:r>
    </w:p>
    <w:p>
      <w:pPr/>
      <w:r>
        <w:t>Guacamole displays a CAE Linux desktop in your browser. The tools run on the CAE machine. Use your own UW NetID and confirm that your account can reach CAE Linux services before the lab.</w:t>
      </w:r>
    </w:p>
    <w:p>
      <w:pPr>
        <w:spacing w:after="80"/>
        <w:ind w:left="288" w:hanging="288"/>
      </w:pPr>
      <w:r>
        <w:t xml:space="preserve">1. On your laptop, open </w:t>
      </w:r>
      <w:hyperlink r:id="rId11">
        <w:r>
          <w:rPr>
            <w:color w:val="0563C1"/>
            <w:u w:val="single"/>
          </w:rPr>
          <w:t>https://guacamole.cae.wisc.edu</w:t>
        </w:r>
      </w:hyperlink>
      <w:r>
        <w:t xml:space="preserve"> in a browser.</w:t>
      </w:r>
    </w:p>
    <w:p>
      <w:pPr>
        <w:spacing w:after="80"/>
        <w:ind w:left="288" w:hanging="288"/>
      </w:pPr>
      <w:r>
        <w:t>2. Complete the UW web sign-in with your NetID and password, then complete MFA if requested.</w:t>
      </w:r>
    </w:p>
    <w:p>
      <w:pPr>
        <w:spacing w:after="80"/>
        <w:ind w:left="288" w:hanging="288"/>
      </w:pPr>
      <w:r>
        <w:t>3. At the Linux login screen, enter your UW NetID and password again. Use your NetID credentials at this second prompt too. The old separate CAE username and password are not the instructions for this service.</w:t>
      </w:r>
    </w:p>
    <w:p>
      <w:pPr>
        <w:spacing w:after="80"/>
        <w:ind w:left="288" w:hanging="288"/>
      </w:pPr>
      <w:r>
        <w:t>4. Wait for the Linux desktop. Open Apps in the upper-left corner and choose Terminal under Favorites. Maximize the terminal by double-clicking its title bar.</w:t>
      </w:r>
    </w:p>
    <w:p>
      <w:pPr>
        <w:spacing w:after="80"/>
        <w:ind w:left="288" w:hanging="288"/>
      </w:pPr>
      <w:r>
        <w:t>5. Keep the Guacamole tab open. A terminal inside this desktop is already on CAE; do not SSH back into CAE from it.</w:t>
      </w:r>
    </w:p>
    <w:p>
      <w:pPr>
        <w:keepNext/>
        <w:spacing w:after="60"/>
        <w:jc w:val="center"/>
      </w:pPr>
      <w:r>
        <w:drawing>
          <wp:inline xmlns:a="http://schemas.openxmlformats.org/drawingml/2006/main" xmlns:pic="http://schemas.openxmlformats.org/drawingml/2006/picture">
            <wp:extent cx="2743200" cy="1734854"/>
            <wp:docPr id="1" name="Picture 1"/>
            <wp:cNvGraphicFramePr>
              <a:graphicFrameLocks noChangeAspect="1"/>
            </wp:cNvGraphicFramePr>
            <a:graphic>
              <a:graphicData uri="http://schemas.openxmlformats.org/drawingml/2006/picture">
                <pic:pic>
                  <pic:nvPicPr>
                    <pic:cNvPr id="0" name="02-apps-terminal.png"/>
                    <pic:cNvPicPr/>
                  </pic:nvPicPr>
                  <pic:blipFill>
                    <a:blip r:embed="rId12"/>
                    <a:srcRect l="0" t="0" r="64592" b="65069"/>
                    <a:stretch>
                      <a:fillRect/>
                    </a:stretch>
                  </pic:blipFill>
                  <pic:spPr>
                    <a:xfrm>
                      <a:off x="0" y="0"/>
                      <a:ext cx="2743200" cy="1734854"/>
                    </a:xfrm>
                    <a:prstGeom prst="rect"/>
                  </pic:spPr>
                </pic:pic>
              </a:graphicData>
            </a:graphic>
          </wp:inline>
        </w:drawing>
      </w:r>
    </w:p>
    <w:p>
      <w:pPr>
        <w:spacing w:after="160"/>
      </w:pPr>
      <w:r>
        <w:rPr>
          <w:i/>
          <w:sz w:val="18"/>
        </w:rPr>
        <w:t>Open Terminal from the CAE Apps menu.</w:t>
      </w:r>
    </w:p>
    <w:p>
      <w:pPr/>
      <w:r>
        <w:t>If you already have an active session, the browser may reconnect without showing every login screen. If sign-in fails, record which prompt failed: UW web sign-in, MFA, or the Linux desktop login. These are different stages.</w:t>
      </w:r>
    </w:p>
    <w:p>
      <w:pPr/>
      <w:r>
        <w:t xml:space="preserve">Official CAE login instructions and screenshots: </w:t>
      </w:r>
      <w:hyperlink r:id="rId13">
        <w:r>
          <w:rPr>
            <w:color w:val="0563C1"/>
            <w:u w:val="single"/>
          </w:rPr>
          <w:t>https://kb.wisc.edu/cae/163323</w:t>
        </w:r>
      </w:hyperlink>
      <w:r/>
    </w:p>
    <w:p>
      <w:r>
        <w:br w:type="page"/>
      </w:r>
    </w:p>
    <w:p>
      <w:pPr>
        <w:pStyle w:val="Heading1"/>
      </w:pPr>
      <w:r>
        <w:t>Enter the Synopsys environment</w:t>
      </w:r>
    </w:p>
    <w:p>
      <w:pPr/>
      <w:r>
        <w:t xml:space="preserve">Run these commands in the CAE terminal, one line at a time. Do not type a prompt such as </w:t>
      </w:r>
      <w:r>
        <w:rPr>
          <w:rFonts w:ascii="Courier New" w:hAnsi="Courier New"/>
          <w:sz w:val="18"/>
        </w:rPr>
        <w:t>$</w:t>
      </w:r>
      <w:r>
        <w:t xml:space="preserve"> or </w:t>
      </w:r>
      <w:r>
        <w:rPr>
          <w:rFonts w:ascii="Courier New" w:hAnsi="Courier New"/>
          <w:sz w:val="18"/>
        </w:rPr>
        <w:t>synopsys&gt;</w:t>
      </w:r>
      <w:r>
        <w:t xml:space="preserve"> before a command.</w:t>
      </w:r>
    </w:p>
    <w:p>
      <w:pPr>
        <w:pStyle w:val="Code"/>
        <w:keepLines/>
        <w:spacing w:after="160"/>
      </w:pPr>
      <w:r>
        <w:t>module load synopsys/suite</w:t>
        <w:br/>
        <w:t>synopsys-run</w:t>
        <w:br/>
        <w:t>command -v vcs dc_shell verdi icc2_shell pt_shell</w:t>
      </w:r>
    </w:p>
    <w:p>
      <w:pPr/>
      <w:r>
        <w:t xml:space="preserve">The prompt becomes </w:t>
      </w:r>
      <w:r>
        <w:rPr>
          <w:rFonts w:ascii="Courier New" w:hAnsi="Courier New"/>
          <w:sz w:val="18"/>
        </w:rPr>
        <w:t>synopsys&gt;</w:t>
      </w:r>
      <w:r>
        <w:t>. The module selects the site setup; the container provides the operating environment expected by the tools. Load the module before entering the container and repeat this setup for every new terminal used for Synopsys tools.</w:t>
      </w:r>
    </w:p>
    <w:p>
      <w:pPr>
        <w:keepNext/>
        <w:spacing w:after="60"/>
        <w:jc w:val="center"/>
      </w:pPr>
      <w:r>
        <w:drawing>
          <wp:inline xmlns:a="http://schemas.openxmlformats.org/drawingml/2006/main" xmlns:pic="http://schemas.openxmlformats.org/drawingml/2006/picture">
            <wp:extent cx="5943600" cy="1334148"/>
            <wp:docPr id="2" name="Picture 2"/>
            <wp:cNvGraphicFramePr>
              <a:graphicFrameLocks noChangeAspect="1"/>
            </wp:cNvGraphicFramePr>
            <a:graphic>
              <a:graphicData uri="http://schemas.openxmlformats.org/drawingml/2006/picture">
                <pic:pic>
                  <pic:nvPicPr>
                    <pic:cNvPr id="0" name="v2-environment.png"/>
                    <pic:cNvPicPr/>
                  </pic:nvPicPr>
                  <pic:blipFill>
                    <a:blip r:embed="rId14"/>
                    <a:srcRect l="0" t="7818" r="24010" b="65574"/>
                    <a:stretch>
                      <a:fillRect/>
                    </a:stretch>
                  </pic:blipFill>
                  <pic:spPr>
                    <a:xfrm>
                      <a:off x="0" y="0"/>
                      <a:ext cx="5943600" cy="1334148"/>
                    </a:xfrm>
                    <a:prstGeom prst="rect"/>
                  </pic:spPr>
                </pic:pic>
              </a:graphicData>
            </a:graphic>
          </wp:inline>
        </w:drawing>
      </w:r>
    </w:p>
    <w:p>
      <w:pPr>
        <w:spacing w:after="160"/>
      </w:pPr>
      <w:r>
        <w:rPr>
          <w:i/>
          <w:sz w:val="18"/>
        </w:rPr>
        <w:t>Tool paths inside the working CAE Synopsys container.</w:t>
      </w:r>
    </w:p>
    <w:p>
      <w:pPr>
        <w:pStyle w:val="Heading1"/>
      </w:pPr>
      <w:r>
        <w:t>Get the companion exercise onto CAE</w:t>
      </w:r>
    </w:p>
    <w:p>
      <w:pPr/>
      <w:r>
        <w:t>On your laptop, open Terminal or PowerShell. Clone the guide repository, then copy it to your CAE home directory:</w:t>
      </w:r>
    </w:p>
    <w:p>
      <w:pPr>
        <w:pStyle w:val="Code"/>
        <w:keepLines/>
        <w:spacing w:after="160"/>
      </w:pPr>
      <w:r>
        <w:t xml:space="preserve">git clone </w:t>
      </w:r>
      <w:hyperlink r:id="rId15">
        <w:r>
          <w:rPr>
            <w:color w:val="0563C1"/>
            <w:u w:val="single"/>
            <w:rFonts w:ascii="Courier New" w:hAnsi="Courier New"/>
            <w:sz w:val="18"/>
          </w:rPr>
          <w:t>https://github.com/abhinavnandwani/cae-synopsys-guides.git</w:t>
        </w:r>
      </w:hyperlink>
      <w:r>
        <w:br/>
        <w:t>scp -r cae-synopsys-guides YOUR_NETID@best-tux.cae.wisc.edu:~/</w:t>
      </w:r>
    </w:p>
    <w:p>
      <w:pPr/>
      <w:r>
        <w:t xml:space="preserve">Replace </w:t>
      </w:r>
      <w:r>
        <w:rPr>
          <w:rFonts w:ascii="Courier New" w:hAnsi="Courier New"/>
          <w:sz w:val="18"/>
        </w:rPr>
        <w:t>YOUR_NETID</w:t>
      </w:r>
      <w:r>
        <w:t xml:space="preserve"> with your NetID. Check a new SSH host key against the CAE fingerprint at </w:t>
      </w:r>
      <w:hyperlink r:id="rId16">
        <w:r>
          <w:rPr>
            <w:color w:val="0563C1"/>
            <w:u w:val="single"/>
          </w:rPr>
          <w:t>https://kb.wisc.edu/moodle/162780</w:t>
        </w:r>
      </w:hyperlink>
      <w:r>
        <w:t xml:space="preserve"> before accepting. If Git is unavailable, extract the repository ZIP, rename its folder to </w:t>
      </w:r>
      <w:r>
        <w:rPr>
          <w:rFonts w:ascii="Courier New" w:hAnsi="Courier New"/>
          <w:sz w:val="18"/>
        </w:rPr>
        <w:t>cae-synopsys-guides</w:t>
      </w:r>
      <w:r>
        <w:t>, then run the SCP line. Guacamole does not provide file transfer. The repository README also explains cloning directly on CAE.</w:t>
      </w:r>
    </w:p>
    <w:p>
      <w:pPr/>
      <w:r>
        <w:t>Back in the CAE container terminal:</w:t>
      </w:r>
    </w:p>
    <w:p>
      <w:pPr>
        <w:pStyle w:val="Code"/>
        <w:keepLines/>
        <w:spacing w:after="160"/>
      </w:pPr>
      <w:r>
        <w:t>cd ~/cae-synopsys-guides/lab</w:t>
        <w:br/>
        <w:t>pwd</w:t>
        <w:br/>
        <w:t>ls</w:t>
      </w:r>
    </w:p>
    <w:p>
      <w:pPr/>
      <w:r>
        <w:t xml:space="preserve">You should see </w:t>
      </w:r>
      <w:r>
        <w:rPr>
          <w:rFonts w:ascii="Courier New" w:hAnsi="Courier New"/>
          <w:sz w:val="18"/>
        </w:rPr>
        <w:t>run_lab.py</w:t>
      </w:r>
      <w:r>
        <w:t xml:space="preserve">, </w:t>
      </w:r>
      <w:r>
        <w:rPr>
          <w:rFonts w:ascii="Courier New" w:hAnsi="Courier New"/>
          <w:sz w:val="18"/>
        </w:rPr>
        <w:t>rtl</w:t>
      </w:r>
      <w:r>
        <w:t xml:space="preserve">, </w:t>
      </w:r>
      <w:r>
        <w:rPr>
          <w:rFonts w:ascii="Courier New" w:hAnsi="Courier New"/>
          <w:sz w:val="18"/>
        </w:rPr>
        <w:t>tb</w:t>
      </w:r>
      <w:r>
        <w:t xml:space="preserve">, </w:t>
      </w:r>
      <w:r>
        <w:rPr>
          <w:rFonts w:ascii="Courier New" w:hAnsi="Courier New"/>
          <w:sz w:val="18"/>
        </w:rPr>
        <w:t>synth</w:t>
      </w:r>
      <w:r>
        <w:t xml:space="preserve">, and </w:t>
      </w:r>
      <w:r>
        <w:rPr>
          <w:rFonts w:ascii="Courier New" w:hAnsi="Courier New"/>
          <w:sz w:val="18"/>
        </w:rPr>
        <w:t>README.md</w:t>
      </w:r>
      <w:r>
        <w:t>. The recorded screenshots use a dated demonstration folder. Use the folder you copied. Keep work in your home directory so it is available across CAE hosts.</w:t>
      </w:r>
    </w:p>
    <w:p>
      <w:r>
        <w:br w:type="page"/>
      </w:r>
    </w:p>
    <w:p>
      <w:pPr>
        <w:pStyle w:val="Heading1"/>
      </w:pPr>
      <w:r>
        <w:t>Work confidently in the terminal</w:t>
      </w:r>
    </w:p>
    <w:p>
      <w:pPr/>
      <w:r>
        <w:t xml:space="preserve">The current directory affects relative paths. </w:t>
      </w:r>
      <w:r>
        <w:rPr>
          <w:rFonts w:ascii="Courier New" w:hAnsi="Courier New"/>
          <w:sz w:val="18"/>
        </w:rPr>
        <w:t>pwd</w:t>
      </w:r>
      <w:r>
        <w:t xml:space="preserve"> prints it, </w:t>
      </w:r>
      <w:r>
        <w:rPr>
          <w:rFonts w:ascii="Courier New" w:hAnsi="Courier New"/>
          <w:sz w:val="18"/>
        </w:rPr>
        <w:t>ls</w:t>
      </w:r>
      <w:r>
        <w:t xml:space="preserve"> lists files, </w:t>
      </w:r>
      <w:r>
        <w:rPr>
          <w:rFonts w:ascii="Courier New" w:hAnsi="Courier New"/>
          <w:sz w:val="18"/>
        </w:rPr>
        <w:t>cd ..</w:t>
      </w:r>
      <w:r>
        <w:t xml:space="preserve"> moves to the parent, and </w:t>
      </w:r>
      <w:r>
        <w:rPr>
          <w:rFonts w:ascii="Courier New" w:hAnsi="Courier New"/>
          <w:sz w:val="18"/>
        </w:rPr>
        <w:t>cd ~/cae-synopsys-guides/lab</w:t>
      </w:r>
      <w:r>
        <w:t xml:space="preserve"> returns to the exercise. A leading </w:t>
      </w:r>
      <w:r>
        <w:rPr>
          <w:rFonts w:ascii="Courier New" w:hAnsi="Courier New"/>
          <w:sz w:val="18"/>
        </w:rPr>
        <w:t>/</w:t>
      </w:r>
      <w:r>
        <w:t xml:space="preserve"> means an absolute path; </w:t>
      </w:r>
      <w:r>
        <w:rPr>
          <w:rFonts w:ascii="Courier New" w:hAnsi="Courier New"/>
          <w:sz w:val="18"/>
        </w:rPr>
        <w:t>~</w:t>
      </w:r>
      <w:r>
        <w:t xml:space="preserve"> means your home directory. Quote paths containing spaces.</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Prompt or location</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Commands that belong there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Laptop Terminal or PowerShell</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ssh</w:t>
            </w:r>
            <w:r>
              <w:rPr>
                <w:b w:val="0"/>
                <w:sz w:val="18"/>
              </w:rPr>
              <w:t xml:space="preserve"> and </w:t>
            </w:r>
            <w:r>
              <w:rPr>
                <w:rFonts w:ascii="Courier New" w:hAnsi="Courier New"/>
                <w:b w:val="0"/>
                <w:sz w:val="18"/>
              </w:rPr>
              <w:t>scp</w:t>
            </w:r>
            <w:r>
              <w:rPr>
                <w:b w:val="0"/>
                <w:sz w:val="18"/>
              </w:rPr>
              <w:t xml:space="preserve"> to reach CAE or transfer files.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CAE host shell</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module load synopsys/suite</w:t>
            </w:r>
            <w:r>
              <w:rPr>
                <w:b w:val="0"/>
                <w:sz w:val="18"/>
              </w:rPr>
              <w:t xml:space="preserve">, then </w:t>
            </w:r>
            <w:r>
              <w:rPr>
                <w:rFonts w:ascii="Courier New" w:hAnsi="Courier New"/>
                <w:b w:val="0"/>
                <w:sz w:val="18"/>
              </w:rPr>
              <w:t>synopsys-run</w:t>
            </w:r>
            <w:r>
              <w:rPr>
                <w:b w:val="0"/>
                <w:sz w:val="18"/>
              </w:rPr>
              <w: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Container </w:t>
            </w:r>
            <w:r>
              <w:rPr>
                <w:rFonts w:ascii="Courier New" w:hAnsi="Courier New"/>
                <w:b w:val="0"/>
                <w:sz w:val="18"/>
              </w:rPr>
              <w:t>synopsys&gt;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Linux commands, </w:t>
            </w:r>
            <w:r>
              <w:rPr>
                <w:rFonts w:ascii="Courier New" w:hAnsi="Courier New"/>
                <w:b w:val="0"/>
                <w:sz w:val="18"/>
              </w:rPr>
              <w:t>python3 run_lab.py</w:t>
            </w:r>
            <w:r>
              <w:rPr>
                <w:b w:val="0"/>
                <w:sz w:val="18"/>
              </w:rPr>
              <w:t xml:space="preserve">, </w:t>
            </w:r>
            <w:r>
              <w:rPr>
                <w:rFonts w:ascii="Courier New" w:hAnsi="Courier New"/>
                <w:b w:val="0"/>
                <w:sz w:val="18"/>
              </w:rPr>
              <w:t>vcs</w:t>
            </w:r>
            <w:r>
              <w:rPr>
                <w:b w:val="0"/>
                <w:sz w:val="18"/>
              </w:rPr>
              <w:t xml:space="preserve">, </w:t>
            </w:r>
            <w:r>
              <w:rPr>
                <w:rFonts w:ascii="Courier New" w:hAnsi="Courier New"/>
                <w:b w:val="0"/>
                <w:sz w:val="18"/>
              </w:rPr>
              <w:t>verdi</w:t>
            </w:r>
            <w:r>
              <w:rPr>
                <w:b w:val="0"/>
                <w:sz w:val="18"/>
              </w:rPr>
              <w:t xml:space="preserve">, </w:t>
            </w:r>
            <w:r>
              <w:rPr>
                <w:rFonts w:ascii="Courier New" w:hAnsi="Courier New"/>
                <w:b w:val="0"/>
                <w:sz w:val="18"/>
              </w:rPr>
              <w:t>dc_shell</w:t>
            </w:r>
            <w:r>
              <w:rPr>
                <w:b w:val="0"/>
                <w:sz w:val="18"/>
              </w:rPr>
              <w:t xml:space="preserve">, and </w:t>
            </w:r>
            <w:r>
              <w:rPr>
                <w:rFonts w:ascii="Courier New" w:hAnsi="Courier New"/>
                <w:b w:val="0"/>
                <w:sz w:val="18"/>
              </w:rPr>
              <w:t>icc2_shell</w:t>
            </w:r>
            <w:r>
              <w:rPr>
                <w:b w:val="0"/>
                <w:sz w:val="18"/>
              </w:rPr>
              <w: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Tool prompt such as </w:t>
            </w:r>
            <w:r>
              <w:rPr>
                <w:rFonts w:ascii="Courier New" w:hAnsi="Courier New"/>
                <w:b w:val="0"/>
                <w:sz w:val="18"/>
              </w:rPr>
              <w:t>dc_shell&gt;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Tool Tcl commands such as </w:t>
            </w:r>
            <w:r>
              <w:rPr>
                <w:rFonts w:ascii="Courier New" w:hAnsi="Courier New"/>
                <w:b w:val="0"/>
                <w:sz w:val="18"/>
              </w:rPr>
              <w:t>read_ddc</w:t>
            </w:r>
            <w:r>
              <w:rPr>
                <w:b w:val="0"/>
                <w:sz w:val="18"/>
              </w:rPr>
              <w:t xml:space="preserve">, </w:t>
            </w:r>
            <w:r>
              <w:rPr>
                <w:rFonts w:ascii="Courier New" w:hAnsi="Courier New"/>
                <w:b w:val="0"/>
                <w:sz w:val="18"/>
              </w:rPr>
              <w:t>report_timing</w:t>
            </w:r>
            <w:r>
              <w:rPr>
                <w:b w:val="0"/>
                <w:sz w:val="18"/>
              </w:rPr>
              <w:t xml:space="preserve">, and </w:t>
            </w:r>
            <w:r>
              <w:rPr>
                <w:rFonts w:ascii="Courier New" w:hAnsi="Courier New"/>
                <w:b w:val="0"/>
                <w:sz w:val="18"/>
              </w:rPr>
              <w:t>help</w:t>
            </w:r>
            <w:r>
              <w:rPr>
                <w:b w:val="0"/>
                <w:sz w:val="18"/>
              </w:rPr>
              <w:t>.</w:t>
            </w:r>
          </w:p>
        </w:tc>
      </w:tr>
    </w:tbl>
    <w:p>
      <w:pPr>
        <w:spacing w:after="0"/>
      </w:pPr>
    </w:p>
    <w:p>
      <w:pPr/>
      <w:r>
        <w:t>Use these from the exercise folder to inspect source and logs without changing them:</w:t>
      </w:r>
    </w:p>
    <w:p>
      <w:pPr>
        <w:pStyle w:val="Code"/>
        <w:keepLines/>
        <w:spacing w:after="160"/>
      </w:pPr>
      <w:r>
        <w:t>ls -lh</w:t>
        <w:br/>
        <w:t>cat rtl/sb_flop.v</w:t>
        <w:br/>
        <w:t>sed -n '1,80p' tb/tb.sv</w:t>
        <w:br/>
        <w:t>less runs/YOUR_RUN/compile.log</w:t>
        <w:br/>
        <w:t>grep -nE 'Error|Fatal|Warning' runs/YOUR_RUN/compile.log</w:t>
        <w:br/>
        <w:t>tail -n 30 runs/YOUR_RUN/simulate.log</w:t>
      </w:r>
    </w:p>
    <w:p>
      <w:pPr/>
      <w:r>
        <w:t xml:space="preserve">Replace </w:t>
      </w:r>
      <w:r>
        <w:rPr>
          <w:rFonts w:ascii="Courier New" w:hAnsi="Courier New"/>
          <w:sz w:val="18"/>
        </w:rPr>
        <w:t>YOUR_RUN</w:t>
      </w:r>
      <w:r>
        <w:t xml:space="preserve"> with an actual directory printed by the runner. In </w:t>
      </w:r>
      <w:r>
        <w:rPr>
          <w:rFonts w:ascii="Courier New" w:hAnsi="Courier New"/>
          <w:sz w:val="18"/>
        </w:rPr>
        <w:t>less</w:t>
      </w:r>
      <w:r>
        <w:t xml:space="preserve">, use Space to advance, </w:t>
      </w:r>
      <w:r>
        <w:rPr>
          <w:rFonts w:ascii="Courier New" w:hAnsi="Courier New"/>
          <w:sz w:val="18"/>
        </w:rPr>
        <w:t>/Error</w:t>
      </w:r>
      <w:r>
        <w:t xml:space="preserve"> then Enter to search, </w:t>
      </w:r>
      <w:r>
        <w:rPr>
          <w:rFonts w:ascii="Courier New" w:hAnsi="Courier New"/>
          <w:sz w:val="18"/>
        </w:rPr>
        <w:t>n</w:t>
      </w:r>
      <w:r>
        <w:t xml:space="preserve"> for the next match, and </w:t>
      </w:r>
      <w:r>
        <w:rPr>
          <w:rFonts w:ascii="Courier New" w:hAnsi="Courier New"/>
          <w:sz w:val="18"/>
        </w:rPr>
        <w:t>q</w:t>
      </w:r>
      <w:r>
        <w:t xml:space="preserve"> to return to the shell. An Up-arrow recalls a command; Tab completes a path. Read a command before rerunning it.</w:t>
      </w:r>
    </w:p>
    <w:p>
      <w:pPr/>
      <w:r>
        <w:t xml:space="preserve">For an interactive foreground command that is stuck, Ctrl+C requests interruption. For a GUI launched with </w:t>
      </w:r>
      <w:r>
        <w:rPr>
          <w:rFonts w:ascii="Courier New" w:hAnsi="Courier New"/>
          <w:sz w:val="18"/>
        </w:rPr>
        <w:t>&amp;</w:t>
      </w:r>
      <w:r>
        <w:t xml:space="preserve">, close the application through its File menu. </w:t>
      </w:r>
      <w:r>
        <w:rPr>
          <w:rFonts w:ascii="Courier New" w:hAnsi="Courier New"/>
          <w:sz w:val="18"/>
        </w:rPr>
        <w:t>jobs</w:t>
      </w:r>
      <w:r>
        <w:t xml:space="preserve"> lists jobs started by that shell. Keep logs: </w:t>
      </w:r>
      <w:r>
        <w:rPr>
          <w:rFonts w:ascii="Courier New" w:hAnsi="Courier New"/>
          <w:sz w:val="18"/>
        </w:rPr>
        <w:t>command &gt; run.log 2&gt;&amp;1</w:t>
      </w:r>
      <w:r>
        <w:t xml:space="preserve"> sends both standard output and errors to a file. Immediately after a command, </w:t>
      </w:r>
      <w:r>
        <w:rPr>
          <w:rFonts w:ascii="Courier New" w:hAnsi="Courier New"/>
          <w:sz w:val="18"/>
        </w:rPr>
        <w:t>echo $?</w:t>
      </w:r>
      <w:r>
        <w:t xml:space="preserve"> reports its exit status, but a zero status alone does not prove the design passed.</w:t>
      </w:r>
    </w:p>
    <w:p>
      <w:pPr>
        <w:pStyle w:val="Heading1"/>
      </w:pPr>
      <w:r>
        <w:t>Connect without the browser when useful</w:t>
      </w:r>
    </w:p>
    <w:p>
      <w:pPr/>
      <w:r>
        <w:t xml:space="preserve">For terminal-only work, open a terminal on your laptop and run </w:t>
      </w:r>
      <w:r>
        <w:rPr>
          <w:rFonts w:ascii="Courier New" w:hAnsi="Courier New"/>
          <w:sz w:val="18"/>
        </w:rPr>
        <w:t>ssh YOUR_NETID@best-tux.cae.wisc.edu</w:t>
      </w:r>
      <w:r>
        <w:t>, then load the module and enter the container as above. Use Guacamole for the GUI steps in this handout. SSH and Guacamole may reach different hosts, but your CAE home directory is shared.</w:t>
      </w:r>
    </w:p>
    <w:p>
      <w:pPr/>
      <w:r>
        <w:t xml:space="preserve">When finished, save work, close the EDA applications, and run </w:t>
      </w:r>
      <w:r>
        <w:rPr>
          <w:rFonts w:ascii="Courier New" w:hAnsi="Courier New"/>
          <w:sz w:val="18"/>
        </w:rPr>
        <w:t>exit</w:t>
      </w:r>
      <w:r>
        <w:t xml:space="preserve"> to leave the container. Log out of the Linux desktop from the upper-right system menu. Closing the browser alone can leave the session running during CAE's two-hour reconnection window.</w:t>
      </w:r>
    </w:p>
    <w:p>
      <w:r>
        <w:br w:type="page"/>
      </w:r>
    </w:p>
    <w:p>
      <w:pPr>
        <w:pStyle w:val="Heading1"/>
      </w:pPr>
      <w:r>
        <w:t>Run the verification exercise from the terminal</w:t>
      </w:r>
    </w:p>
    <w:p>
      <w:pPr/>
      <w:r>
        <w:t>Inside the Synopsys container, start from the companion folder:</w:t>
      </w:r>
    </w:p>
    <w:p>
      <w:pPr>
        <w:pStyle w:val="Code"/>
        <w:keepLines/>
        <w:spacing w:after="160"/>
      </w:pPr>
      <w:r>
        <w:t>cd ~/cae-synopsys-guides/lab</w:t>
        <w:br/>
        <w:t>python3 run_lab.py simulation</w:t>
      </w:r>
    </w:p>
    <w:p>
      <w:pPr/>
      <w:r>
        <w:t xml:space="preserve">The runner creates a new directory under </w:t>
      </w:r>
      <w:r>
        <w:rPr>
          <w:rFonts w:ascii="Courier New" w:hAnsi="Courier New"/>
          <w:sz w:val="18"/>
        </w:rPr>
        <w:t>runs/</w:t>
      </w:r>
      <w:r>
        <w:t xml:space="preserve"> for every invocation. It compiles the design, executes a passing simulation, builds a coverage report, and executes a separate intentionally failing simulation. The final </w:t>
      </w:r>
      <w:r>
        <w:rPr>
          <w:rFonts w:ascii="Courier New" w:hAnsi="Courier New"/>
          <w:sz w:val="18"/>
        </w:rPr>
        <w:t>LAB_RESULT=PASS</w:t>
      </w:r>
      <w:r>
        <w:t xml:space="preserve"> means these checks behaved as expected, including detection of the deliberate failure.</w:t>
      </w:r>
    </w:p>
    <w:p>
      <w:pPr>
        <w:keepNext/>
        <w:spacing w:after="60"/>
        <w:jc w:val="center"/>
      </w:pPr>
      <w:r>
        <w:drawing>
          <wp:inline xmlns:a="http://schemas.openxmlformats.org/drawingml/2006/main" xmlns:pic="http://schemas.openxmlformats.org/drawingml/2006/picture">
            <wp:extent cx="5943600" cy="1038310"/>
            <wp:docPr id="3" name="Picture 3"/>
            <wp:cNvGraphicFramePr>
              <a:graphicFrameLocks noChangeAspect="1"/>
            </wp:cNvGraphicFramePr>
            <a:graphic>
              <a:graphicData uri="http://schemas.openxmlformats.org/drawingml/2006/picture">
                <pic:pic>
                  <pic:nvPicPr>
                    <pic:cNvPr id="0" name="v2-simulation-pass.png"/>
                    <pic:cNvPicPr/>
                  </pic:nvPicPr>
                  <pic:blipFill>
                    <a:blip r:embed="rId17"/>
                    <a:srcRect l="0" t="7818" r="970" b="65195"/>
                    <a:stretch>
                      <a:fillRect/>
                    </a:stretch>
                  </pic:blipFill>
                  <pic:spPr>
                    <a:xfrm>
                      <a:off x="0" y="0"/>
                      <a:ext cx="5943600" cy="1038310"/>
                    </a:xfrm>
                    <a:prstGeom prst="rect"/>
                  </pic:spPr>
                </pic:pic>
              </a:graphicData>
            </a:graphic>
          </wp:inline>
        </w:drawing>
      </w:r>
    </w:p>
    <w:p>
      <w:pPr>
        <w:spacing w:after="160"/>
      </w:pPr>
      <w:r>
        <w:rPr>
          <w:i/>
          <w:sz w:val="18"/>
        </w:rPr>
        <w:t>The saved passing log contains the UVM access message and SB_SNPS_SIM_PASS.</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File in the printed run directory</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How to use it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compile.log</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Start here for syntax, missing include, package, and elaboration errors.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simulate.log</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Inspect test diagnostics, simulation time, and the pass marker.</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simv</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The compiled simulation executable for this build.</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smoke.fsdb</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Waveform data for the passing run.</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simv.vdb</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Collected coverage data.</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coverage_report/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URG's HTML coverage report.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negative/expected_failure.log</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Evidence that the injected fault was detected.</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result.json</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Exact commands, working directories, elapsed time, raw exit codes, and verdict.</w:t>
            </w:r>
          </w:p>
        </w:tc>
      </w:tr>
    </w:tbl>
    <w:p>
      <w:pPr>
        <w:spacing w:after="0"/>
      </w:pPr>
    </w:p>
    <w:p>
      <w:pPr/>
      <w:r>
        <w:t xml:space="preserve">Change into the exact run directory the runner printed. Do not guess that an older directory is the latest run. Inspect </w:t>
      </w:r>
      <w:r>
        <w:rPr>
          <w:rFonts w:ascii="Courier New" w:hAnsi="Courier New"/>
          <w:sz w:val="18"/>
        </w:rPr>
        <w:t>result.json</w:t>
      </w:r>
      <w:r>
        <w:t xml:space="preserve"> and the logs even when the final result says PASS. A working test harness and a correct design are separate questions.</w:t>
      </w:r>
    </w:p>
    <w:p>
      <w:r>
        <w:br w:type="page"/>
      </w:r>
    </w:p>
    <w:p>
      <w:pPr>
        <w:pStyle w:val="Heading1"/>
      </w:pPr>
      <w:r>
        <w:t>Understand and reproduce the terminal commands</w:t>
      </w:r>
    </w:p>
    <w:p>
      <w:pPr/>
      <w:r>
        <w:t xml:space="preserve">The example has </w:t>
      </w:r>
      <w:r>
        <w:rPr>
          <w:rFonts w:ascii="Courier New" w:hAnsi="Courier New"/>
          <w:sz w:val="18"/>
        </w:rPr>
        <w:t>rtl/sb_flop.v</w:t>
      </w:r>
      <w:r>
        <w:t xml:space="preserve"> and </w:t>
      </w:r>
      <w:r>
        <w:rPr>
          <w:rFonts w:ascii="Courier New" w:hAnsi="Courier New"/>
          <w:sz w:val="18"/>
        </w:rPr>
        <w:t>tb/tb.sv</w:t>
      </w:r>
      <w:r>
        <w:t>. The testbench instantiates the register, drives a 10 ns clock, checks reset, checks captured data, and writes an FSDB. UVM 1.2 is imported to check that the installed integration works; this example is a procedural testbench, not a complete class-based UVM environment.</w:t>
      </w:r>
    </w:p>
    <w:p>
      <w:pPr/>
      <w:r>
        <w:t>To run the commands directly, create a separate manual run directory first:</w:t>
      </w:r>
    </w:p>
    <w:p>
      <w:pPr>
        <w:pStyle w:val="Code"/>
        <w:keepLines/>
        <w:spacing w:after="160"/>
      </w:pPr>
      <w:r>
        <w:t>SB_LAB="$HOME/cae-synopsys-guides/lab"</w:t>
        <w:br/>
        <w:t>SB_RUN=$(mktemp -d "$SB_LAB/runs/manual-sim-XXXXXX")</w:t>
        <w:br/>
        <w:t>cd "$SB_RUN"</w:t>
        <w:br/>
        <w:t>export VERDI_HOME="$(dirname "$(dirname "$(command -v verdi)")")"</w:t>
        <w:br/>
        <w:t>vcs -full64 -sverilog -timescale=1ns/1ps \</w:t>
        <w:br/>
        <w:t xml:space="preserve">  -ntb_opts uvm-1.2 -debug_access+all -kdb \</w:t>
        <w:br/>
        <w:t xml:space="preserve">  -cm line+cond+tgl+branch+assert \</w:t>
        <w:br/>
        <w:t xml:space="preserve">  "$SB_LAB/rtl/sb_flop.v" "$SB_LAB/tb/tb.sv" \</w:t>
        <w:br/>
        <w:t xml:space="preserve">  -top tb -o simv &gt; compile.log 2&gt;&amp;1</w:t>
        <w:br/>
        <w:t>echo $?</w:t>
        <w:br/>
        <w:t>./simv -cm line+cond+tgl+branch+assert &gt; simulate.log 2&gt;&amp;1</w:t>
        <w:br/>
        <w:t>grep -nE 'Error|Fatal|SB_SNPS_SIM_PASS' simulate.log</w:t>
        <w:br/>
        <w:t>urg -full64 -dir simv.vdb -report coverage_report \</w:t>
        <w:br/>
        <w:t xml:space="preserve">  &gt; coverage.log 2&gt;&amp;1</w:t>
      </w:r>
    </w:p>
    <w:p>
      <w:pPr/>
      <w:r>
        <w:t>Stop after compilation if it fails. The shell does not automatically stop this sequence for you. The supplied Python runner is preferable for repeatable runs because it checks diagnostics and required outputs and gives each command a 180-second limit.</w:t>
      </w:r>
    </w:p>
    <w:p>
      <w:pPr/>
      <w:r/>
      <w:r>
        <w:rPr>
          <w:rFonts w:ascii="Courier New" w:hAnsi="Courier New"/>
          <w:sz w:val="18"/>
        </w:rPr>
        <w:t>-full64</w:t>
      </w:r>
      <w:r>
        <w:t xml:space="preserve"> selects the working 64-bit VCS mode on this installation. </w:t>
      </w:r>
      <w:r>
        <w:rPr>
          <w:rFonts w:ascii="Courier New" w:hAnsi="Courier New"/>
          <w:sz w:val="18"/>
        </w:rPr>
        <w:t>-sverilog</w:t>
      </w:r>
      <w:r>
        <w:t xml:space="preserve"> enables SystemVerilog parsing. </w:t>
      </w:r>
      <w:r>
        <w:rPr>
          <w:rFonts w:ascii="Courier New" w:hAnsi="Courier New"/>
          <w:sz w:val="18"/>
        </w:rPr>
        <w:t>-top tb</w:t>
      </w:r>
      <w:r>
        <w:t xml:space="preserve"> selects the testbench top. </w:t>
      </w:r>
      <w:r>
        <w:rPr>
          <w:rFonts w:ascii="Courier New" w:hAnsi="Courier New"/>
          <w:sz w:val="18"/>
        </w:rPr>
        <w:t>-debug_access+all -kdb</w:t>
      </w:r>
      <w:r>
        <w:t xml:space="preserve"> retains information needed for source-level debugging. The </w:t>
      </w:r>
      <w:r>
        <w:rPr>
          <w:rFonts w:ascii="Courier New" w:hAnsi="Courier New"/>
          <w:sz w:val="18"/>
        </w:rPr>
        <w:t>-cm</w:t>
      </w:r>
      <w:r>
        <w:t xml:space="preserve"> options enable the listed coverage types; they do not create missing assertions or functional coverage goals.</w:t>
      </w:r>
    </w:p>
    <w:p>
      <w:pPr>
        <w:pStyle w:val="Heading1"/>
      </w:pPr>
      <w:r>
        <w:t>Inspect the test before trusting it</w:t>
      </w:r>
    </w:p>
    <w:p>
      <w:pPr/>
      <w:r>
        <w:t xml:space="preserve">Read the checks in </w:t>
      </w:r>
      <w:r>
        <w:rPr>
          <w:rFonts w:ascii="Courier New" w:hAnsi="Courier New"/>
          <w:sz w:val="18"/>
        </w:rPr>
        <w:t>tb/tb.sv</w:t>
      </w:r>
      <w:r>
        <w:t xml:space="preserve">. At 11 ns the test checks the reset value and drives one onto </w:t>
      </w:r>
      <w:r>
        <w:rPr>
          <w:rFonts w:ascii="Courier New" w:hAnsi="Courier New"/>
          <w:sz w:val="18"/>
        </w:rPr>
        <w:t>d</w:t>
      </w:r>
      <w:r>
        <w:t xml:space="preserve">. It checks </w:t>
      </w:r>
      <w:r>
        <w:rPr>
          <w:rFonts w:ascii="Courier New" w:hAnsi="Courier New"/>
          <w:sz w:val="18"/>
        </w:rPr>
        <w:t>q</w:t>
      </w:r>
      <w:r>
        <w:t xml:space="preserve"> at 21 ns, then drives zero. It checks again at 31 ns. These checks occur after the relevant rising edge so the nonblocking assignment has completed. A real interface test should define its sampling convention just as explicitly.</w:t>
      </w:r>
    </w:p>
    <w:p>
      <w:r>
        <w:br w:type="page"/>
      </w:r>
    </w:p>
    <w:p>
      <w:pPr>
        <w:pStyle w:val="Heading1"/>
      </w:pPr>
      <w:r>
        <w:t>Open Verdi and navigate the design</w:t>
      </w:r>
    </w:p>
    <w:p>
      <w:pPr/>
      <w:r>
        <w:t>From the passing simulation directory, launch the GUI inside Guacamole:</w:t>
      </w:r>
    </w:p>
    <w:p>
      <w:pPr>
        <w:pStyle w:val="Code"/>
        <w:keepLines/>
        <w:spacing w:after="160"/>
      </w:pPr>
      <w:r>
        <w:t>verdi -ssf smoke.fsdb</w:t>
      </w:r>
    </w:p>
    <w:p>
      <w:pPr/>
      <w:r>
        <w:t>Keep that terminal available for launch diagnostics. Maximize Verdi by double-clicking its title bar. The hierarchy pane identifies instances; the source pane shows their code; the lower nWave pane displays recorded signal values.</w:t>
      </w:r>
    </w:p>
    <w:p>
      <w:pPr>
        <w:keepNext/>
        <w:spacing w:after="60"/>
        <w:jc w:val="center"/>
      </w:pPr>
      <w:r>
        <w:drawing>
          <wp:inline xmlns:a="http://schemas.openxmlformats.org/drawingml/2006/main" xmlns:pic="http://schemas.openxmlformats.org/drawingml/2006/picture">
            <wp:extent cx="5943600" cy="3348980"/>
            <wp:docPr id="4" name="Picture 4"/>
            <wp:cNvGraphicFramePr>
              <a:graphicFrameLocks noChangeAspect="1"/>
            </wp:cNvGraphicFramePr>
            <a:graphic>
              <a:graphicData uri="http://schemas.openxmlformats.org/drawingml/2006/picture">
                <pic:pic>
                  <pic:nvPicPr>
                    <pic:cNvPr id="0" name="v2-verdi-overview.png"/>
                    <pic:cNvPicPr/>
                  </pic:nvPicPr>
                  <pic:blipFill>
                    <a:blip r:embed="rId18"/>
                    <a:srcRect l="0" t="6557" r="0" b="5549"/>
                    <a:stretch>
                      <a:fillRect/>
                    </a:stretch>
                  </pic:blipFill>
                  <pic:spPr>
                    <a:xfrm>
                      <a:off x="0" y="0"/>
                      <a:ext cx="5943600" cy="3348980"/>
                    </a:xfrm>
                    <a:prstGeom prst="rect"/>
                  </pic:spPr>
                </pic:pic>
              </a:graphicData>
            </a:graphic>
          </wp:inline>
        </w:drawing>
      </w:r>
    </w:p>
    <w:p>
      <w:pPr>
        <w:spacing w:after="160"/>
      </w:pPr>
      <w:r>
        <w:rPr>
          <w:i/>
          <w:sz w:val="18"/>
        </w:rPr>
        <w:t>The passing test open in Verdi with its source and waveform panes.</w:t>
      </w:r>
    </w:p>
    <w:p>
      <w:pPr>
        <w:spacing w:after="80"/>
        <w:ind w:left="288" w:hanging="288"/>
      </w:pPr>
      <w:r>
        <w:t xml:space="preserve">1. In the hierarchy pane, select </w:t>
      </w:r>
      <w:r>
        <w:rPr>
          <w:rFonts w:ascii="Courier New" w:hAnsi="Courier New"/>
          <w:sz w:val="18"/>
        </w:rPr>
        <w:t>tb</w:t>
      </w:r>
      <w:r>
        <w:t xml:space="preserve">. Expand it and select </w:t>
      </w:r>
      <w:r>
        <w:rPr>
          <w:rFonts w:ascii="Courier New" w:hAnsi="Courier New"/>
          <w:sz w:val="18"/>
        </w:rPr>
        <w:t>dut</w:t>
      </w:r>
      <w:r>
        <w:t xml:space="preserve"> to inspect the instantiated </w:t>
      </w:r>
      <w:r>
        <w:rPr>
          <w:rFonts w:ascii="Courier New" w:hAnsi="Courier New"/>
          <w:sz w:val="18"/>
        </w:rPr>
        <w:t>sb_flop</w:t>
      </w:r>
      <w:r>
        <w:t xml:space="preserve"> module. Confirm that you opened the intended source and top.</w:t>
      </w:r>
    </w:p>
    <w:p>
      <w:pPr>
        <w:spacing w:after="80"/>
        <w:ind w:left="288" w:hanging="288"/>
      </w:pPr>
      <w:r>
        <w:t xml:space="preserve">2. Return to </w:t>
      </w:r>
      <w:r>
        <w:rPr>
          <w:rFonts w:ascii="Courier New" w:hAnsi="Courier New"/>
          <w:sz w:val="18"/>
        </w:rPr>
        <w:t>tb</w:t>
      </w:r>
      <w:r>
        <w:t xml:space="preserve"> to read the stimulus and checks alongside the RTL. Locate the clock generator, reset release, assignments to </w:t>
      </w:r>
      <w:r>
        <w:rPr>
          <w:rFonts w:ascii="Courier New" w:hAnsi="Courier New"/>
          <w:sz w:val="18"/>
        </w:rPr>
        <w:t>d</w:t>
      </w:r>
      <w:r>
        <w:t xml:space="preserve">, and </w:t>
      </w:r>
      <w:r>
        <w:rPr>
          <w:rFonts w:ascii="Courier New" w:hAnsi="Courier New"/>
          <w:sz w:val="18"/>
        </w:rPr>
        <w:t>$fatal</w:t>
      </w:r>
      <w:r>
        <w:t xml:space="preserve"> checks.</w:t>
      </w:r>
    </w:p>
    <w:p>
      <w:pPr>
        <w:spacing w:after="80"/>
        <w:ind w:left="288" w:hanging="288"/>
      </w:pPr>
      <w:r>
        <w:t xml:space="preserve">3. In the lower nWave pane, choose Signal, then Get Signals. Select the </w:t>
      </w:r>
      <w:r>
        <w:rPr>
          <w:rFonts w:ascii="Courier New" w:hAnsi="Courier New"/>
          <w:sz w:val="18"/>
        </w:rPr>
        <w:t>/tb</w:t>
      </w:r>
      <w:r>
        <w:t xml:space="preserve"> scope in the dialog.</w:t>
      </w:r>
    </w:p>
    <w:p>
      <w:pPr>
        <w:spacing w:after="80"/>
        <w:ind w:left="288" w:hanging="288"/>
      </w:pPr>
      <w:r>
        <w:t xml:space="preserve">4. Select </w:t>
      </w:r>
      <w:r>
        <w:rPr>
          <w:rFonts w:ascii="Courier New" w:hAnsi="Courier New"/>
          <w:sz w:val="18"/>
        </w:rPr>
        <w:t>clk</w:t>
      </w:r>
      <w:r>
        <w:t xml:space="preserve">, </w:t>
      </w:r>
      <w:r>
        <w:rPr>
          <w:rFonts w:ascii="Courier New" w:hAnsi="Courier New"/>
          <w:sz w:val="18"/>
        </w:rPr>
        <w:t>rst</w:t>
      </w:r>
      <w:r>
        <w:t xml:space="preserve">, </w:t>
      </w:r>
      <w:r>
        <w:rPr>
          <w:rFonts w:ascii="Courier New" w:hAnsi="Courier New"/>
          <w:sz w:val="18"/>
        </w:rPr>
        <w:t>d</w:t>
      </w:r>
      <w:r>
        <w:t xml:space="preserve">, and </w:t>
      </w:r>
      <w:r>
        <w:rPr>
          <w:rFonts w:ascii="Courier New" w:hAnsi="Courier New"/>
          <w:sz w:val="18"/>
        </w:rPr>
        <w:t>q</w:t>
      </w:r>
      <w:r>
        <w:t>. In the tested interface, selecting a signal and clicking Apply adds it to the waveform list. Repeat for the four signals, then click OK.</w:t>
      </w:r>
    </w:p>
    <w:p>
      <w:pPr>
        <w:spacing w:after="80"/>
        <w:ind w:left="288" w:hanging="288"/>
      </w:pPr>
      <w:r>
        <w:t>5. In nWave, choose View, then Zoom, then Zoom All. This displays the entire saved simulation rather than just its initial few nanoseconds.</w:t>
      </w:r>
    </w:p>
    <w:p>
      <w:pPr/>
      <w:r>
        <w:t>If the source view is empty, first confirm that you launched from the run directory that contains the matching build data. Do not mix one build's debug database with another build's waveform. If the waveform list is empty, adding signals is still required even though the FSDB loaded successfully.</w:t>
      </w:r>
    </w:p>
    <w:p>
      <w:r>
        <w:br w:type="page"/>
      </w:r>
    </w:p>
    <w:p>
      <w:pPr>
        <w:pStyle w:val="Heading1"/>
      </w:pPr>
      <w:r>
        <w:t>Debug the waveform rather than just displaying it</w:t>
      </w:r>
    </w:p>
    <w:p>
      <w:pPr/>
      <w:r>
        <w:t>Start with all four signals visible and the full 0 to 31 ns interval. The recorded view uses picoseconds on the ruler: 10000 ps is 10 ns. Signal values in the value column correspond to the current cursor position, not necessarily the end of the run.</w:t>
      </w:r>
    </w:p>
    <w:p>
      <w:pPr>
        <w:keepNext/>
        <w:spacing w:after="60"/>
        <w:jc w:val="center"/>
      </w:pPr>
      <w:r>
        <w:drawing>
          <wp:inline xmlns:a="http://schemas.openxmlformats.org/drawingml/2006/main" xmlns:pic="http://schemas.openxmlformats.org/drawingml/2006/picture">
            <wp:extent cx="5943600" cy="1470284"/>
            <wp:docPr id="5" name="Picture 5"/>
            <wp:cNvGraphicFramePr>
              <a:graphicFrameLocks noChangeAspect="1"/>
            </wp:cNvGraphicFramePr>
            <a:graphic>
              <a:graphicData uri="http://schemas.openxmlformats.org/drawingml/2006/picture">
                <pic:pic>
                  <pic:nvPicPr>
                    <pic:cNvPr id="0" name="v2-verdi-waveform.png"/>
                    <pic:cNvPicPr/>
                  </pic:nvPicPr>
                  <pic:blipFill>
                    <a:blip r:embed="rId19"/>
                    <a:srcRect l="0" t="55612" r="0" b="5801"/>
                    <a:stretch>
                      <a:fillRect/>
                    </a:stretch>
                  </pic:blipFill>
                  <pic:spPr>
                    <a:xfrm>
                      <a:off x="0" y="0"/>
                      <a:ext cx="5943600" cy="1470284"/>
                    </a:xfrm>
                    <a:prstGeom prst="rect"/>
                  </pic:spPr>
                </pic:pic>
              </a:graphicData>
            </a:graphic>
          </wp:inline>
        </w:drawing>
      </w:r>
    </w:p>
    <w:p>
      <w:pPr>
        <w:spacing w:after="160"/>
      </w:pPr>
      <w:r>
        <w:rPr>
          <w:i/>
          <w:sz w:val="18"/>
        </w:rPr>
        <w:t>Clock, reset, data, and output shown over the complete saved test.</w:t>
      </w:r>
    </w:p>
    <w:p>
      <w:pPr>
        <w:spacing w:after="80"/>
        <w:ind w:left="288" w:hanging="288"/>
      </w:pPr>
      <w:r>
        <w:t xml:space="preserve">1. Click in the waveform near the first rising edge of </w:t>
      </w:r>
      <w:r>
        <w:rPr>
          <w:rFonts w:ascii="Courier New" w:hAnsi="Courier New"/>
          <w:sz w:val="18"/>
        </w:rPr>
        <w:t>clk</w:t>
      </w:r>
      <w:r>
        <w:t xml:space="preserve">. Follow the same vertical time position through </w:t>
      </w:r>
      <w:r>
        <w:rPr>
          <w:rFonts w:ascii="Courier New" w:hAnsi="Courier New"/>
          <w:sz w:val="18"/>
        </w:rPr>
        <w:t>rst</w:t>
      </w:r>
      <w:r>
        <w:t xml:space="preserve">, </w:t>
      </w:r>
      <w:r>
        <w:rPr>
          <w:rFonts w:ascii="Courier New" w:hAnsi="Courier New"/>
          <w:sz w:val="18"/>
        </w:rPr>
        <w:t>d</w:t>
      </w:r>
      <w:r>
        <w:t xml:space="preserve">, and </w:t>
      </w:r>
      <w:r>
        <w:rPr>
          <w:rFonts w:ascii="Courier New" w:hAnsi="Courier New"/>
          <w:sz w:val="18"/>
        </w:rPr>
        <w:t>q</w:t>
      </w:r>
      <w:r>
        <w:t>.</w:t>
      </w:r>
    </w:p>
    <w:p>
      <w:pPr>
        <w:spacing w:after="80"/>
        <w:ind w:left="288" w:hanging="288"/>
      </w:pPr>
      <w:r>
        <w:t xml:space="preserve">2. Move the time cursor before and after the edge. Before the first rising edge, </w:t>
      </w:r>
      <w:r>
        <w:rPr>
          <w:rFonts w:ascii="Courier New" w:hAnsi="Courier New"/>
          <w:sz w:val="18"/>
        </w:rPr>
        <w:t>q</w:t>
      </w:r>
      <w:r>
        <w:t xml:space="preserve"> is unknown. At 5 ns, the asserted synchronous reset sets it to zero.</w:t>
      </w:r>
    </w:p>
    <w:p>
      <w:pPr>
        <w:spacing w:after="80"/>
        <w:ind w:left="288" w:hanging="288"/>
      </w:pPr>
      <w:r>
        <w:t>3. Inspect the reset release and data change at 11 ns. The output should not update immediately because the register samples on the next rising edge.</w:t>
      </w:r>
    </w:p>
    <w:p>
      <w:pPr>
        <w:spacing w:after="80"/>
        <w:ind w:left="288" w:hanging="288"/>
      </w:pPr>
      <w:r>
        <w:t xml:space="preserve">4. Inspect 15 ns. </w:t>
      </w:r>
      <w:r>
        <w:rPr>
          <w:rFonts w:ascii="Courier New" w:hAnsi="Courier New"/>
          <w:sz w:val="18"/>
        </w:rPr>
        <w:t>q</w:t>
      </w:r>
      <w:r>
        <w:t xml:space="preserve"> captures one. Inspect 21 ns when </w:t>
      </w:r>
      <w:r>
        <w:rPr>
          <w:rFonts w:ascii="Courier New" w:hAnsi="Courier New"/>
          <w:sz w:val="18"/>
        </w:rPr>
        <w:t>d</w:t>
      </w:r>
      <w:r>
        <w:t xml:space="preserve"> returns to zero, then 25 ns when </w:t>
      </w:r>
      <w:r>
        <w:rPr>
          <w:rFonts w:ascii="Courier New" w:hAnsi="Courier New"/>
          <w:sz w:val="18"/>
        </w:rPr>
        <w:t>q</w:t>
      </w:r>
      <w:r>
        <w:t xml:space="preserve"> captures zero.</w:t>
      </w:r>
    </w:p>
    <w:p>
      <w:pPr>
        <w:spacing w:after="80"/>
        <w:ind w:left="288" w:hanging="288"/>
      </w:pPr>
      <w:r>
        <w:t>5. Use the nWave View, Zoom menu to inspect a smaller interval, then Zoom All to recover the overview. Keep the clock visible when investigating a data transition.</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Time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Expected observation</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Before 5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q</w:t>
            </w:r>
            <w:r>
              <w:rPr>
                <w:b w:val="0"/>
                <w:sz w:val="18"/>
              </w:rPr>
              <w:t xml:space="preserve"> is unknown; no active clock edge has applied reset yet.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5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q</w:t>
            </w:r>
            <w:r>
              <w:rPr>
                <w:b w:val="0"/>
                <w:sz w:val="18"/>
              </w:rPr>
              <w:t xml:space="preserve"> becomes zero while </w:t>
            </w:r>
            <w:r>
              <w:rPr>
                <w:rFonts w:ascii="Courier New" w:hAnsi="Courier New"/>
                <w:b w:val="0"/>
                <w:sz w:val="18"/>
              </w:rPr>
              <w:t>rst</w:t>
            </w:r>
            <w:r>
              <w:rPr>
                <w:b w:val="0"/>
                <w:sz w:val="18"/>
              </w:rPr>
              <w:t xml:space="preserve"> is high.</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11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rst</w:t>
            </w:r>
            <w:r>
              <w:rPr>
                <w:b w:val="0"/>
                <w:sz w:val="18"/>
              </w:rPr>
              <w:t xml:space="preserve"> becomes zero and </w:t>
            </w:r>
            <w:r>
              <w:rPr>
                <w:rFonts w:ascii="Courier New" w:hAnsi="Courier New"/>
                <w:b w:val="0"/>
                <w:sz w:val="18"/>
              </w:rPr>
              <w:t>d</w:t>
            </w:r>
            <w:r>
              <w:rPr>
                <w:b w:val="0"/>
                <w:sz w:val="18"/>
              </w:rPr>
              <w:t xml:space="preserve"> becomes one.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15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q</w:t>
            </w:r>
            <w:r>
              <w:rPr>
                <w:b w:val="0"/>
                <w:sz w:val="18"/>
              </w:rPr>
              <w:t xml:space="preserve"> becomes one.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21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d</w:t>
            </w:r>
            <w:r>
              <w:rPr>
                <w:b w:val="0"/>
                <w:sz w:val="18"/>
              </w:rPr>
              <w:t xml:space="preserve"> becomes zero.</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25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q</w:t>
            </w:r>
            <w:r>
              <w:rPr>
                <w:b w:val="0"/>
                <w:sz w:val="18"/>
              </w:rPr>
              <w:t xml:space="preserve"> becomes zero.</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31 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Final check completes and simulation ends.</w:t>
            </w:r>
          </w:p>
        </w:tc>
      </w:tr>
    </w:tbl>
    <w:p>
      <w:pPr>
        <w:spacing w:after="0"/>
      </w:pPr>
    </w:p>
    <w:p>
      <w:pPr/>
      <w:r>
        <w:t>Write down the first time observed behavior differs from expected behavior. Then return to the source driving or sampling that signal. A waveform file existing proves only that recording worked; the test's checks and these transitions establish the example's behavior.</w:t>
      </w:r>
    </w:p>
    <w:p>
      <w:pPr/>
      <w:r>
        <w:t xml:space="preserve">Save the signal arrangement with nWave File, Save Signal. Give the file a descriptive </w:t>
      </w:r>
      <w:r>
        <w:rPr>
          <w:rFonts w:ascii="Courier New" w:hAnsi="Courier New"/>
          <w:sz w:val="18"/>
        </w:rPr>
        <w:t>.rc</w:t>
      </w:r>
      <w:r>
        <w:t xml:space="preserve"> name in the run directory. Use File, Restore Signal to load that arrangement in a later session with the matching FSDB. This saves a view configuration, not new simulation results. For readable screenshots, enlarge Monospaced Font under Tools, Preferences, General, Appearance.</w:t>
      </w:r>
    </w:p>
    <w:p>
      <w:r>
        <w:br w:type="page"/>
      </w:r>
    </w:p>
    <w:p>
      <w:pPr>
        <w:pStyle w:val="Heading1"/>
      </w:pPr>
      <w:r>
        <w:t>Investigate the deliberately failing run</w:t>
      </w:r>
    </w:p>
    <w:p>
      <w:pPr/>
      <w:r>
        <w:t xml:space="preserve">The runner invokes the simulation again with </w:t>
      </w:r>
      <w:r>
        <w:rPr>
          <w:rFonts w:ascii="Courier New" w:hAnsi="Courier New"/>
          <w:sz w:val="18"/>
        </w:rPr>
        <w:t>+INJECT_FAILURE</w:t>
      </w:r>
      <w:r>
        <w:t xml:space="preserve"> in a separate </w:t>
      </w:r>
      <w:r>
        <w:rPr>
          <w:rFonts w:ascii="Courier New" w:hAnsi="Courier New"/>
          <w:sz w:val="18"/>
        </w:rPr>
        <w:t>negative/</w:t>
      </w:r>
      <w:r>
        <w:t xml:space="preserve"> directory. At 11 ns, the test forces the register output to zero. The expected one is therefore missing at the 21 ns check.</w:t>
      </w:r>
    </w:p>
    <w:p>
      <w:pPr>
        <w:pStyle w:val="Code"/>
        <w:keepLines/>
        <w:spacing w:after="160"/>
      </w:pPr>
      <w:r>
        <w:t>cat negative/expected_failure.log</w:t>
        <w:br/>
        <w:t>verdi -ssf negative/smoke.fsdb</w:t>
      </w:r>
    </w:p>
    <w:p>
      <w:pPr>
        <w:keepNext/>
        <w:spacing w:after="60"/>
        <w:jc w:val="center"/>
      </w:pPr>
      <w:r>
        <w:drawing>
          <wp:inline xmlns:a="http://schemas.openxmlformats.org/drawingml/2006/main" xmlns:pic="http://schemas.openxmlformats.org/drawingml/2006/picture">
            <wp:extent cx="5943600" cy="2173659"/>
            <wp:docPr id="6" name="Picture 6"/>
            <wp:cNvGraphicFramePr>
              <a:graphicFrameLocks noChangeAspect="1"/>
            </wp:cNvGraphicFramePr>
            <a:graphic>
              <a:graphicData uri="http://schemas.openxmlformats.org/drawingml/2006/picture">
                <pic:pic>
                  <pic:nvPicPr>
                    <pic:cNvPr id="0" name="v2-failure.png"/>
                    <pic:cNvPicPr/>
                  </pic:nvPicPr>
                  <pic:blipFill>
                    <a:blip r:embed="rId20"/>
                    <a:srcRect l="0" t="7818" r="970" b="35687"/>
                    <a:stretch>
                      <a:fillRect/>
                    </a:stretch>
                  </pic:blipFill>
                  <pic:spPr>
                    <a:xfrm>
                      <a:off x="0" y="0"/>
                      <a:ext cx="5943600" cy="2173659"/>
                    </a:xfrm>
                    <a:prstGeom prst="rect"/>
                  </pic:spPr>
                </pic:pic>
              </a:graphicData>
            </a:graphic>
          </wp:inline>
        </w:drawing>
      </w:r>
    </w:p>
    <w:p>
      <w:pPr>
        <w:spacing w:after="160"/>
      </w:pPr>
      <w:r>
        <w:rPr>
          <w:i/>
          <w:sz w:val="18"/>
        </w:rPr>
        <w:t>The captured failing run stops at 21000 ps with the data failed diagnostic.</w:t>
      </w:r>
    </w:p>
    <w:p>
      <w:pPr/>
      <w:r>
        <w:t xml:space="preserve">In the failing waveform, add the same four signals. Confirm that </w:t>
      </w:r>
      <w:r>
        <w:rPr>
          <w:rFonts w:ascii="Courier New" w:hAnsi="Courier New"/>
          <w:sz w:val="18"/>
        </w:rPr>
        <w:t>d</w:t>
      </w:r>
      <w:r>
        <w:t xml:space="preserve"> becomes one but </w:t>
      </w:r>
      <w:r>
        <w:rPr>
          <w:rFonts w:ascii="Courier New" w:hAnsi="Courier New"/>
          <w:sz w:val="18"/>
        </w:rPr>
        <w:t>q</w:t>
      </w:r>
      <w:r>
        <w:t xml:space="preserve"> stays zero, then locate the failed check at 21 ns in the source. Compare against the passing run at 15 ns and 21 ns. A separate viewer is useful for comparing the two results; close each viewer when finished.</w:t>
      </w:r>
    </w:p>
    <w:p>
      <w:pPr/>
      <w:r>
        <w:t xml:space="preserve">On the tested installation, VCS returned raw exit code zero even for this fatal diagnostic. The runner therefore requires the positive pass marker, rejects unexpected error or fatal diagnostics, and separately verifies that the deliberate failure reports </w:t>
      </w:r>
      <w:r>
        <w:rPr>
          <w:rFonts w:ascii="Courier New" w:hAnsi="Courier New"/>
          <w:sz w:val="18"/>
        </w:rPr>
        <w:t>data failed</w:t>
      </w:r>
      <w:r>
        <w:t xml:space="preserve"> without the pass marker. Do not use exit zero as the only test verdict.</w:t>
      </w:r>
    </w:p>
    <w:p>
      <w:pPr>
        <w:pStyle w:val="Heading1"/>
      </w:pPr>
      <w:r>
        <w:t>Preserve both sides of the comparison</w:t>
      </w:r>
    </w:p>
    <w:p>
      <w:pPr/>
      <w:r>
        <w:t>Keep the passing and failing logs and waveforms in their separate directories. Record the expected failure text and time. When adapting this pattern, inject a fault that violates a specific requirement and confirm that the intended checker catches it. A crash during compilation is not evidence that a behavioral checker works.</w:t>
      </w:r>
    </w:p>
    <w:p>
      <w:r>
        <w:br w:type="page"/>
      </w:r>
    </w:p>
    <w:p>
      <w:pPr>
        <w:pStyle w:val="Heading1"/>
      </w:pPr>
      <w:r>
        <w:t>Inspect coverage in the GUI</w:t>
      </w:r>
    </w:p>
    <w:p>
      <w:pPr/>
      <w:r>
        <w:t xml:space="preserve">In the CAE desktop file manager, open the passing run's </w:t>
      </w:r>
      <w:r>
        <w:rPr>
          <w:rFonts w:ascii="Courier New" w:hAnsi="Courier New"/>
          <w:sz w:val="18"/>
        </w:rPr>
        <w:t>coverage_report</w:t>
      </w:r>
      <w:r>
        <w:t xml:space="preserve"> folder and open </w:t>
      </w:r>
      <w:r>
        <w:rPr>
          <w:rFonts w:ascii="Courier New" w:hAnsi="Courier New"/>
          <w:sz w:val="18"/>
        </w:rPr>
        <w:t>dashboard.html</w:t>
      </w:r>
      <w:r>
        <w:t xml:space="preserve"> with Firefox. Alternatively, in a CAE host terminal, run </w:t>
      </w:r>
      <w:r>
        <w:rPr>
          <w:rFonts w:ascii="Courier New" w:hAnsi="Courier New"/>
          <w:sz w:val="18"/>
        </w:rPr>
        <w:t>firefox /absolute/path/to/coverage_report/dashboard.html</w:t>
      </w:r>
      <w:r>
        <w:t>. This browser runs on CAE; the file is not on your laptop.</w:t>
      </w:r>
    </w:p>
    <w:p>
      <w:pPr>
        <w:keepNext/>
        <w:spacing w:after="60"/>
        <w:jc w:val="center"/>
      </w:pPr>
      <w:r>
        <w:drawing>
          <wp:inline xmlns:a="http://schemas.openxmlformats.org/drawingml/2006/main" xmlns:pic="http://schemas.openxmlformats.org/drawingml/2006/picture">
            <wp:extent cx="5943600" cy="3339371"/>
            <wp:docPr id="7" name="Picture 7"/>
            <wp:cNvGraphicFramePr>
              <a:graphicFrameLocks noChangeAspect="1"/>
            </wp:cNvGraphicFramePr>
            <a:graphic>
              <a:graphicData uri="http://schemas.openxmlformats.org/drawingml/2006/picture">
                <pic:pic>
                  <pic:nvPicPr>
                    <pic:cNvPr id="0" name="v2-coverage.png"/>
                    <pic:cNvPicPr/>
                  </pic:nvPicPr>
                  <pic:blipFill>
                    <a:blip r:embed="rId21"/>
                    <a:srcRect l="0" t="11980" r="0" b="378"/>
                    <a:stretch>
                      <a:fillRect/>
                    </a:stretch>
                  </pic:blipFill>
                  <pic:spPr>
                    <a:xfrm>
                      <a:off x="0" y="0"/>
                      <a:ext cx="5943600" cy="3339371"/>
                    </a:xfrm>
                    <a:prstGeom prst="rect"/>
                  </pic:spPr>
                </pic:pic>
              </a:graphicData>
            </a:graphic>
          </wp:inline>
        </w:drawing>
      </w:r>
    </w:p>
    <w:p>
      <w:pPr>
        <w:spacing w:after="160"/>
      </w:pPr>
      <w:r>
        <w:rPr>
          <w:i/>
          <w:sz w:val="18"/>
        </w:rPr>
        <w:t>URG's DUT page shows source coverage and the missing reset toggle.</w:t>
      </w:r>
    </w:p>
    <w:p>
      <w:pPr>
        <w:spacing w:after="80"/>
        <w:ind w:left="288" w:hanging="288"/>
      </w:pPr>
      <w:r>
        <w:t>1. On the dashboard, check the run date, tool version, command line, and test count. This example report contains one passing test; the deliberately failing run is separate.</w:t>
      </w:r>
    </w:p>
    <w:p>
      <w:pPr>
        <w:spacing w:after="80"/>
        <w:ind w:left="288" w:hanging="288"/>
      </w:pPr>
      <w:r>
        <w:t xml:space="preserve">2. Click hierarchy at the top. Expand </w:t>
      </w:r>
      <w:r>
        <w:rPr>
          <w:rFonts w:ascii="Courier New" w:hAnsi="Courier New"/>
          <w:sz w:val="18"/>
        </w:rPr>
        <w:t>tb</w:t>
      </w:r>
      <w:r>
        <w:t xml:space="preserve"> if necessary, then click its </w:t>
      </w:r>
      <w:r>
        <w:rPr>
          <w:rFonts w:ascii="Courier New" w:hAnsi="Courier New"/>
          <w:sz w:val="18"/>
        </w:rPr>
        <w:t>dut</w:t>
      </w:r>
      <w:r>
        <w:t xml:space="preserve"> child. The module page should identify </w:t>
      </w:r>
      <w:r>
        <w:rPr>
          <w:rFonts w:ascii="Courier New" w:hAnsi="Courier New"/>
          <w:sz w:val="18"/>
        </w:rPr>
        <w:t>sb_flop</w:t>
      </w:r>
      <w:r>
        <w:t xml:space="preserve"> and the instance </w:t>
      </w:r>
      <w:r>
        <w:rPr>
          <w:rFonts w:ascii="Courier New" w:hAnsi="Courier New"/>
          <w:sz w:val="18"/>
        </w:rPr>
        <w:t>tb.dut</w:t>
      </w:r>
      <w:r>
        <w:t>.</w:t>
      </w:r>
    </w:p>
    <w:p>
      <w:pPr>
        <w:spacing w:after="80"/>
        <w:ind w:left="288" w:hanging="288"/>
      </w:pPr>
      <w:r>
        <w:t>3. Inspect Line and Branch. The tested DUT shows 100% for both. Match the covered source statements to the reset and data paths in the RTL.</w:t>
      </w:r>
    </w:p>
    <w:p>
      <w:pPr>
        <w:spacing w:after="80"/>
        <w:ind w:left="288" w:hanging="288"/>
      </w:pPr>
      <w:r>
        <w:t xml:space="preserve">4. Inspect Toggle and its Port Details table. The DUT reports 87.5% toggle coverage. </w:t>
      </w:r>
      <w:r>
        <w:rPr>
          <w:rFonts w:ascii="Courier New" w:hAnsi="Courier New"/>
          <w:sz w:val="18"/>
        </w:rPr>
        <w:t>rst</w:t>
      </w:r>
      <w:r>
        <w:t xml:space="preserve"> has a falling transition but no rising transition because the test starts in reset and never reasserts it.</w:t>
      </w:r>
    </w:p>
    <w:p>
      <w:pPr>
        <w:spacing w:after="80"/>
        <w:ind w:left="288" w:hanging="288"/>
      </w:pPr>
      <w:r>
        <w:t>5. Compare the DUT with the dashboard totals. The totals also include testbench and imported UVM code. Always record the measured scope and metric with a percentage.</w:t>
      </w:r>
    </w:p>
    <w:p>
      <w:pPr/>
      <w:r>
        <w:t>As a follow-on exercise, reassert reset after capturing data, check the resulting output at the appropriate clock edge, and regenerate the report in a fresh run. Confirm both the new behavior and the previously missing transition. Increasing coverage without a meaningful check is not sufficient.</w:t>
      </w:r>
    </w:p>
    <w:p>
      <w:pPr/>
      <w:r>
        <w:t>Condition and assertion coverage do not have meaningful DUT targets in this tiny example. High code coverage does not establish arithmetic correctness, protocol behavior, corner cases, or interactions between units. The project test plan must connect requirements to stimulus, checks, and suitable coverage goals.</w:t>
      </w:r>
    </w:p>
    <w:p>
      <w:r>
        <w:br w:type="page"/>
      </w:r>
    </w:p>
    <w:p>
      <w:pPr>
        <w:pStyle w:val="Heading1"/>
      </w:pPr>
      <w:r>
        <w:t>Turn the exercise into verification infrastructure</w:t>
      </w:r>
    </w:p>
    <w:p>
      <w:pPr/>
      <w:r>
        <w:t>For each project layer, specify the behavior to verify, reference model or expected result, stimulus, checks, coverage, and reproducible command. Decide where C++, SystemVerilog, UVM, or another method fits the layer. The availability of a UVM package does not by itself choose the methodology.</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What a runnable test should retain</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Why it is needed</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Source revision and source manifest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Identifies the exact implementation and test compiled.</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Tool version and full commands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Makes setup and build differences diagnosable.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Seed and configuration when applicable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Reproduces randomized or configurable behavior.</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Timeout and explicit verdict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Distinguishes a hang, a crash, and a failed check.</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Logs, waveform, and coverage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Preserves evidence for debugging and review.</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Known failing case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Shows that the checker rejects incorrect behavior.</w:t>
            </w:r>
          </w:p>
        </w:tc>
      </w:tr>
    </w:tbl>
    <w:p>
      <w:pPr>
        <w:spacing w:after="0"/>
      </w:pPr>
    </w:p>
    <w:p>
      <w:pPr>
        <w:pStyle w:val="Heading1"/>
      </w:pPr>
      <w:r>
        <w:t>Troubleshoot in a consistent order</w:t>
      </w:r>
    </w:p>
    <w:p>
      <w:pPr/>
      <w:r>
        <w:t>If compilation fails, read the first relevant error before investigating later errors that may be consequences. Check the top module, source list, package and include order, and SystemVerilog flags. If simulation starts but no pass marker appears, inspect where it stops and whether the expected checker ran. If the GUI is blank, check the selected FSDB, scope, signal list, and matching build directory.</w:t>
      </w:r>
    </w:p>
    <w:p>
      <w:pPr/>
      <w:r>
        <w:t>If a tool prints only a CAE launcher warning, return to the host shell and load the module before entering the container. For a license failure, retain the exact diagnostic and tool version. For an unresponsive GUI, first allow startup or loading to complete; do not repeatedly start duplicate copies that each consume resources.</w:t>
      </w:r>
    </w:p>
    <w:p>
      <w:pPr>
        <w:pStyle w:val="Heading1"/>
      </w:pPr>
      <w:r>
        <w:t>Completion check</w:t>
      </w:r>
    </w:p>
    <w:p>
      <w:pPr/>
      <w:r>
        <w:t>Complete the passing and deliberately failing runs, explain the waveform at each expected edge, identify at least one coverage limitation, and show another teammate how to reproduce the run from its command and source revision. The team's project deliverables remain the architecture-based test plan, per-layer methodology proposal, and hardened runnable verification scaffolding.</w:t>
      </w:r>
    </w:p>
    <w:p>
      <w:pPr/>
      <w:r>
        <w:t xml:space="preserve">Tested on CAE with VCS Y-2026.03_Full64, Verdi Y-2026.03, and URG Y-2026.03. Setup reference: </w:t>
      </w:r>
      <w:hyperlink r:id="rId22">
        <w:r>
          <w:rPr>
            <w:color w:val="0563C1"/>
            <w:u w:val="single"/>
          </w:rPr>
          <w:t>https://kb.wisc.edu/cae-software-guide</w:t>
        </w:r>
      </w:hyperlink>
      <w:r/>
    </w:p>
    <w:p>
      <w:pPr/>
      <w:r>
        <w:t xml:space="preserve">Verdi overview: </w:t>
      </w:r>
      <w:hyperlink r:id="rId23">
        <w:r>
          <w:rPr>
            <w:color w:val="0563C1"/>
            <w:u w:val="single"/>
          </w:rPr>
          <w:t>https://www.synopsys.com/verification/debug/verdi.html</w:t>
        </w:r>
      </w:hyperlink>
      <w:r/>
    </w:p>
    <w:sectPr w:rsidR="00FC693F" w:rsidRPr="0006063C" w:rsidSect="00034616">
      <w:headerReference w:type="default" r:id="rId9"/>
      <w:footerReference w:type="default" r:id="rId10"/>
      <w:pgSz w:w="12240" w:h="15840"/>
      <w:pgMar w:top="835" w:right="1080" w:bottom="835"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ABHINAV NANDWANI  /  CAE LAB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pPr>
    <w:rPr>
      <w:rFonts w:ascii="Courier New" w:hAnsi="Courier New"/>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uacamole.cae.wisc.edu" TargetMode="External"/><Relationship Id="rId12" Type="http://schemas.openxmlformats.org/officeDocument/2006/relationships/image" Target="media/image1.png"/><Relationship Id="rId13" Type="http://schemas.openxmlformats.org/officeDocument/2006/relationships/hyperlink" Target="https://kb.wisc.edu/cae/163323" TargetMode="External"/><Relationship Id="rId14" Type="http://schemas.openxmlformats.org/officeDocument/2006/relationships/image" Target="media/image2.png"/><Relationship Id="rId15" Type="http://schemas.openxmlformats.org/officeDocument/2006/relationships/hyperlink" Target="https://github.com/abhinavnandwani/cae-synopsys-guides.git" TargetMode="External"/><Relationship Id="rId16" Type="http://schemas.openxmlformats.org/officeDocument/2006/relationships/hyperlink" Target="https://kb.wisc.edu/moodle/162780"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kb.wisc.edu/cae-software-guide" TargetMode="External"/><Relationship Id="rId23" Type="http://schemas.openxmlformats.org/officeDocument/2006/relationships/hyperlink" Target="https://www.synopsys.com/verification/debug/verd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on CAE</dc:title>
  <dc:subject>CAE Synopsys terminal and GUI guide</dc:subject>
  <dc:creator>Abhinav Nandwani</dc:creator>
  <cp:keywords>CAE, Synopsys, Abhinav Nandwani</cp:keywords>
  <dc:description>generated by python-docx</dc:description>
  <cp:lastModifiedBy>Abhinav Nandwani</cp:lastModifiedBy>
  <cp:revision>1</cp:revision>
  <dcterms:created xsi:type="dcterms:W3CDTF">2013-12-23T23:15:00Z</dcterms:created>
  <dcterms:modified xsi:type="dcterms:W3CDTF">2013-12-23T23:15:00Z</dcterms:modified>
  <cp:category/>
</cp:coreProperties>
</file>