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RTL Development on CAE</w:t>
      </w:r>
    </w:p>
    <w:p>
      <w:pPr/>
      <w:r>
        <w:rPr>
          <w:color w:val="505050"/>
          <w:sz w:val="18"/>
        </w:rPr>
        <w:t>By Abhinav Nandwani</w:t>
      </w:r>
    </w:p>
    <w:p>
      <w:pPr/>
      <w:r>
        <w:t>Use this guide to inspect and simulate RTL, debug its behavior in Verdi, run a synthesis sanity check, and inspect the resulting schematic in Design Vision. The small register makes the entire loop observable.</w:t>
      </w:r>
    </w:p>
    <w:p>
      <w:pPr>
        <w:pStyle w:val="Heading1"/>
      </w:pPr>
      <w:r>
        <w:t>Sign in to Guacamole</w:t>
      </w:r>
    </w:p>
    <w:p>
      <w:pPr/>
      <w:r>
        <w:t>Guacamole displays a CAE Linux desktop in your browser. The tools run on the CAE machine. Use your own UW NetID and confirm that your account can reach CAE Linux services before the lab.</w:t>
      </w:r>
    </w:p>
    <w:p>
      <w:pPr>
        <w:spacing w:after="80"/>
        <w:ind w:left="288" w:hanging="288"/>
      </w:pPr>
      <w:r>
        <w:t xml:space="preserve">1. On your laptop, open </w:t>
      </w:r>
      <w:hyperlink r:id="rId11">
        <w:r>
          <w:rPr>
            <w:color w:val="0563C1"/>
            <w:u w:val="single"/>
          </w:rPr>
          <w:t>https://guacamole.cae.wisc.edu</w:t>
        </w:r>
      </w:hyperlink>
      <w:r>
        <w:t xml:space="preserve"> in a browser.</w:t>
      </w:r>
    </w:p>
    <w:p>
      <w:pPr>
        <w:spacing w:after="80"/>
        <w:ind w:left="288" w:hanging="288"/>
      </w:pPr>
      <w:r>
        <w:t>2. Complete the UW web sign-in with your NetID and password, then complete MFA if requested.</w:t>
      </w:r>
    </w:p>
    <w:p>
      <w:pPr>
        <w:spacing w:after="80"/>
        <w:ind w:left="288" w:hanging="288"/>
      </w:pPr>
      <w:r>
        <w:t>3. At the Linux login screen, enter your UW NetID and password again. Use your NetID credentials at this second prompt too. The old separate CAE username and password are not the instructions for this service.</w:t>
      </w:r>
    </w:p>
    <w:p>
      <w:pPr>
        <w:spacing w:after="80"/>
        <w:ind w:left="288" w:hanging="288"/>
      </w:pPr>
      <w:r>
        <w:t>4. Wait for the Linux desktop. Open Apps in the upper-left corner and choose Terminal under Favorites. Maximize the terminal by double-clicking its title bar.</w:t>
      </w:r>
    </w:p>
    <w:p>
      <w:pPr>
        <w:spacing w:after="80"/>
        <w:ind w:left="288" w:hanging="288"/>
      </w:pPr>
      <w:r>
        <w:t>5. Keep the Guacamole tab open. A terminal inside this desktop is already on CAE; do not SSH back into CAE from it.</w:t>
      </w:r>
    </w:p>
    <w:p>
      <w:pPr>
        <w:keepNext/>
        <w:spacing w:after="60"/>
        <w:jc w:val="center"/>
      </w:pPr>
      <w:r>
        <w:drawing>
          <wp:inline xmlns:a="http://schemas.openxmlformats.org/drawingml/2006/main" xmlns:pic="http://schemas.openxmlformats.org/drawingml/2006/picture">
            <wp:extent cx="2743200" cy="1734854"/>
            <wp:docPr id="1" name="Picture 1"/>
            <wp:cNvGraphicFramePr>
              <a:graphicFrameLocks noChangeAspect="1"/>
            </wp:cNvGraphicFramePr>
            <a:graphic>
              <a:graphicData uri="http://schemas.openxmlformats.org/drawingml/2006/picture">
                <pic:pic>
                  <pic:nvPicPr>
                    <pic:cNvPr id="0" name="02-apps-terminal.png"/>
                    <pic:cNvPicPr/>
                  </pic:nvPicPr>
                  <pic:blipFill>
                    <a:blip r:embed="rId12"/>
                    <a:srcRect l="0" t="0" r="64592" b="65069"/>
                    <a:stretch>
                      <a:fillRect/>
                    </a:stretch>
                  </pic:blipFill>
                  <pic:spPr>
                    <a:xfrm>
                      <a:off x="0" y="0"/>
                      <a:ext cx="2743200" cy="1734854"/>
                    </a:xfrm>
                    <a:prstGeom prst="rect"/>
                  </pic:spPr>
                </pic:pic>
              </a:graphicData>
            </a:graphic>
          </wp:inline>
        </w:drawing>
      </w:r>
    </w:p>
    <w:p>
      <w:pPr>
        <w:spacing w:after="160"/>
      </w:pPr>
      <w:r>
        <w:rPr>
          <w:i/>
          <w:sz w:val="18"/>
        </w:rPr>
        <w:t>Open Terminal from the CAE Apps menu.</w:t>
      </w:r>
    </w:p>
    <w:p>
      <w:pPr/>
      <w:r>
        <w:t>If you already have an active session, the browser may reconnect without showing every login screen. If sign-in fails, record which prompt failed: UW web sign-in, MFA, or the Linux desktop login. These are different stages.</w:t>
      </w:r>
    </w:p>
    <w:p>
      <w:pPr/>
      <w:r>
        <w:t xml:space="preserve">More help with Guacamole sign-in, including CAE's official instructions and screenshots: </w:t>
      </w:r>
      <w:hyperlink r:id="rId13">
        <w:r>
          <w:rPr>
            <w:color w:val="0563C1"/>
            <w:u w:val="single"/>
          </w:rPr>
          <w:t>https://kb.wisc.edu/cae/163323</w:t>
        </w:r>
      </w:hyperlink>
      <w:r/>
    </w:p>
    <w:p>
      <w:r>
        <w:br w:type="page"/>
      </w:r>
    </w:p>
    <w:p>
      <w:pPr>
        <w:pStyle w:val="Heading1"/>
      </w:pPr>
      <w:r>
        <w:t>Enter the Synopsys environment</w:t>
      </w:r>
    </w:p>
    <w:p>
      <w:pPr/>
      <w:r>
        <w:t xml:space="preserve">Run these commands in the CAE terminal, one line at a time. Do not type a prompt such as </w:t>
      </w:r>
      <w:r>
        <w:rPr>
          <w:rFonts w:ascii="Courier New" w:hAnsi="Courier New"/>
          <w:sz w:val="18"/>
        </w:rPr>
        <w:t>$</w:t>
      </w:r>
      <w:r>
        <w:t xml:space="preserve"> or </w:t>
      </w:r>
      <w:r>
        <w:rPr>
          <w:rFonts w:ascii="Courier New" w:hAnsi="Courier New"/>
          <w:sz w:val="18"/>
        </w:rPr>
        <w:t>synopsys&gt;</w:t>
      </w:r>
      <w:r>
        <w:t xml:space="preserve"> before a command.</w:t>
      </w:r>
    </w:p>
    <w:p>
      <w:pPr>
        <w:pStyle w:val="Code"/>
        <w:keepLines/>
        <w:spacing w:after="160"/>
      </w:pPr>
      <w:r>
        <w:t>module load synopsys/suite</w:t>
        <w:br/>
        <w:t>synopsys-run</w:t>
        <w:br/>
        <w:t>command -v vcs dc_shell verdi icc2_shell pt_shell</w:t>
      </w:r>
    </w:p>
    <w:p>
      <w:pPr/>
      <w:r>
        <w:t xml:space="preserve">The prompt becomes </w:t>
      </w:r>
      <w:r>
        <w:rPr>
          <w:rFonts w:ascii="Courier New" w:hAnsi="Courier New"/>
          <w:sz w:val="18"/>
        </w:rPr>
        <w:t>synopsys&gt;</w:t>
      </w:r>
      <w:r>
        <w:t>. The module selects the site setup; the container provides the operating environment expected by the tools. Load the module before entering the container and repeat this setup for every new terminal used for Synopsys tools.</w:t>
      </w:r>
    </w:p>
    <w:p>
      <w:pPr>
        <w:keepNext/>
        <w:spacing w:after="60"/>
        <w:jc w:val="center"/>
      </w:pPr>
      <w:r>
        <w:drawing>
          <wp:inline xmlns:a="http://schemas.openxmlformats.org/drawingml/2006/main" xmlns:pic="http://schemas.openxmlformats.org/drawingml/2006/picture">
            <wp:extent cx="5943600" cy="1334148"/>
            <wp:docPr id="2" name="Picture 2"/>
            <wp:cNvGraphicFramePr>
              <a:graphicFrameLocks noChangeAspect="1"/>
            </wp:cNvGraphicFramePr>
            <a:graphic>
              <a:graphicData uri="http://schemas.openxmlformats.org/drawingml/2006/picture">
                <pic:pic>
                  <pic:nvPicPr>
                    <pic:cNvPr id="0" name="v2-environment.png"/>
                    <pic:cNvPicPr/>
                  </pic:nvPicPr>
                  <pic:blipFill>
                    <a:blip r:embed="rId14"/>
                    <a:srcRect l="0" t="7818" r="24010" b="65574"/>
                    <a:stretch>
                      <a:fillRect/>
                    </a:stretch>
                  </pic:blipFill>
                  <pic:spPr>
                    <a:xfrm>
                      <a:off x="0" y="0"/>
                      <a:ext cx="5943600" cy="1334148"/>
                    </a:xfrm>
                    <a:prstGeom prst="rect"/>
                  </pic:spPr>
                </pic:pic>
              </a:graphicData>
            </a:graphic>
          </wp:inline>
        </w:drawing>
      </w:r>
    </w:p>
    <w:p>
      <w:pPr>
        <w:spacing w:after="160"/>
      </w:pPr>
      <w:r>
        <w:rPr>
          <w:i/>
          <w:sz w:val="18"/>
        </w:rPr>
        <w:t>Tool paths inside the working CAE Synopsys container.</w:t>
      </w:r>
    </w:p>
    <w:p>
      <w:pPr>
        <w:pStyle w:val="Heading1"/>
      </w:pPr>
      <w:r>
        <w:t>Companion code</w:t>
      </w:r>
    </w:p>
    <w:p>
      <w:pPr/>
      <w:r>
        <w:t xml:space="preserve">RTL: </w:t>
      </w:r>
      <w:hyperlink r:id="rId15">
        <w:r>
          <w:rPr>
            <w:color w:val="0563C1"/>
            <w:u w:val="single"/>
          </w:rPr>
          <w:t>https://github.com/abhinavnandwani/cae-synopsys-guides/blob/main/lab/rtl/sb_flop.v</w:t>
        </w:r>
      </w:hyperlink>
      <w:r/>
    </w:p>
    <w:p>
      <w:pPr/>
      <w:r>
        <w:t xml:space="preserve">Testbench: </w:t>
      </w:r>
      <w:hyperlink r:id="rId16">
        <w:r>
          <w:rPr>
            <w:color w:val="0563C1"/>
            <w:u w:val="single"/>
          </w:rPr>
          <w:t>https://github.com/abhinavnandwani/cae-synopsys-guides/blob/main/lab/tb/tb.sv</w:t>
        </w:r>
      </w:hyperlink>
      <w:r/>
    </w:p>
    <w:p>
      <w:pPr/>
      <w:r>
        <w:t xml:space="preserve">Runner: </w:t>
      </w:r>
      <w:hyperlink r:id="rId17">
        <w:r>
          <w:rPr>
            <w:color w:val="0563C1"/>
            <w:u w:val="single"/>
          </w:rPr>
          <w:t>https://github.com/abhinavnandwani/cae-synopsys-guides/blob/main/lab/run_lab.py</w:t>
        </w:r>
      </w:hyperlink>
      <w:r/>
    </w:p>
    <w:p>
      <w:pPr/>
      <w:r>
        <w:t xml:space="preserve">Synthesis script: </w:t>
      </w:r>
      <w:hyperlink r:id="rId18">
        <w:r>
          <w:rPr>
            <w:color w:val="0563C1"/>
            <w:u w:val="single"/>
          </w:rPr>
          <w:t>https://github.com/abhinavnandwani/cae-synopsys-guides/blob/main/lab/synth/run.tcl</w:t>
        </w:r>
      </w:hyperlink>
      <w:r/>
    </w:p>
    <w:p>
      <w:pPr/>
      <w:r>
        <w:t xml:space="preserve">Commands below use </w:t>
      </w:r>
      <w:r>
        <w:rPr>
          <w:rFonts w:ascii="Courier New" w:hAnsi="Courier New"/>
          <w:sz w:val="18"/>
        </w:rPr>
        <w:t>~/cae-synopsys-guides/lab</w:t>
      </w:r>
      <w:r>
        <w:t xml:space="preserve"> as the exercise directory. The recorded screenshots show the original dated demonstration folder.</w:t>
      </w:r>
    </w:p>
    <w:p>
      <w:r>
        <w:br w:type="page"/>
      </w:r>
    </w:p>
    <w:p>
      <w:pPr>
        <w:pStyle w:val="Heading1"/>
      </w:pPr>
      <w:r>
        <w:t>Work confidently in the terminal</w:t>
      </w:r>
    </w:p>
    <w:p>
      <w:pPr/>
      <w:r>
        <w:t xml:space="preserve">The current directory affects relative paths. </w:t>
      </w:r>
      <w:r>
        <w:rPr>
          <w:rFonts w:ascii="Courier New" w:hAnsi="Courier New"/>
          <w:sz w:val="18"/>
        </w:rPr>
        <w:t>pwd</w:t>
      </w:r>
      <w:r>
        <w:t xml:space="preserve"> prints it, </w:t>
      </w:r>
      <w:r>
        <w:rPr>
          <w:rFonts w:ascii="Courier New" w:hAnsi="Courier New"/>
          <w:sz w:val="18"/>
        </w:rPr>
        <w:t>ls</w:t>
      </w:r>
      <w:r>
        <w:t xml:space="preserve"> lists files, </w:t>
      </w:r>
      <w:r>
        <w:rPr>
          <w:rFonts w:ascii="Courier New" w:hAnsi="Courier New"/>
          <w:sz w:val="18"/>
        </w:rPr>
        <w:t>cd ..</w:t>
      </w:r>
      <w:r>
        <w:t xml:space="preserve"> moves to the parent, and </w:t>
      </w:r>
      <w:r>
        <w:rPr>
          <w:rFonts w:ascii="Courier New" w:hAnsi="Courier New"/>
          <w:sz w:val="18"/>
        </w:rPr>
        <w:t>cd ~/cae-synopsys-guides/lab</w:t>
      </w:r>
      <w:r>
        <w:t xml:space="preserve"> returns to the exercise. A leading </w:t>
      </w:r>
      <w:r>
        <w:rPr>
          <w:rFonts w:ascii="Courier New" w:hAnsi="Courier New"/>
          <w:sz w:val="18"/>
        </w:rPr>
        <w:t>/</w:t>
      </w:r>
      <w:r>
        <w:t xml:space="preserve"> means an absolute path; </w:t>
      </w:r>
      <w:r>
        <w:rPr>
          <w:rFonts w:ascii="Courier New" w:hAnsi="Courier New"/>
          <w:sz w:val="18"/>
        </w:rPr>
        <w:t>~</w:t>
      </w:r>
      <w:r>
        <w:t xml:space="preserve"> means your home directory. Quote paths containing spaces.</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Prompt or location</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Commands that belong there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Laptop Terminal or PowerShell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ssh</w:t>
            </w:r>
            <w:r>
              <w:rPr>
                <w:b w:val="0"/>
                <w:sz w:val="18"/>
              </w:rPr>
              <w:t xml:space="preserve"> to reach the CAE host shell.</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CAE host shell</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r>
            <w:r>
              <w:rPr>
                <w:rFonts w:ascii="Courier New" w:hAnsi="Courier New"/>
                <w:b w:val="0"/>
                <w:sz w:val="18"/>
              </w:rPr>
              <w:t>module load synopsys/suite</w:t>
            </w:r>
            <w:r>
              <w:rPr>
                <w:b w:val="0"/>
                <w:sz w:val="18"/>
              </w:rPr>
              <w:t xml:space="preserve">, then </w:t>
            </w:r>
            <w:r>
              <w:rPr>
                <w:rFonts w:ascii="Courier New" w:hAnsi="Courier New"/>
                <w:b w:val="0"/>
                <w:sz w:val="18"/>
              </w:rPr>
              <w:t>synopsys-run</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Container </w:t>
            </w:r>
            <w:r>
              <w:rPr>
                <w:rFonts w:ascii="Courier New" w:hAnsi="Courier New"/>
                <w:b w:val="0"/>
                <w:sz w:val="18"/>
              </w:rPr>
              <w:t>synopsys&gt;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Linux commands, </w:t>
            </w:r>
            <w:r>
              <w:rPr>
                <w:rFonts w:ascii="Courier New" w:hAnsi="Courier New"/>
                <w:b w:val="0"/>
                <w:sz w:val="18"/>
              </w:rPr>
              <w:t>python3 run_lab.py</w:t>
            </w:r>
            <w:r>
              <w:rPr>
                <w:b w:val="0"/>
                <w:sz w:val="18"/>
              </w:rPr>
              <w:t xml:space="preserve">, </w:t>
            </w:r>
            <w:r>
              <w:rPr>
                <w:rFonts w:ascii="Courier New" w:hAnsi="Courier New"/>
                <w:b w:val="0"/>
                <w:sz w:val="18"/>
              </w:rPr>
              <w:t>vcs</w:t>
            </w:r>
            <w:r>
              <w:rPr>
                <w:b w:val="0"/>
                <w:sz w:val="18"/>
              </w:rPr>
              <w:t xml:space="preserve">, </w:t>
            </w:r>
            <w:r>
              <w:rPr>
                <w:rFonts w:ascii="Courier New" w:hAnsi="Courier New"/>
                <w:b w:val="0"/>
                <w:sz w:val="18"/>
              </w:rPr>
              <w:t>verdi</w:t>
            </w:r>
            <w:r>
              <w:rPr>
                <w:b w:val="0"/>
                <w:sz w:val="18"/>
              </w:rPr>
              <w:t xml:space="preserve">, </w:t>
            </w:r>
            <w:r>
              <w:rPr>
                <w:rFonts w:ascii="Courier New" w:hAnsi="Courier New"/>
                <w:b w:val="0"/>
                <w:sz w:val="18"/>
              </w:rPr>
              <w:t>dc_shell</w:t>
            </w:r>
            <w:r>
              <w:rPr>
                <w:b w:val="0"/>
                <w:sz w:val="18"/>
              </w:rPr>
              <w:t xml:space="preserve">, and </w:t>
            </w:r>
            <w:r>
              <w:rPr>
                <w:rFonts w:ascii="Courier New" w:hAnsi="Courier New"/>
                <w:b w:val="0"/>
                <w:sz w:val="18"/>
              </w:rPr>
              <w:t>icc2_shell</w:t>
            </w:r>
            <w:r>
              <w:rPr>
                <w:b w:val="0"/>
                <w:sz w:val="18"/>
              </w:rPr>
              <w:t>.</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prompt such as </w:t>
            </w:r>
            <w:r>
              <w:rPr>
                <w:rFonts w:ascii="Courier New" w:hAnsi="Courier New"/>
                <w:b w:val="0"/>
                <w:sz w:val="18"/>
              </w:rPr>
              <w:t>dc_shell&gt;</w:t>
            </w:r>
            <w:r>
              <w:rPr>
                <w:b w:val="0"/>
                <w:sz w:val="18"/>
              </w:rPr>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 xml:space="preserve">Tool Tcl commands such as </w:t>
            </w:r>
            <w:r>
              <w:rPr>
                <w:rFonts w:ascii="Courier New" w:hAnsi="Courier New"/>
                <w:b w:val="0"/>
                <w:sz w:val="18"/>
              </w:rPr>
              <w:t>read_ddc</w:t>
            </w:r>
            <w:r>
              <w:rPr>
                <w:b w:val="0"/>
                <w:sz w:val="18"/>
              </w:rPr>
              <w:t xml:space="preserve">, </w:t>
            </w:r>
            <w:r>
              <w:rPr>
                <w:rFonts w:ascii="Courier New" w:hAnsi="Courier New"/>
                <w:b w:val="0"/>
                <w:sz w:val="18"/>
              </w:rPr>
              <w:t>report_timing</w:t>
            </w:r>
            <w:r>
              <w:rPr>
                <w:b w:val="0"/>
                <w:sz w:val="18"/>
              </w:rPr>
              <w:t xml:space="preserve">, and </w:t>
            </w:r>
            <w:r>
              <w:rPr>
                <w:rFonts w:ascii="Courier New" w:hAnsi="Courier New"/>
                <w:b w:val="0"/>
                <w:sz w:val="18"/>
              </w:rPr>
              <w:t>help</w:t>
            </w:r>
            <w:r>
              <w:rPr>
                <w:b w:val="0"/>
                <w:sz w:val="18"/>
              </w:rPr>
              <w:t>.</w:t>
            </w:r>
          </w:p>
        </w:tc>
      </w:tr>
    </w:tbl>
    <w:p>
      <w:pPr>
        <w:spacing w:after="0"/>
      </w:pPr>
    </w:p>
    <w:p>
      <w:pPr/>
      <w:r>
        <w:t>Use these from the exercise folder to inspect source and logs without changing them:</w:t>
      </w:r>
    </w:p>
    <w:p>
      <w:pPr>
        <w:pStyle w:val="Code"/>
        <w:keepLines/>
        <w:spacing w:after="160"/>
      </w:pPr>
      <w:r>
        <w:t>ls -lh</w:t>
        <w:br/>
        <w:t>cat rtl/sb_flop.v</w:t>
        <w:br/>
        <w:t>sed -n '1,80p' tb/tb.sv</w:t>
        <w:br/>
        <w:t>less runs/YOUR_RUN/compile.log</w:t>
        <w:br/>
        <w:t>grep -nE 'Error|Fatal|Warning' runs/YOUR_RUN/compile.log</w:t>
        <w:br/>
        <w:t>tail -n 30 runs/YOUR_RUN/simulate.log</w:t>
      </w:r>
    </w:p>
    <w:p>
      <w:pPr/>
      <w:r>
        <w:t xml:space="preserve">Replace </w:t>
      </w:r>
      <w:r>
        <w:rPr>
          <w:rFonts w:ascii="Courier New" w:hAnsi="Courier New"/>
          <w:sz w:val="18"/>
        </w:rPr>
        <w:t>YOUR_RUN</w:t>
      </w:r>
      <w:r>
        <w:t xml:space="preserve"> with an actual directory printed by the runner. In </w:t>
      </w:r>
      <w:r>
        <w:rPr>
          <w:rFonts w:ascii="Courier New" w:hAnsi="Courier New"/>
          <w:sz w:val="18"/>
        </w:rPr>
        <w:t>less</w:t>
      </w:r>
      <w:r>
        <w:t xml:space="preserve">, use Space to advance, </w:t>
      </w:r>
      <w:r>
        <w:rPr>
          <w:rFonts w:ascii="Courier New" w:hAnsi="Courier New"/>
          <w:sz w:val="18"/>
        </w:rPr>
        <w:t>/Error</w:t>
      </w:r>
      <w:r>
        <w:t xml:space="preserve"> then Enter to search, </w:t>
      </w:r>
      <w:r>
        <w:rPr>
          <w:rFonts w:ascii="Courier New" w:hAnsi="Courier New"/>
          <w:sz w:val="18"/>
        </w:rPr>
        <w:t>n</w:t>
      </w:r>
      <w:r>
        <w:t xml:space="preserve"> for the next match, and </w:t>
      </w:r>
      <w:r>
        <w:rPr>
          <w:rFonts w:ascii="Courier New" w:hAnsi="Courier New"/>
          <w:sz w:val="18"/>
        </w:rPr>
        <w:t>q</w:t>
      </w:r>
      <w:r>
        <w:t xml:space="preserve"> to return to the shell. An Up-arrow recalls a command; Tab completes a path. Read a command before rerunning it.</w:t>
      </w:r>
    </w:p>
    <w:p>
      <w:pPr/>
      <w:r>
        <w:t xml:space="preserve">For an interactive foreground command that is stuck, Ctrl+C requests interruption. For a GUI launched with </w:t>
      </w:r>
      <w:r>
        <w:rPr>
          <w:rFonts w:ascii="Courier New" w:hAnsi="Courier New"/>
          <w:sz w:val="18"/>
        </w:rPr>
        <w:t>&amp;</w:t>
      </w:r>
      <w:r>
        <w:t xml:space="preserve">, close the application through its File menu. </w:t>
      </w:r>
      <w:r>
        <w:rPr>
          <w:rFonts w:ascii="Courier New" w:hAnsi="Courier New"/>
          <w:sz w:val="18"/>
        </w:rPr>
        <w:t>jobs</w:t>
      </w:r>
      <w:r>
        <w:t xml:space="preserve"> lists jobs started by that shell. Keep logs: </w:t>
      </w:r>
      <w:r>
        <w:rPr>
          <w:rFonts w:ascii="Courier New" w:hAnsi="Courier New"/>
          <w:sz w:val="18"/>
        </w:rPr>
        <w:t>command &gt; run.log 2&gt;&amp;1</w:t>
      </w:r>
      <w:r>
        <w:t xml:space="preserve"> sends both standard output and errors to a file. Immediately after a command, </w:t>
      </w:r>
      <w:r>
        <w:rPr>
          <w:rFonts w:ascii="Courier New" w:hAnsi="Courier New"/>
          <w:sz w:val="18"/>
        </w:rPr>
        <w:t>echo $?</w:t>
      </w:r>
      <w:r>
        <w:t xml:space="preserve"> reports its exit status, but a zero status alone does not prove the design passed.</w:t>
      </w:r>
    </w:p>
    <w:p>
      <w:pPr>
        <w:pStyle w:val="Heading1"/>
      </w:pPr>
      <w:r>
        <w:t>Connect without the browser when useful</w:t>
      </w:r>
    </w:p>
    <w:p>
      <w:pPr/>
      <w:r>
        <w:t xml:space="preserve">For terminal-only work, open a terminal on your laptop and run </w:t>
      </w:r>
      <w:r>
        <w:rPr>
          <w:rFonts w:ascii="Courier New" w:hAnsi="Courier New"/>
          <w:sz w:val="18"/>
        </w:rPr>
        <w:t>ssh YOUR_NETID@best-tux.cae.wisc.edu</w:t>
      </w:r>
      <w:r>
        <w:t>, then load the module and enter the container as above. Use Guacamole for the GUI steps in this handout. SSH and Guacamole may reach different hosts, but your CAE home directory is shared.</w:t>
      </w:r>
    </w:p>
    <w:p>
      <w:pPr/>
      <w:r>
        <w:t xml:space="preserve">When finished, save work, close the EDA applications, and run </w:t>
      </w:r>
      <w:r>
        <w:rPr>
          <w:rFonts w:ascii="Courier New" w:hAnsi="Courier New"/>
          <w:sz w:val="18"/>
        </w:rPr>
        <w:t>exit</w:t>
      </w:r>
      <w:r>
        <w:t xml:space="preserve"> to leave the container. Log out of the Linux desktop from the upper-right system menu. Closing the browser alone can leave the session running during CAE's two-hour reconnection window.</w:t>
      </w:r>
    </w:p>
    <w:p>
      <w:r>
        <w:br w:type="page"/>
      </w:r>
    </w:p>
    <w:p>
      <w:pPr>
        <w:pStyle w:val="Heading1"/>
      </w:pPr>
      <w:r>
        <w:t>Read the RTL as a hardware contract</w:t>
      </w:r>
    </w:p>
    <w:p>
      <w:pPr/>
      <w:r>
        <w:t>From the exercise directory, inspect both the design and the test that drives it:</w:t>
      </w:r>
    </w:p>
    <w:p>
      <w:pPr>
        <w:pStyle w:val="Code"/>
        <w:keepLines/>
        <w:spacing w:after="160"/>
      </w:pPr>
      <w:r>
        <w:t>cat rtl/sb_flop.v</w:t>
        <w:br/>
        <w:t>sed -n '1,100p' tb/tb.sv</w:t>
      </w:r>
    </w:p>
    <w:p>
      <w:pPr>
        <w:keepNext/>
        <w:spacing w:after="60"/>
        <w:jc w:val="center"/>
      </w:pPr>
      <w:r>
        <w:drawing>
          <wp:inline xmlns:a="http://schemas.openxmlformats.org/drawingml/2006/main" xmlns:pic="http://schemas.openxmlformats.org/drawingml/2006/picture">
            <wp:extent cx="5943600" cy="1384662"/>
            <wp:docPr id="3" name="Picture 3"/>
            <wp:cNvGraphicFramePr>
              <a:graphicFrameLocks noChangeAspect="1"/>
            </wp:cNvGraphicFramePr>
            <a:graphic>
              <a:graphicData uri="http://schemas.openxmlformats.org/drawingml/2006/picture">
                <pic:pic>
                  <pic:nvPicPr>
                    <pic:cNvPr id="0" name="v2-rtl.png"/>
                    <pic:cNvPicPr/>
                  </pic:nvPicPr>
                  <pic:blipFill>
                    <a:blip r:embed="rId19"/>
                    <a:srcRect l="0" t="7818" r="26435" b="65448"/>
                    <a:stretch>
                      <a:fillRect/>
                    </a:stretch>
                  </pic:blipFill>
                  <pic:spPr>
                    <a:xfrm>
                      <a:off x="0" y="0"/>
                      <a:ext cx="5943600" cy="1384662"/>
                    </a:xfrm>
                    <a:prstGeom prst="rect"/>
                  </pic:spPr>
                </pic:pic>
              </a:graphicData>
            </a:graphic>
          </wp:inline>
        </w:drawing>
      </w:r>
    </w:p>
    <w:p>
      <w:pPr>
        <w:spacing w:after="160"/>
      </w:pPr>
      <w:r>
        <w:rPr>
          <w:i/>
          <w:sz w:val="18"/>
        </w:rPr>
        <w:t>The source of the one-bit register in the CAE terminal.</w:t>
      </w:r>
    </w:p>
    <w:p>
      <w:pPr/>
      <w:r>
        <w:t xml:space="preserve">The top module is </w:t>
      </w:r>
      <w:r>
        <w:rPr>
          <w:rFonts w:ascii="Courier New" w:hAnsi="Courier New"/>
          <w:sz w:val="18"/>
        </w:rPr>
        <w:t>sb_flop</w:t>
      </w:r>
      <w:r>
        <w:t xml:space="preserve">. Its inputs are </w:t>
      </w:r>
      <w:r>
        <w:rPr>
          <w:rFonts w:ascii="Courier New" w:hAnsi="Courier New"/>
          <w:sz w:val="18"/>
        </w:rPr>
        <w:t>clk</w:t>
      </w:r>
      <w:r>
        <w:t xml:space="preserve">, </w:t>
      </w:r>
      <w:r>
        <w:rPr>
          <w:rFonts w:ascii="Courier New" w:hAnsi="Courier New"/>
          <w:sz w:val="18"/>
        </w:rPr>
        <w:t>rst</w:t>
      </w:r>
      <w:r>
        <w:t xml:space="preserve">, and </w:t>
      </w:r>
      <w:r>
        <w:rPr>
          <w:rFonts w:ascii="Courier New" w:hAnsi="Courier New"/>
          <w:sz w:val="18"/>
        </w:rPr>
        <w:t>d</w:t>
      </w:r>
      <w:r>
        <w:t xml:space="preserve">; its output is </w:t>
      </w:r>
      <w:r>
        <w:rPr>
          <w:rFonts w:ascii="Courier New" w:hAnsi="Courier New"/>
          <w:sz w:val="18"/>
        </w:rPr>
        <w:t>q</w:t>
      </w:r>
      <w:r>
        <w:t xml:space="preserve">. The </w:t>
      </w:r>
      <w:r>
        <w:rPr>
          <w:rFonts w:ascii="Courier New" w:hAnsi="Courier New"/>
          <w:sz w:val="18"/>
        </w:rPr>
        <w:t>always</w:t>
      </w:r>
      <w:r>
        <w:t xml:space="preserve"> block runs on a rising clock edge. Reset is active high and synchronous: asserting it between edges does not immediately update </w:t>
      </w:r>
      <w:r>
        <w:rPr>
          <w:rFonts w:ascii="Courier New" w:hAnsi="Courier New"/>
          <w:sz w:val="18"/>
        </w:rPr>
        <w:t>q</w:t>
      </w:r>
      <w:r>
        <w:t>. The nonblocking assignment schedules the register update for that simulation time step.</w:t>
      </w:r>
    </w:p>
    <w:p>
      <w:pPr/>
      <w:r>
        <w:t xml:space="preserve">Read the testbench next. </w:t>
      </w:r>
      <w:r>
        <w:rPr>
          <w:rFonts w:ascii="Courier New" w:hAnsi="Courier New"/>
          <w:sz w:val="18"/>
        </w:rPr>
        <w:t>tb</w:t>
      </w:r>
      <w:r>
        <w:t xml:space="preserve"> instantiates the design as </w:t>
      </w:r>
      <w:r>
        <w:rPr>
          <w:rFonts w:ascii="Courier New" w:hAnsi="Courier New"/>
          <w:sz w:val="18"/>
        </w:rPr>
        <w:t>dut</w:t>
      </w:r>
      <w:r>
        <w:t xml:space="preserve">, generates the clock, and checks values after clock edges. The design top and the simulation top are different: synthesis uses </w:t>
      </w:r>
      <w:r>
        <w:rPr>
          <w:rFonts w:ascii="Courier New" w:hAnsi="Courier New"/>
          <w:sz w:val="18"/>
        </w:rPr>
        <w:t>sb_flop</w:t>
      </w:r>
      <w:r>
        <w:t xml:space="preserve">, while VCS uses </w:t>
      </w:r>
      <w:r>
        <w:rPr>
          <w:rFonts w:ascii="Courier New" w:hAnsi="Courier New"/>
          <w:sz w:val="18"/>
        </w:rPr>
        <w:t>tb</w:t>
      </w:r>
      <w:r>
        <w:t xml:space="preserve"> for this test. Selecting the wrong top can produce an apparently successful build that never applies your stimulus.</w:t>
      </w:r>
    </w:p>
    <w:p>
      <w:pPr>
        <w:pStyle w:val="Heading1"/>
      </w:pPr>
      <w:r>
        <w:t>Organize source changes before building</w:t>
      </w:r>
    </w:p>
    <w:p>
      <w:pPr/>
      <w:r>
        <w:t xml:space="preserve">Keep synthesizable design source in </w:t>
      </w:r>
      <w:r>
        <w:rPr>
          <w:rFonts w:ascii="Courier New" w:hAnsi="Courier New"/>
          <w:sz w:val="18"/>
        </w:rPr>
        <w:t>rtl/</w:t>
      </w:r>
      <w:r>
        <w:t xml:space="preserve">, testbench code in </w:t>
      </w:r>
      <w:r>
        <w:rPr>
          <w:rFonts w:ascii="Courier New" w:hAnsi="Courier New"/>
          <w:sz w:val="18"/>
        </w:rPr>
        <w:t>tb/</w:t>
      </w:r>
      <w:r>
        <w:t xml:space="preserve">, and tool scripts in their own directories. Generated netlists, databases, logs, and waveforms belong in run directories. Edit the design source, then rebuild; editing </w:t>
      </w:r>
      <w:r>
        <w:rPr>
          <w:rFonts w:ascii="Courier New" w:hAnsi="Courier New"/>
          <w:sz w:val="18"/>
        </w:rPr>
        <w:t>mapped.v</w:t>
      </w:r>
      <w:r>
        <w:t xml:space="preserve"> does not fix the RTL that generated it.</w:t>
      </w:r>
    </w:p>
    <w:p>
      <w:r>
        <w:br w:type="page"/>
      </w:r>
    </w:p>
    <w:p>
      <w:pPr>
        <w:pStyle w:val="Heading1"/>
      </w:pPr>
      <w:r>
        <w:t>Compile and simulate from the terminal</w:t>
      </w:r>
    </w:p>
    <w:p>
      <w:pPr/>
      <w:r>
        <w:t>Use the verified runner for the first iteration:</w:t>
      </w:r>
    </w:p>
    <w:p>
      <w:pPr>
        <w:pStyle w:val="Code"/>
        <w:keepLines/>
        <w:spacing w:after="160"/>
      </w:pPr>
      <w:r>
        <w:t>cd ~/cae-synopsys-guides/lab</w:t>
        <w:br/>
        <w:t>python3 run_lab.py simulation</w:t>
      </w:r>
    </w:p>
    <w:p>
      <w:pPr/>
      <w:r>
        <w:t xml:space="preserve">Find the printed </w:t>
      </w:r>
      <w:r>
        <w:rPr>
          <w:rFonts w:ascii="Courier New" w:hAnsi="Courier New"/>
          <w:sz w:val="18"/>
        </w:rPr>
        <w:t>RUN_DIRECTORY</w:t>
      </w:r>
      <w:r>
        <w:t xml:space="preserve">. Inspect </w:t>
      </w:r>
      <w:r>
        <w:rPr>
          <w:rFonts w:ascii="Courier New" w:hAnsi="Courier New"/>
          <w:sz w:val="18"/>
        </w:rPr>
        <w:t>compile.log</w:t>
      </w:r>
      <w:r>
        <w:t xml:space="preserve"> first, then </w:t>
      </w:r>
      <w:r>
        <w:rPr>
          <w:rFonts w:ascii="Courier New" w:hAnsi="Courier New"/>
          <w:sz w:val="18"/>
        </w:rPr>
        <w:t>simulate.log</w:t>
      </w:r>
      <w:r>
        <w:t xml:space="preserve">. Confirm the </w:t>
      </w:r>
      <w:r>
        <w:rPr>
          <w:rFonts w:ascii="Courier New" w:hAnsi="Courier New"/>
          <w:sz w:val="18"/>
        </w:rPr>
        <w:t>SB_SNPS_SIM_PASS</w:t>
      </w:r>
      <w:r>
        <w:t xml:space="preserve"> marker and the expected run verdict. The runner also verifies that the deliberate fault is caught. It does not interpret raw exit zero as sufficient evidence of success.</w:t>
      </w:r>
    </w:p>
    <w:p>
      <w:pPr/>
      <w:r>
        <w:t>For a larger block, keep a source manifest that lists the exact package, include, RTL, and testbench files. Package definitions must be available before code that imports them. Keep parameter overrides and the selected top in the build command or script, not in someone's terminal history.</w:t>
      </w:r>
    </w:p>
    <w:p>
      <w:pPr/>
      <w:r>
        <w:t>The core compile and run pattern for this example is:</w:t>
      </w:r>
    </w:p>
    <w:p>
      <w:pPr>
        <w:pStyle w:val="Code"/>
        <w:keepLines/>
        <w:spacing w:after="160"/>
      </w:pPr>
      <w:r>
        <w:t>vcs -full64 -sverilog -timescale=1ns/1ps \</w:t>
        <w:br/>
        <w:t xml:space="preserve">  -ntb_opts uvm-1.2 -debug_access+all -kdb \</w:t>
        <w:br/>
        <w:t xml:space="preserve">  -cm line+cond+tgl+branch+assert \</w:t>
        <w:br/>
        <w:t xml:space="preserve">  /absolute/path/to/rtl/sb_flop.v \</w:t>
        <w:br/>
        <w:t xml:space="preserve">  /absolute/path/to/tb/tb.sv -top tb -o simv</w:t>
        <w:br/>
        <w:t>./simv -cm line+cond+tgl+branch+assert</w:t>
      </w:r>
    </w:p>
    <w:p>
      <w:pPr/>
      <w:r>
        <w:t xml:space="preserve">Run manual builds in a fresh run directory, with </w:t>
      </w:r>
      <w:r>
        <w:rPr>
          <w:rFonts w:ascii="Courier New" w:hAnsi="Courier New"/>
          <w:sz w:val="18"/>
        </w:rPr>
        <w:t>VERDI_HOME</w:t>
      </w:r>
      <w:r>
        <w:t xml:space="preserve"> set as in </w:t>
      </w:r>
      <w:r>
        <w:rPr>
          <w:rFonts w:ascii="Courier New" w:hAnsi="Courier New"/>
          <w:sz w:val="18"/>
        </w:rPr>
        <w:t>run_lab.py</w:t>
      </w:r>
      <w:r>
        <w:t>. Replace the example absolute paths. The runner already does this setup, saves logs, and enforces a timeout. The direct commands show what it is doing and what must change for your block.</w:t>
      </w:r>
    </w:p>
    <w:p>
      <w:pPr>
        <w:pStyle w:val="Heading1"/>
      </w:pPr>
      <w:r>
        <w:t>Diagnose the first failure</w:t>
      </w:r>
    </w:p>
    <w:tbl>
      <w:tblPr>
        <w:tblW w:type="auto" w:w="0"/>
        <w:tblLayout w:type="fixed"/>
        <w:tblLook w:firstColumn="1" w:firstRow="1" w:lastColumn="0" w:lastRow="0" w:noHBand="0" w:noVBand="1" w:val="04A0"/>
      </w:tblPr>
      <w:tblGrid>
        <w:gridCol w:w="2952"/>
        <w:gridCol w:w="7128"/>
      </w:tblGrid>
      <w:tr>
        <w:trPr>
          <w:cantSplit/>
          <w:tblHeader/>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Symptom</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shd w:fill="EEEEEE"/>
          </w:tcPr>
          <w:p>
            <w:pPr>
              <w:spacing w:after="80" w:before="80"/>
            </w:pPr>
            <w:r>
              <w:rPr>
                <w:b/>
                <w:sz w:val="18"/>
              </w:rPr>
              <w:t>First inspection</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Missing module or package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Check the file manifest, include paths, package order, and selected top.</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Width or signedness warning</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Compare the source declaration with the interface contract and expression widths.</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Unknown output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Check reset, initialization, driving logic, and whether the output has been sampled after an active edge.</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Correct compile but wrong test result</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Inspect stimulus, reset polarity, cycle timing, and the checker in the waveform.</w:t>
            </w:r>
          </w:p>
        </w:tc>
      </w:tr>
      <w:tr>
        <w:trPr>
          <w:cantSplit/>
        </w:trPr>
        <w:tc>
          <w:tcPr>
            <w:tcW w:type="dxa" w:w="2952"/>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GUI shows old source</w:t>
            </w:r>
          </w:p>
        </w:tc>
        <w:tc>
          <w:tcPr>
            <w:tcW w:type="dxa" w:w="7128"/>
            <w:tcMar>
              <w:top w:w="75" w:type="dxa"/>
              <w:left w:w="75" w:type="dxa"/>
              <w:bottom w:w="75" w:type="dxa"/>
              <w:right w:w="75" w:type="dxa"/>
            </w:tcMar>
            <w:tcBorders>
              <w:top w:val="single" w:sz="4" w:color="D5D5D5"/>
              <w:left w:val="single" w:sz="4" w:color="D5D5D5"/>
              <w:bottom w:val="single" w:sz="4" w:color="D5D5D5"/>
              <w:right w:val="single" w:sz="4" w:color="D5D5D5"/>
            </w:tcBorders>
          </w:tcPr>
          <w:p>
            <w:pPr>
              <w:spacing w:after="80" w:before="80"/>
            </w:pPr>
            <w:r>
              <w:rPr>
                <w:b w:val="0"/>
                <w:sz w:val="18"/>
              </w:rPr>
              <w:t>Rebuild and open the waveform and debug data from the same new run directory.</w:t>
            </w:r>
          </w:p>
        </w:tc>
      </w:tr>
    </w:tbl>
    <w:p>
      <w:pPr>
        <w:spacing w:after="0"/>
      </w:pPr>
    </w:p>
    <w:p>
      <w:pPr/>
      <w:r>
        <w:t>Treat warnings as questions to resolve. A successful compile does not establish protocol behavior, numeric accuracy, clock-domain safety, or complete test coverage.</w:t>
      </w:r>
    </w:p>
    <w:p>
      <w:r>
        <w:br w:type="page"/>
      </w:r>
    </w:p>
    <w:p>
      <w:pPr>
        <w:pStyle w:val="Heading1"/>
      </w:pPr>
      <w:r>
        <w:t>Trace source and behavior in Verdi</w:t>
      </w:r>
    </w:p>
    <w:p>
      <w:pPr/>
      <w:r>
        <w:t>Change into the passing simulation directory and launch:</w:t>
      </w:r>
    </w:p>
    <w:p>
      <w:pPr>
        <w:pStyle w:val="Code"/>
        <w:keepLines/>
        <w:spacing w:after="160"/>
      </w:pPr>
      <w:r>
        <w:t>verdi -ssf smoke.fsdb</w:t>
      </w:r>
    </w:p>
    <w:p>
      <w:pPr>
        <w:keepNext/>
        <w:spacing w:after="60"/>
        <w:jc w:val="center"/>
      </w:pPr>
      <w:r>
        <w:drawing>
          <wp:inline xmlns:a="http://schemas.openxmlformats.org/drawingml/2006/main" xmlns:pic="http://schemas.openxmlformats.org/drawingml/2006/picture">
            <wp:extent cx="5943600" cy="3348980"/>
            <wp:docPr id="4" name="Picture 4"/>
            <wp:cNvGraphicFramePr>
              <a:graphicFrameLocks noChangeAspect="1"/>
            </wp:cNvGraphicFramePr>
            <a:graphic>
              <a:graphicData uri="http://schemas.openxmlformats.org/drawingml/2006/picture">
                <pic:pic>
                  <pic:nvPicPr>
                    <pic:cNvPr id="0" name="v2-verdi-overview.png"/>
                    <pic:cNvPicPr/>
                  </pic:nvPicPr>
                  <pic:blipFill>
                    <a:blip r:embed="rId20"/>
                    <a:srcRect l="0" t="6557" r="0" b="5549"/>
                    <a:stretch>
                      <a:fillRect/>
                    </a:stretch>
                  </pic:blipFill>
                  <pic:spPr>
                    <a:xfrm>
                      <a:off x="0" y="0"/>
                      <a:ext cx="5943600" cy="3348980"/>
                    </a:xfrm>
                    <a:prstGeom prst="rect"/>
                  </pic:spPr>
                </pic:pic>
              </a:graphicData>
            </a:graphic>
          </wp:inline>
        </w:drawing>
      </w:r>
    </w:p>
    <w:p>
      <w:pPr>
        <w:spacing w:after="160"/>
      </w:pPr>
      <w:r>
        <w:rPr>
          <w:i/>
          <w:sz w:val="18"/>
        </w:rPr>
        <w:t>The source and waveform views used to connect RTL statements to signal behavior.</w:t>
      </w:r>
    </w:p>
    <w:p>
      <w:pPr>
        <w:spacing w:after="80"/>
        <w:ind w:left="288" w:hanging="288"/>
      </w:pPr>
      <w:r>
        <w:t xml:space="preserve">1. Maximize the window. In the hierarchy, select </w:t>
      </w:r>
      <w:r>
        <w:rPr>
          <w:rFonts w:ascii="Courier New" w:hAnsi="Courier New"/>
          <w:sz w:val="18"/>
        </w:rPr>
        <w:t>tb</w:t>
      </w:r>
      <w:r>
        <w:t xml:space="preserve">, then expand it and select </w:t>
      </w:r>
      <w:r>
        <w:rPr>
          <w:rFonts w:ascii="Courier New" w:hAnsi="Courier New"/>
          <w:sz w:val="18"/>
        </w:rPr>
        <w:t>dut</w:t>
      </w:r>
      <w:r>
        <w:t xml:space="preserve">. Confirm that the source pane shows </w:t>
      </w:r>
      <w:r>
        <w:rPr>
          <w:rFonts w:ascii="Courier New" w:hAnsi="Courier New"/>
          <w:sz w:val="18"/>
        </w:rPr>
        <w:t>sb_flop</w:t>
      </w:r>
      <w:r>
        <w:t>.</w:t>
      </w:r>
    </w:p>
    <w:p>
      <w:pPr>
        <w:spacing w:after="80"/>
        <w:ind w:left="288" w:hanging="288"/>
      </w:pPr>
      <w:r>
        <w:t xml:space="preserve">2. Identify the edge-sensitive block and reset condition. Return to </w:t>
      </w:r>
      <w:r>
        <w:rPr>
          <w:rFonts w:ascii="Courier New" w:hAnsi="Courier New"/>
          <w:sz w:val="18"/>
        </w:rPr>
        <w:t>tb</w:t>
      </w:r>
      <w:r>
        <w:t xml:space="preserve"> and identify when the stimulus changes relative to the clock.</w:t>
      </w:r>
    </w:p>
    <w:p>
      <w:pPr>
        <w:spacing w:after="80"/>
        <w:ind w:left="288" w:hanging="288"/>
      </w:pPr>
      <w:r>
        <w:t xml:space="preserve">3. In nWave, open Signal, Get Signals. Select </w:t>
      </w:r>
      <w:r>
        <w:rPr>
          <w:rFonts w:ascii="Courier New" w:hAnsi="Courier New"/>
          <w:sz w:val="18"/>
        </w:rPr>
        <w:t>/tb</w:t>
      </w:r>
      <w:r>
        <w:t xml:space="preserve">, add </w:t>
      </w:r>
      <w:r>
        <w:rPr>
          <w:rFonts w:ascii="Courier New" w:hAnsi="Courier New"/>
          <w:sz w:val="18"/>
        </w:rPr>
        <w:t>clk</w:t>
      </w:r>
      <w:r>
        <w:t xml:space="preserve">, </w:t>
      </w:r>
      <w:r>
        <w:rPr>
          <w:rFonts w:ascii="Courier New" w:hAnsi="Courier New"/>
          <w:sz w:val="18"/>
        </w:rPr>
        <w:t>rst</w:t>
      </w:r>
      <w:r>
        <w:t xml:space="preserve">, </w:t>
      </w:r>
      <w:r>
        <w:rPr>
          <w:rFonts w:ascii="Courier New" w:hAnsi="Courier New"/>
          <w:sz w:val="18"/>
        </w:rPr>
        <w:t>d</w:t>
      </w:r>
      <w:r>
        <w:t xml:space="preserve">, and </w:t>
      </w:r>
      <w:r>
        <w:rPr>
          <w:rFonts w:ascii="Courier New" w:hAnsi="Courier New"/>
          <w:sz w:val="18"/>
        </w:rPr>
        <w:t>q</w:t>
      </w:r>
      <w:r>
        <w:t xml:space="preserve"> with Apply, then click OK.</w:t>
      </w:r>
    </w:p>
    <w:p>
      <w:pPr>
        <w:spacing w:after="80"/>
        <w:ind w:left="288" w:hanging="288"/>
      </w:pPr>
      <w:r>
        <w:t>4. Choose nWave View, Zoom, Zoom All. Place the cursor near a rising edge and compare all four signals at the same time.</w:t>
      </w:r>
    </w:p>
    <w:p>
      <w:pPr>
        <w:spacing w:after="80"/>
        <w:ind w:left="288" w:hanging="288"/>
      </w:pPr>
      <w:r>
        <w:t>5. Follow reset through the first edge at 5 ns. Then inspect the input change at 11 ns and output change at 15 ns. Explain the delay in terms of the source, not just the shape of the waveform.</w:t>
      </w:r>
    </w:p>
    <w:p>
      <w:pPr>
        <w:spacing w:after="80"/>
        <w:ind w:left="288" w:hanging="288"/>
      </w:pPr>
      <w:r>
        <w:t>6. Inspect the 21 ns and 25 ns transitions. If an output differs from the test expectation, find the first differing time and work backward through its inputs and driving statement.</w:t>
      </w:r>
    </w:p>
    <w:p>
      <w:pPr/>
      <w:r>
        <w:t>Do not infer reset behavior from a signal name alone. This example uses synchronous reset. Your block's reset polarity, synchronization, and release requirements must come from its interface contract. Use the appropriate stimulus and sampling convention when you adapt the test.</w:t>
      </w:r>
    </w:p>
    <w:p>
      <w:pPr/>
      <w:r>
        <w:t>If signals are missing, confirm the selected scope and dump coverage. If a value column looks surprising, check the cursor time. A value at the initial cursor is not the final value in the simulation.</w:t>
      </w:r>
    </w:p>
    <w:p>
      <w:r>
        <w:br w:type="page"/>
      </w:r>
    </w:p>
    <w:p>
      <w:pPr>
        <w:pStyle w:val="Heading1"/>
      </w:pPr>
      <w:r>
        <w:t>Run a synthesis sanity check</w:t>
      </w:r>
    </w:p>
    <w:p>
      <w:pPr/>
      <w:r>
        <w:t>From the exercise root, run:</w:t>
      </w:r>
    </w:p>
    <w:p>
      <w:pPr>
        <w:pStyle w:val="Code"/>
        <w:keepLines/>
        <w:spacing w:after="160"/>
      </w:pPr>
      <w:r>
        <w:t>python3 run_lab.py synthesis</w:t>
      </w:r>
    </w:p>
    <w:p>
      <w:pPr/>
      <w:r>
        <w:t xml:space="preserve">The runner selects the teaching timing library, sets the source path, and calls Design Compiler with </w:t>
      </w:r>
      <w:r>
        <w:rPr>
          <w:rFonts w:ascii="Courier New" w:hAnsi="Courier New"/>
          <w:sz w:val="18"/>
        </w:rPr>
        <w:t>synth/run.tcl</w:t>
      </w:r>
      <w:r>
        <w:t xml:space="preserve">. It checks the log, completion marker, and generated outputs. Inspect the new run's </w:t>
      </w:r>
      <w:r>
        <w:rPr>
          <w:rFonts w:ascii="Courier New" w:hAnsi="Courier New"/>
          <w:sz w:val="18"/>
        </w:rPr>
        <w:t>synthesis.log</w:t>
      </w:r>
      <w:r>
        <w:t xml:space="preserve">, </w:t>
      </w:r>
      <w:r>
        <w:rPr>
          <w:rFonts w:ascii="Courier New" w:hAnsi="Courier New"/>
          <w:sz w:val="18"/>
        </w:rPr>
        <w:t>mapped.v</w:t>
      </w:r>
      <w:r>
        <w:t xml:space="preserve">, </w:t>
      </w:r>
      <w:r>
        <w:rPr>
          <w:rFonts w:ascii="Courier New" w:hAnsi="Courier New"/>
          <w:sz w:val="18"/>
        </w:rPr>
        <w:t>area.rpt</w:t>
      </w:r>
      <w:r>
        <w:t xml:space="preserve">, </w:t>
      </w:r>
      <w:r>
        <w:rPr>
          <w:rFonts w:ascii="Courier New" w:hAnsi="Courier New"/>
          <w:sz w:val="18"/>
        </w:rPr>
        <w:t>timing.rpt</w:t>
      </w:r>
      <w:r>
        <w:t xml:space="preserve">, and </w:t>
      </w:r>
      <w:r>
        <w:rPr>
          <w:rFonts w:ascii="Courier New" w:hAnsi="Courier New"/>
          <w:sz w:val="18"/>
        </w:rPr>
        <w:t>constraints.sdc</w:t>
      </w:r>
      <w:r>
        <w:t>.</w:t>
      </w:r>
    </w:p>
    <w:p>
      <w:pPr/>
      <w:r>
        <w:t xml:space="preserve">The script reads RTL, selects </w:t>
      </w:r>
      <w:r>
        <w:rPr>
          <w:rFonts w:ascii="Courier New" w:hAnsi="Courier New"/>
          <w:sz w:val="18"/>
        </w:rPr>
        <w:t>sb_flop</w:t>
      </w:r>
      <w:r>
        <w:t>, links references, defines the clock and I/O timing, compiles, checks the design, and exports a mapped database and netlist. The 10 ns clock and 1 ns interface delays are teaching assumptions. Your real block needs constraints agreed with its surrounding interfaces.</w:t>
      </w:r>
    </w:p>
    <w:p>
      <w:pPr>
        <w:pStyle w:val="Heading1"/>
      </w:pPr>
      <w:r>
        <w:t>Open the mapped design in Design Vision</w:t>
      </w:r>
    </w:p>
    <w:p>
      <w:pPr/>
      <w:r>
        <w:t xml:space="preserve">In Guacamole, change into the printed synthesis run directory and run </w:t>
      </w:r>
      <w:r>
        <w:rPr>
          <w:rFonts w:ascii="Courier New" w:hAnsi="Courier New"/>
          <w:sz w:val="18"/>
        </w:rPr>
        <w:t>design_vision</w:t>
      </w:r>
      <w:r>
        <w:t>. Allow startup to complete, then maximize the window. The bottom input line is a Tcl command prompt, not a Linux shell. Enter the following there, one command at a time:</w:t>
      </w:r>
    </w:p>
    <w:p>
      <w:pPr>
        <w:pStyle w:val="Code"/>
        <w:keepLines/>
        <w:spacing w:after="160"/>
      </w:pPr>
      <w:r>
        <w:t>set edk /srv/auto/apps/saed32_edk/2023/lib/stdcell_rvt</w:t>
        <w:br/>
        <w:t>set dbdir "$edk/SAED32_EDK/lib/stdcell_rvt/db_nldm"</w:t>
        <w:br/>
        <w:t>set lib "$dbdir/saed32rvt_tt1p05v25c.db"</w:t>
        <w:br/>
        <w:t>set_app_var target_library [list $lib]</w:t>
        <w:br/>
        <w:t>set_app_var link_library [concat * $target_library]</w:t>
        <w:br/>
        <w:t>read_ddc mapped.ddc</w:t>
        <w:br/>
        <w:t>current_design sb_flop</w:t>
        <w:br/>
        <w:t>link</w:t>
        <w:br/>
        <w:t>read_sdc constraints.sdc</w:t>
        <w:br/>
        <w:t>check_design</w:t>
      </w:r>
    </w:p>
    <w:p>
      <w:pPr/>
      <w:r>
        <w:t xml:space="preserve">Inspect the console after every command. The expected current design is </w:t>
      </w:r>
      <w:r>
        <w:rPr>
          <w:rFonts w:ascii="Courier New" w:hAnsi="Courier New"/>
          <w:sz w:val="18"/>
        </w:rPr>
        <w:t>sb_flop</w:t>
      </w:r>
      <w:r>
        <w:t>, and references must resolve. If a library cannot be found, check the path and environment before interpreting the schematic. Loading a DDC and seeing a top module are not sufficient if linking still fails.</w:t>
      </w:r>
    </w:p>
    <w:p>
      <w:pPr/>
      <w:r>
        <w:t>The DDC is a tool database for resuming inspection. Keep RTL, scripts, and constraints as the maintained inputs. Preserve the tool version with any saved database.</w:t>
      </w:r>
    </w:p>
    <w:p>
      <w:r>
        <w:br w:type="page"/>
      </w:r>
    </w:p>
    <w:p>
      <w:pPr>
        <w:pStyle w:val="Heading1"/>
      </w:pPr>
      <w:r>
        <w:t>Inspect the schematic in the GUI</w:t>
      </w:r>
    </w:p>
    <w:p>
      <w:pPr/>
      <w:r>
        <w:t xml:space="preserve">Select </w:t>
      </w:r>
      <w:r>
        <w:rPr>
          <w:rFonts w:ascii="Courier New" w:hAnsi="Courier New"/>
          <w:sz w:val="18"/>
        </w:rPr>
        <w:t>sb_flop</w:t>
      </w:r>
      <w:r>
        <w:t xml:space="preserve"> in Logical Hierarchy. Choose Schematic, then New Schematic View. The first view is the module boundary with its ports. Double-click the module box to expand the mapped contents.</w:t>
      </w:r>
    </w:p>
    <w:p>
      <w:pPr>
        <w:keepNext/>
        <w:spacing w:after="60"/>
        <w:jc w:val="center"/>
      </w:pPr>
      <w:r>
        <w:drawing>
          <wp:inline xmlns:a="http://schemas.openxmlformats.org/drawingml/2006/main" xmlns:pic="http://schemas.openxmlformats.org/drawingml/2006/picture">
            <wp:extent cx="5943600" cy="2398981"/>
            <wp:docPr id="5" name="Picture 5"/>
            <wp:cNvGraphicFramePr>
              <a:graphicFrameLocks noChangeAspect="1"/>
            </wp:cNvGraphicFramePr>
            <a:graphic>
              <a:graphicData uri="http://schemas.openxmlformats.org/drawingml/2006/picture">
                <pic:pic>
                  <pic:nvPicPr>
                    <pic:cNvPr id="0" name="v2-dv-schematic.png"/>
                    <pic:cNvPicPr/>
                  </pic:nvPicPr>
                  <pic:blipFill>
                    <a:blip r:embed="rId21"/>
                    <a:srcRect l="1778" t="11980" r="81" b="26230"/>
                    <a:stretch>
                      <a:fillRect/>
                    </a:stretch>
                  </pic:blipFill>
                  <pic:spPr>
                    <a:xfrm>
                      <a:off x="0" y="0"/>
                      <a:ext cx="5943600" cy="2398981"/>
                    </a:xfrm>
                    <a:prstGeom prst="rect"/>
                  </pic:spPr>
                </pic:pic>
              </a:graphicData>
            </a:graphic>
          </wp:inline>
        </w:drawing>
      </w:r>
    </w:p>
    <w:p>
      <w:pPr>
        <w:spacing w:after="160"/>
      </w:pPr>
      <w:r>
        <w:rPr>
          <w:i/>
          <w:sz w:val="18"/>
        </w:rPr>
        <w:t>The expanded mapped register schematic in Design Vision.</w:t>
      </w:r>
    </w:p>
    <w:p>
      <w:pPr>
        <w:spacing w:after="80"/>
        <w:ind w:left="288" w:hanging="288"/>
      </w:pPr>
      <w:r>
        <w:t xml:space="preserve">1. Find </w:t>
      </w:r>
      <w:r>
        <w:rPr>
          <w:rFonts w:ascii="Courier New" w:hAnsi="Courier New"/>
          <w:sz w:val="18"/>
        </w:rPr>
        <w:t>clk</w:t>
      </w:r>
      <w:r>
        <w:t xml:space="preserve">, </w:t>
      </w:r>
      <w:r>
        <w:rPr>
          <w:rFonts w:ascii="Courier New" w:hAnsi="Courier New"/>
          <w:sz w:val="18"/>
        </w:rPr>
        <w:t>rst</w:t>
      </w:r>
      <w:r>
        <w:t xml:space="preserve">, </w:t>
      </w:r>
      <w:r>
        <w:rPr>
          <w:rFonts w:ascii="Courier New" w:hAnsi="Courier New"/>
          <w:sz w:val="18"/>
        </w:rPr>
        <w:t>d</w:t>
      </w:r>
      <w:r>
        <w:t xml:space="preserve">, and </w:t>
      </w:r>
      <w:r>
        <w:rPr>
          <w:rFonts w:ascii="Courier New" w:hAnsi="Courier New"/>
          <w:sz w:val="18"/>
        </w:rPr>
        <w:t>q</w:t>
      </w:r>
      <w:r>
        <w:t xml:space="preserve"> at the boundary. Confirm the intended directions and compare them with the RTL declaration.</w:t>
      </w:r>
    </w:p>
    <w:p>
      <w:pPr>
        <w:spacing w:after="80"/>
        <w:ind w:left="288" w:hanging="288"/>
      </w:pPr>
      <w:r>
        <w:t xml:space="preserve">2. Find the mapped sequential instance </w:t>
      </w:r>
      <w:r>
        <w:rPr>
          <w:rFonts w:ascii="Courier New" w:hAnsi="Courier New"/>
          <w:sz w:val="18"/>
        </w:rPr>
        <w:t>q_reg</w:t>
      </w:r>
      <w:r>
        <w:t xml:space="preserve">. Trace its output to </w:t>
      </w:r>
      <w:r>
        <w:rPr>
          <w:rFonts w:ascii="Courier New" w:hAnsi="Courier New"/>
          <w:sz w:val="18"/>
        </w:rPr>
        <w:t>q</w:t>
      </w:r>
      <w:r>
        <w:t xml:space="preserve"> and inspect how reset and data connect through the mapped implementation. Use actual pin names and library semantics when interpreting the cell.</w:t>
      </w:r>
    </w:p>
    <w:p>
      <w:pPr>
        <w:spacing w:after="80"/>
        <w:ind w:left="288" w:hanging="288"/>
      </w:pPr>
      <w:r>
        <w:t>3. Choose View, Zoom, Zoom Fit All to recover the complete view. Zoom into a cell or net when reading labels. The small pane control at the upper right can collapse a pane; double-click its bottom tab to restore it.</w:t>
      </w:r>
    </w:p>
    <w:p>
      <w:pPr>
        <w:spacing w:after="80"/>
        <w:ind w:left="288" w:hanging="288"/>
      </w:pPr>
      <w:r>
        <w:t>4. Select a cell or net to distinguish it from surrounding logic. Use the Schematic menu's fanin and fanout commands when following a larger design. Keep the selected object and direction of tracing explicit.</w:t>
      </w:r>
    </w:p>
    <w:p>
      <w:pPr>
        <w:spacing w:after="80"/>
        <w:ind w:left="288" w:hanging="288"/>
      </w:pPr>
      <w:r>
        <w:t xml:space="preserve">5. Compare the schematic with </w:t>
      </w:r>
      <w:r>
        <w:rPr>
          <w:rFonts w:ascii="Courier New" w:hAnsi="Courier New"/>
          <w:sz w:val="18"/>
        </w:rPr>
        <w:t>mapped.v</w:t>
      </w:r>
      <w:r>
        <w:t xml:space="preserve"> and </w:t>
      </w:r>
      <w:r>
        <w:rPr>
          <w:rFonts w:ascii="Courier New" w:hAnsi="Courier New"/>
          <w:sz w:val="18"/>
        </w:rPr>
        <w:t>area.rpt</w:t>
      </w:r>
      <w:r>
        <w:t>. Synthesis may implement the RTL using library-specific cells, constants, or transformations. A familiar-looking drawing is not an equivalence proof.</w:t>
      </w:r>
    </w:p>
    <w:p>
      <w:pPr/>
      <w:r>
        <w:t>For larger blocks, inspect register boundaries, muxing, arithmetic widths, and unexpected constant or disconnected signals. An unexpectedly small design can mean intended logic was optimized away because outputs were unused or constraints and connectivity were wrong.</w:t>
      </w:r>
    </w:p>
    <w:p>
      <w:pPr/>
      <w:r>
        <w:t>For readability, Design Vision exposes font controls under View, Preferences, Style Settings. Change Normal for labels and Monospace for report text. Prefer enlarging the relevant pane and text before taking a screenshot. Keep the saved source and reports with the image so you can trace it back to the run.</w:t>
      </w:r>
    </w:p>
    <w:p>
      <w:r>
        <w:br w:type="page"/>
      </w:r>
    </w:p>
    <w:p>
      <w:pPr>
        <w:pStyle w:val="Heading1"/>
      </w:pPr>
      <w:r>
        <w:t>Connect a timing report to the source</w:t>
      </w:r>
    </w:p>
    <w:p>
      <w:pPr/>
      <w:r>
        <w:t xml:space="preserve">In Design Vision, choose Timing, then Report Timing Path. Start with Delay type </w:t>
      </w:r>
      <w:r>
        <w:rPr>
          <w:rFonts w:ascii="Courier New" w:hAnsi="Courier New"/>
          <w:sz w:val="18"/>
        </w:rPr>
        <w:t>max</w:t>
      </w:r>
      <w:r>
        <w:t xml:space="preserve">, Path type </w:t>
      </w:r>
      <w:r>
        <w:rPr>
          <w:rFonts w:ascii="Courier New" w:hAnsi="Courier New"/>
          <w:sz w:val="18"/>
        </w:rPr>
        <w:t>full</w:t>
      </w:r>
      <w:r>
        <w:t>, one worst path per endpoint, and one path per group. Leave From, Through, and To empty for an initial overall report and select To report viewer. Click OK.</w:t>
      </w:r>
    </w:p>
    <w:p>
      <w:pPr/>
      <w:r>
        <w:t>Read the startpoint, endpoint, clock, path group, arrival time, required time, and slack. Use the report's object links and the schematic to locate the relevant cell or net. For a focused investigation, return to the dialog and select the intended startpoint or endpoint. Confirm whether the report is analyzing maximum delay or minimum delay before drawing a conclusion.</w:t>
      </w:r>
    </w:p>
    <w:p>
      <w:pPr/>
      <w:r>
        <w:t>The same inspection is available in the tool console:</w:t>
      </w:r>
    </w:p>
    <w:p>
      <w:pPr>
        <w:pStyle w:val="Code"/>
        <w:keepLines/>
        <w:spacing w:after="160"/>
      </w:pPr>
      <w:r>
        <w:t>report_timing -delay_type max -max_paths 5</w:t>
        <w:br/>
        <w:t>report_timing -delay_type min -max_paths 5</w:t>
        <w:br/>
        <w:t>report_constraint -all_violators</w:t>
        <w:br/>
        <w:t>report_area</w:t>
      </w:r>
    </w:p>
    <w:p>
      <w:pPr/>
      <w:r>
        <w:t>Positive slack on one reported path does not prove that every path is constrained or that physical timing will pass.</w:t>
      </w:r>
    </w:p>
    <w:p>
      <w:pPr/>
      <w:r>
        <w:t>Close Verdi and Design Vision when finished, then leave the container and log out of the CAE desktop.</w:t>
      </w:r>
    </w:p>
    <w:p>
      <w:pPr/>
      <w:r>
        <w:t xml:space="preserve">Setup reference: </w:t>
      </w:r>
      <w:hyperlink r:id="rId22">
        <w:r>
          <w:rPr>
            <w:color w:val="0563C1"/>
            <w:u w:val="single"/>
          </w:rPr>
          <w:t>https://kb.wisc.edu/cae-software-guide</w:t>
        </w:r>
      </w:hyperlink>
      <w:r/>
    </w:p>
    <w:p>
      <w:pPr/>
      <w:r>
        <w:t xml:space="preserve">Debug reference: </w:t>
      </w:r>
      <w:hyperlink r:id="rId23">
        <w:r>
          <w:rPr>
            <w:color w:val="0563C1"/>
            <w:u w:val="single"/>
          </w:rPr>
          <w:t>https://www.synopsys.com/verification/debug/verdi.html</w:t>
        </w:r>
      </w:hyperlink>
      <w:r/>
    </w:p>
    <w:sectPr w:rsidR="00FC693F" w:rsidRPr="0006063C" w:rsidSect="00034616">
      <w:headerReference w:type="default" r:id="rId9"/>
      <w:footerReference w:type="default" r:id="rId10"/>
      <w:pgSz w:w="12240" w:h="15840"/>
      <w:pgMar w:top="835" w:right="1080" w:bottom="835"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ABHINAV NANDWANI  /  CAE LAB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pPr>
    <w:rPr>
      <w:rFonts w:ascii="Courier New" w:hAnsi="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uacamole.cae.wisc.edu" TargetMode="External"/><Relationship Id="rId12" Type="http://schemas.openxmlformats.org/officeDocument/2006/relationships/image" Target="media/image1.png"/><Relationship Id="rId13" Type="http://schemas.openxmlformats.org/officeDocument/2006/relationships/hyperlink" Target="https://kb.wisc.edu/cae/163323" TargetMode="External"/><Relationship Id="rId14" Type="http://schemas.openxmlformats.org/officeDocument/2006/relationships/image" Target="media/image2.png"/><Relationship Id="rId15" Type="http://schemas.openxmlformats.org/officeDocument/2006/relationships/hyperlink" Target="https://github.com/abhinavnandwani/cae-synopsys-guides/blob/main/lab/rtl/sb_flop.v" TargetMode="External"/><Relationship Id="rId16" Type="http://schemas.openxmlformats.org/officeDocument/2006/relationships/hyperlink" Target="https://github.com/abhinavnandwani/cae-synopsys-guides/blob/main/lab/tb/tb.sv" TargetMode="External"/><Relationship Id="rId17" Type="http://schemas.openxmlformats.org/officeDocument/2006/relationships/hyperlink" Target="https://github.com/abhinavnandwani/cae-synopsys-guides/blob/main/lab/run_lab.py" TargetMode="External"/><Relationship Id="rId18" Type="http://schemas.openxmlformats.org/officeDocument/2006/relationships/hyperlink" Target="https://github.com/abhinavnandwani/cae-synopsys-guides/blob/main/lab/synth/run.tcl"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kb.wisc.edu/cae-software-guide" TargetMode="External"/><Relationship Id="rId23" Type="http://schemas.openxmlformats.org/officeDocument/2006/relationships/hyperlink" Target="https://www.synopsys.com/verification/debug/verd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 Development on CAE</dc:title>
  <dc:subject>CAE Synopsys terminal and GUI guide</dc:subject>
  <dc:creator>Abhinav Nandwani</dc:creator>
  <cp:keywords>CAE, Synopsys, Abhinav Nandwani</cp:keywords>
  <dc:description>generated by python-docx</dc:description>
  <cp:lastModifiedBy>Abhinav Nandwani</cp:lastModifiedBy>
  <cp:revision>1</cp:revision>
  <dcterms:created xsi:type="dcterms:W3CDTF">2013-12-23T23:15:00Z</dcterms:created>
  <dcterms:modified xsi:type="dcterms:W3CDTF">2013-12-23T23:15:00Z</dcterms:modified>
  <cp:category/>
</cp:coreProperties>
</file>