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80"/>
      </w:pPr>
      <w:r>
        <w:rPr>
          <w:rFonts w:ascii="Arial Black" w:hAnsi="Arial Black"/>
          <w:color w:val="1E3A8A"/>
          <w:sz w:val="44"/>
        </w:rPr>
        <w:t>SewNexa™ Manufacturing Execution Platform</w:t>
        <w:br/>
      </w:r>
      <w:r>
        <w:rPr>
          <w:rFonts w:ascii="Arial" w:hAnsi="Arial"/>
          <w:b/>
          <w:color w:val="9C5B3C"/>
          <w:sz w:val="36"/>
        </w:rPr>
        <w:t>TECHNO-FUNCTIONAL MANUAL</w:t>
        <w:br/>
      </w:r>
      <w:r>
        <w:rPr>
          <w:rFonts w:ascii="Arial" w:hAnsi="Arial"/>
          <w:i/>
          <w:color w:val="64748B"/>
          <w:sz w:val="22"/>
        </w:rPr>
        <w:t>End-to-End Business Functionality, Industrial Engineering Math &amp; Technical Architecture Design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Application Name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SewNexa (Sewing Line Balancing &amp; Shopfloor Intelligence MES)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Document Version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v2.4.0 — Enterprise Production Release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Target Audience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Industrial Engineers (IE), Production Managers, Tech Leads, Solution Architects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Core Technology Stack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Spring Boot 3 (Java 21), PostgreSQL 15, React 18, TypeScript, Tailwind CSS, Vite</w:t>
            </w:r>
          </w:p>
        </w:tc>
      </w:tr>
      <w:tr>
        <w:tc>
          <w:tcPr>
            <w:tcW w:type="dxa" w:w="3168"/>
            <w:shd w:fill="F1F5F9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color w:val="1E293B"/>
                <w:sz w:val="19"/>
              </w:rPr>
              <w:t>Classification</w:t>
            </w:r>
          </w:p>
        </w:tc>
        <w:tc>
          <w:tcPr>
            <w:tcW w:type="dxa" w:w="6192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color w:val="334155"/>
                <w:sz w:val="19"/>
              </w:rPr>
              <w:t>Enterprise Confidential &amp; Technical Reference Guide</w:t>
            </w:r>
          </w:p>
        </w:tc>
      </w:tr>
    </w:tbl>
    <w:p/>
    <w:p>
      <w:r>
        <w:br w:type="page"/>
      </w:r>
    </w:p>
    <w:p>
      <w:pPr>
        <w:pStyle w:val="Heading1"/>
      </w:pPr>
      <w:r>
        <w:t>Table of Contents</w:t>
      </w:r>
    </w:p>
    <w:p>
      <w:pPr>
        <w:spacing w:before="60" w:after="60"/>
      </w:pPr>
      <w:r>
        <w:rPr>
          <w:b/>
          <w:color w:val="1E293B"/>
          <w:sz w:val="20"/>
        </w:rPr>
        <w:t>1. Executive Summary &amp; Product Vision</w:t>
      </w:r>
    </w:p>
    <w:p>
      <w:pPr>
        <w:spacing w:before="60" w:after="60"/>
      </w:pPr>
      <w:r>
        <w:rPr>
          <w:b/>
          <w:color w:val="1E293B"/>
          <w:sz w:val="20"/>
        </w:rPr>
        <w:t>2. Apparel Industrial Engineering Foundations</w:t>
      </w:r>
    </w:p>
    <w:p>
      <w:pPr>
        <w:spacing w:before="60" w:after="60"/>
      </w:pPr>
      <w:r>
        <w:rPr>
          <w:b/>
          <w:color w:val="1E293B"/>
          <w:sz w:val="20"/>
        </w:rPr>
        <w:t>3. Business Flow &amp; Operational Lifecycles</w:t>
      </w:r>
    </w:p>
    <w:p>
      <w:pPr>
        <w:spacing w:before="60" w:after="60"/>
      </w:pPr>
      <w:r>
        <w:rPr>
          <w:b/>
          <w:color w:val="1E293B"/>
          <w:sz w:val="20"/>
        </w:rPr>
        <w:t>4. Comprehensive Functional Modules</w:t>
      </w:r>
    </w:p>
    <w:p>
      <w:pPr>
        <w:spacing w:before="60" w:after="60"/>
      </w:pPr>
      <w:r>
        <w:rPr>
          <w:color w:val="1E293B"/>
          <w:sz w:val="20"/>
        </w:rPr>
        <w:t xml:space="preserve">    4.1 Commercial Order Management &amp; Planned Completion</w:t>
      </w:r>
    </w:p>
    <w:p>
      <w:pPr>
        <w:spacing w:before="60" w:after="60"/>
      </w:pPr>
      <w:r>
        <w:rPr>
          <w:color w:val="1E293B"/>
          <w:sz w:val="20"/>
        </w:rPr>
        <w:t xml:space="preserve">    4.2 Style Library &amp; Operation Bulletins (OB)</w:t>
      </w:r>
    </w:p>
    <w:p>
      <w:pPr>
        <w:spacing w:before="60" w:after="60"/>
      </w:pPr>
      <w:r>
        <w:rPr>
          <w:color w:val="1E293B"/>
          <w:sz w:val="20"/>
        </w:rPr>
        <w:t xml:space="preserve">    4.3 Operator Skill Matrix &amp; Historical Assessment Tracking</w:t>
      </w:r>
    </w:p>
    <w:p>
      <w:pPr>
        <w:spacing w:before="60" w:after="60"/>
      </w:pPr>
      <w:r>
        <w:rPr>
          <w:color w:val="1E293B"/>
          <w:sz w:val="20"/>
        </w:rPr>
        <w:t xml:space="preserve">    4.4 Planned Lines &amp; Dynamic Balancing Engine</w:t>
      </w:r>
    </w:p>
    <w:p>
      <w:pPr>
        <w:spacing w:before="60" w:after="60"/>
      </w:pPr>
      <w:r>
        <w:rPr>
          <w:color w:val="1E293B"/>
          <w:sz w:val="20"/>
        </w:rPr>
        <w:t xml:space="preserve">    4.5 Production Monitoring &amp; Daily Output Feedback Loop</w:t>
      </w:r>
    </w:p>
    <w:p>
      <w:pPr>
        <w:spacing w:before="60" w:after="60"/>
      </w:pPr>
      <w:r>
        <w:rPr>
          <w:color w:val="1E293B"/>
          <w:sz w:val="20"/>
        </w:rPr>
        <w:t xml:space="preserve">    4.6 Notification Center &amp; Intelligent Manager Alerts</w:t>
      </w:r>
    </w:p>
    <w:p>
      <w:pPr>
        <w:spacing w:before="60" w:after="60"/>
      </w:pPr>
      <w:r>
        <w:rPr>
          <w:b/>
          <w:color w:val="1E293B"/>
          <w:sz w:val="20"/>
        </w:rPr>
        <w:t>5. Technical Architecture &amp; System Design</w:t>
      </w:r>
    </w:p>
    <w:p>
      <w:pPr>
        <w:spacing w:before="60" w:after="60"/>
      </w:pPr>
      <w:r>
        <w:rPr>
          <w:color w:val="1E293B"/>
          <w:sz w:val="20"/>
        </w:rPr>
        <w:t xml:space="preserve">    5.1 System Architecture Diagram &amp; Layering</w:t>
      </w:r>
    </w:p>
    <w:p>
      <w:pPr>
        <w:spacing w:before="60" w:after="60"/>
      </w:pPr>
      <w:r>
        <w:rPr>
          <w:color w:val="1E293B"/>
          <w:sz w:val="20"/>
        </w:rPr>
        <w:t xml:space="preserve">    5.2 Database Schema &amp; Entity Relational Model</w:t>
      </w:r>
    </w:p>
    <w:p>
      <w:pPr>
        <w:spacing w:before="60" w:after="60"/>
      </w:pPr>
      <w:r>
        <w:rPr>
          <w:color w:val="1E293B"/>
          <w:sz w:val="20"/>
        </w:rPr>
        <w:t xml:space="preserve">    5.3 REST API Specifications &amp; Core Endpoints</w:t>
      </w:r>
    </w:p>
    <w:p>
      <w:pPr>
        <w:spacing w:before="60" w:after="60"/>
      </w:pPr>
      <w:r>
        <w:rPr>
          <w:color w:val="1E293B"/>
          <w:sz w:val="20"/>
        </w:rPr>
        <w:t xml:space="preserve">    5.4 Mathematical Formulations &amp; IE Algorithms</w:t>
      </w:r>
    </w:p>
    <w:p>
      <w:pPr>
        <w:spacing w:before="60" w:after="60"/>
      </w:pPr>
      <w:r>
        <w:rPr>
          <w:b/>
          <w:color w:val="1E293B"/>
          <w:sz w:val="20"/>
        </w:rPr>
        <w:t>6. Deployment, Configuration &amp; Maintenance Guide</w:t>
      </w:r>
    </w:p>
    <w:p>
      <w:r>
        <w:br w:type="page"/>
      </w:r>
    </w:p>
    <w:p>
      <w:pPr>
        <w:pStyle w:val="Heading1"/>
      </w:pPr>
      <w:r>
        <w:t>1. Executive Summary &amp; Product Vision</w:t>
      </w:r>
    </w:p>
    <w:p>
      <w:r>
        <w:t>SewNexa™ is an enterprise-grade Manufacturing Execution System (MES) and Line Balancing platform engineered specifically for apparel manufacturing, garment export houses, and precision textile assembly plants.</w:t>
      </w:r>
    </w:p>
    <w:p>
      <w:r>
        <w:t>In traditional apparel factories, industrial engineers (IEs) and floor managers face severe operational inefficiencies: bottleneck workstations starve downstream operators, unbalanced lines cause high Work-In-Progress (WIP), operator skill mismatches decrease productivity, and daily end-line outputs are decoupled from delivery deadlines.</w:t>
      </w:r>
    </w:p>
    <w:p>
      <w:r>
        <w:t>SewNexa bridges this critical gap by harmonizing commercial purchase orders, operational engineering bulletins (SMVs), operator multi-skill assessments, shift attendances, live interval tracking, and Theory-of-Constraints (TOC) dynamic balancing algorithms into a unified, real-time command center.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1E3A8A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C5B3C"/>
                <w:sz w:val="20"/>
              </w:rPr>
              <w:t xml:space="preserve">📌 CORE VALUE DRIVER: </w:t>
            </w:r>
            <w:r>
              <w:rPr>
                <w:rFonts w:ascii="Arial" w:hAnsi="Arial"/>
                <w:color w:val="334155"/>
                <w:sz w:val="19"/>
              </w:rPr>
              <w:t>SewNexa introduces Closed-Loop Dynamic Balancing: every verified piece recorded in Production Monitoring automatically deducts from the active order quantity, instantly updating the remaining delivery workload and recalculating Takt Time in real time.</w:t>
            </w:r>
          </w:p>
        </w:tc>
      </w:tr>
    </w:tbl>
    <w:p/>
    <w:p>
      <w:pPr>
        <w:pStyle w:val="Heading1"/>
      </w:pPr>
      <w:r>
        <w:t>2. Apparel Industrial Engineering Foundations</w:t>
      </w:r>
    </w:p>
    <w:p>
      <w:r>
        <w:t>To maximize throughput and eliminate bottlenecks, SewNexa relies on globally standardized garment manufacturing Industrial Engineering formulas and principles: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Term / Metric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Formula / Standard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Operational Role &amp; Significance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Standard Minute Value (SMV)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Basic Time + (Basic Time × Allowance %)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The standard work content required for a qualified operator at 100% rating to complete a specific sewing operation.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Basic Pitch Time (BPT)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9C5B3C"/>
                <w:sz w:val="17"/>
              </w:rPr>
              <w:t>Total Garment SMV ÷ Total Number of Operators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The theoretical average cycle time per workstation when work is perfectly distributed across all allocated operators.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Takt Time (Delivery Paced)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Net Available Operating Secs ÷ Remaining Order Units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The maximum allowable cycle time per workstation required to meet the customer's delivery deadline or internal completion target.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Takt Time (Shift Paced)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9C5B3C"/>
                <w:sz w:val="17"/>
              </w:rPr>
              <w:t>Shift Operating Secs (e.g. 28,800s) ÷ Fixed Shift Target Pcs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The workstation cycle pace needed to satisfy daily factory production targets (e.g., 500 pcs/shift).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Line Balance Efficiency (LBE)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Total SMV ÷ (Bottleneck Cycle Time × Total Operators) × 100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Indicates the level of synchronization across sewing stations. Higher percentage (&gt;85%) represents balanced flow with minimal WIP buildup.</w:t>
            </w:r>
          </w:p>
        </w:tc>
      </w:tr>
    </w:tbl>
    <w:p/>
    <w:p>
      <w:pPr>
        <w:pStyle w:val="Heading1"/>
      </w:pPr>
      <w:r>
        <w:t>3. Business Flow &amp; Operational Lifecycles</w:t>
      </w:r>
    </w:p>
    <w:p>
      <w:r>
        <w:t>SewNexa coordinates a six-stage closed-loop manufacturing lifecycle from merchandising order entry to automated shopfloor production reconciliation: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1: Commercial Order Booking &amp; Timeline Scheduling: </w:t>
      </w:r>
      <w:r>
        <w:rPr>
          <w:sz w:val="19"/>
        </w:rPr>
        <w:t>Merchandising creates Purchase Orders with size breakdowns, color specs, contractual Delivery Dates, and internal 'Plan to Complete Dates' that incorporate buffer days before shipment.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2: Style Engineering &amp; Operation Bulletin (OB) Setup: </w:t>
      </w:r>
      <w:r>
        <w:rPr>
          <w:sz w:val="19"/>
        </w:rPr>
        <w:t>Industrial Engineering establishes the master garment operation sequence, assigning machine classes (Single Needle Lockstitch, Overlock, Flatlock, Kansai, Feed-off-the-Arm) and calculated Standard Minute Values (SMVs).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3: Multi-Skilled Workforce Rating &amp; Shift Attendance: </w:t>
      </w:r>
      <w:r>
        <w:rPr>
          <w:sz w:val="19"/>
        </w:rPr>
        <w:t>HR and Production Supervisors record daily shift clock-ins (Shift A, Shift B, Shift C). Operators are mapped against an audited 1–5 Skill Matrix with historical proficiency logs.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4: Planned Line Balancing &amp; Manpower Allocation: </w:t>
      </w:r>
      <w:r>
        <w:rPr>
          <w:sz w:val="19"/>
        </w:rPr>
        <w:t>IE assigns operators to workstations based on skill compatibility and machine requirements. The engine computes Theoretical Manpower, calculates Station Load %, highlights Bottlenecks exceeding Takt Time, and allows one-click AI Auto-Balancing.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5: Live Shopfloor Production Monitoring &amp; Interval Tracking: </w:t>
      </w:r>
      <w:r>
        <w:rPr>
          <w:sz w:val="19"/>
        </w:rPr>
        <w:t>Floor Line Managers enter operator-wise completed pieces at 1-hour or 2-hour intervals. The system validates pieces against theoretical station capacity, isolates daily date records, and computes End-Line final throughput.</w:t>
      </w:r>
    </w:p>
    <w:p>
      <w:pPr>
        <w:spacing w:before="80" w:after="80"/>
      </w:pPr>
      <w:r>
        <w:rPr>
          <w:b/>
          <w:color w:val="9C5B3C"/>
          <w:sz w:val="19"/>
        </w:rPr>
        <w:t xml:space="preserve">Stage 6: Real-Time Dynamic Feedback &amp; Manager Alerting: </w:t>
      </w:r>
      <w:r>
        <w:rPr>
          <w:sz w:val="19"/>
        </w:rPr>
        <w:t>Finalized daily output is automatically deducted from the remaining order balance in Planned Lines. If any station cycle exceeds Takt Time, single-instance de-duplicated critical alerts are dispatched to the Manager's Notification Center.</w:t>
      </w:r>
    </w:p>
    <w:p>
      <w:r>
        <w:br w:type="page"/>
      </w:r>
    </w:p>
    <w:p>
      <w:pPr>
        <w:pStyle w:val="Heading1"/>
      </w:pPr>
      <w:r>
        <w:t>4. Comprehensive Functional Modules</w:t>
      </w:r>
    </w:p>
    <w:p>
      <w:pPr>
        <w:pStyle w:val="Heading2"/>
      </w:pPr>
      <w:r>
        <w:t>4.1 Commercial Order Management &amp; Planned Completion</w:t>
      </w:r>
    </w:p>
    <w:p>
      <w:r>
        <w:t>The Order Register manages commercial apparel contracts. Key features include:</w:t>
      </w:r>
    </w:p>
    <w:p>
      <w:r>
        <w:t>• Dual Target Date Control: Manages both contractual 'Delivery Date' (buyer deadline) and internal 'Plan to Complete Date' (factory completion target).</w:t>
        <w:br/>
        <w:t>• Buffer &amp; Countdown Badges: Displays real-time countdown chips (e.g., '18d target left', '4d buffer before delivery') to alert planners to tight delivery windows.</w:t>
        <w:br/>
        <w:t>• Multi-Size Matrix Breakdown: Allows matrix entry of sizes (XS, S, M, L, XL, XXL) with automated sum reconciliation.</w:t>
        <w:br/>
        <w:t>• Excel Data Export: Generates formatted production registers for factory planning meetings.</w:t>
      </w:r>
    </w:p>
    <w:p>
      <w:pPr>
        <w:pStyle w:val="Heading2"/>
      </w:pPr>
      <w:r>
        <w:t>4.2 Style Library &amp; Operation Bulletins (OB)</w:t>
      </w:r>
    </w:p>
    <w:p>
      <w:r>
        <w:t>Defines the product technical specification. Each Bulletin specifies the exact sewing sequence (e.g., Collar Preparation, Sleeve Setting, Bottom Hemming), machine requirements, SMV, and seam types (ISO 4915).</w:t>
      </w:r>
    </w:p>
    <w:p>
      <w:pPr>
        <w:pStyle w:val="Heading2"/>
      </w:pPr>
      <w:r>
        <w:t>4.3 Operator Skill Matrix &amp; Historical Assessment Tracking</w:t>
      </w:r>
    </w:p>
    <w:p>
      <w:r>
        <w:t>SewNexa provides a multi-grade skill rating system (Grades 1 to 5: Learner to Master) across operations and machine categories. Every change is logged with timestamp and user attribution in the Skill Audit History log for compliance and ISO-9001 certifications.</w:t>
      </w:r>
    </w:p>
    <w:p>
      <w:pPr>
        <w:pStyle w:val="Heading2"/>
      </w:pPr>
      <w:r>
        <w:t>4.4 Planned Lines &amp; Dynamic Balancing Engine</w:t>
      </w:r>
    </w:p>
    <w:p>
      <w:r>
        <w:t>The core mathematical balancing engine provides two operational pacing modes:</w:t>
      </w:r>
    </w:p>
    <w:p>
      <w:r>
        <w:t>1. Delivery Schedule Window Mode: Computes working days remaining between today and the Planned Complete Date (excluding factory off-days like Sundays) to establish the live required hourly output.</w:t>
        <w:br/>
        <w:t>2. Fixed Shift Target Mode: Establishes a daily shift production goal (e.g., 600 pieces in an 8-hour shift = 75 pcs/hr = 48.0s Takt Time).</w:t>
        <w:br/>
        <w:t>3. Theory of Constraints Bottleneck Highlighting: Workstations exceeding Takt Time are automatically highlighted in crimson with capacity warnings.</w:t>
        <w:br/>
        <w:t>4. One-Click AI Auto-Balancing: Analyzes present operators, matches skill ratings against operation difficulty, allocates float helpers to heavy stations, and balances pitch time.</w:t>
      </w:r>
    </w:p>
    <w:p>
      <w:pPr>
        <w:pStyle w:val="Heading2"/>
      </w:pPr>
      <w:r>
        <w:t>4.5 Production Monitoring &amp; Daily Output Feedback Loop</w:t>
      </w:r>
    </w:p>
    <w:p>
      <w:r>
        <w:t>Enables floor line supervisors to log operator pieces in regular intervals (1 hour, 2 hours, or shift end). Key mechanisms:</w:t>
      </w:r>
    </w:p>
    <w:p>
      <w:r>
        <w:t>• Date Isolation: Records are strictly partitioned by calendar date in PostgreSQL (e.g., 01-09-2026 data remains independent from 02-09-2026).</w:t>
        <w:br/>
        <w:t>• Closed-Loop Quantity Deduction: Cumulative end-line throughput is automatically deducted from total order quantity in Planned Lines, dynamically increasing or decreasing remaining takt time.</w:t>
        <w:br/>
        <w:t>• Operator Efficiency Tracking: Calculates operator earned minutes vs available minutes in real time.</w:t>
      </w:r>
    </w:p>
    <w:p>
      <w:pPr>
        <w:pStyle w:val="Heading2"/>
      </w:pPr>
      <w:r>
        <w:t>4.6 Notification Center &amp; Intelligent Manager Alerts</w:t>
      </w:r>
    </w:p>
    <w:p>
      <w:r>
        <w:t>Keeps management informed with actionable, de-duplicated alerts:</w:t>
      </w:r>
    </w:p>
    <w:p>
      <w:r>
        <w:t>• Single-Notification Deduplication: Prevents alert flooding by updating existing active alerts in-place rather than creating duplicate rows.</w:t>
        <w:br/>
        <w:t>• Direct Navigation: Clicking any Bottleneck Notification automatically navigates directly to Planned Lines in Fixed Shift Target mode with the affected order preselected.</w:t>
      </w:r>
    </w:p>
    <w:p>
      <w:r>
        <w:br w:type="page"/>
      </w:r>
    </w:p>
    <w:p>
      <w:pPr>
        <w:pStyle w:val="Heading1"/>
      </w:pPr>
      <w:r>
        <w:t>5. Technical Architecture &amp; System Design</w:t>
      </w:r>
    </w:p>
    <w:p>
      <w:r>
        <w:t>SewNexa is built upon a modern, cloud-ready, high-performance layered architecture following Domain-Driven Design (DDD) principles: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Layer / Component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Technology Stack</w:t>
            </w:r>
          </w:p>
        </w:tc>
        <w:tc>
          <w:tcPr>
            <w:tcW w:type="dxa" w:w="31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Key Responsibilities &amp; Design Patterns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Frontend Presentation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1E3A8A"/>
                <w:sz w:val="17"/>
              </w:rPr>
              <w:t>React 18, TypeScript, Tailwind CSS, Vite, Framer Motion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Interactive Single Page Application (SPA), React Portals for modal layering, custom responsive design system.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Backend Services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1E3A8A"/>
                <w:sz w:val="17"/>
              </w:rPr>
              <w:t>Java 21, Spring Boot 3.3.x, Spring Web, Spring Data JPA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RESTful API controllers, Transactional Service Layer (@Transactional), DTO mapping, validation filters.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Persistence &amp; Migration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1E3A8A"/>
                <w:sz w:val="17"/>
              </w:rPr>
              <w:t>PostgreSQL 15, Flyway Migration Engine (38 Versions)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ACID compliance, schema versioning, foreign key integrity, temporal audit logs.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8"/>
              </w:rPr>
              <w:t>Industrial Math Engine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1E3A8A"/>
                <w:sz w:val="17"/>
              </w:rPr>
              <w:t>Client/Server Hybrid IE Computation Modules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Takt time calculators, PFD allowance engines, line efficiency algorithms, bottleneck detection.</w:t>
            </w:r>
          </w:p>
        </w:tc>
      </w:tr>
      <w:tr>
        <w:tc>
          <w:tcPr>
            <w:tcW w:type="dxa" w:w="259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8"/>
              </w:rPr>
              <w:t>Notification Subsystem</w:t>
            </w:r>
          </w:p>
        </w:tc>
        <w:tc>
          <w:tcPr>
            <w:tcW w:type="dxa" w:w="3312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1E3A8A"/>
                <w:sz w:val="17"/>
              </w:rPr>
              <w:t>Spring Event / REST Notification Hub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Manager alert dispatch, de-duplication cache, unread counter synchronization.</w:t>
            </w:r>
          </w:p>
        </w:tc>
      </w:tr>
    </w:tbl>
    <w:p/>
    <w:p>
      <w:pPr>
        <w:pStyle w:val="Heading2"/>
      </w:pPr>
      <w:r>
        <w:t>5.3 Core REST API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HTTP Method &amp; Route</w:t>
            </w:r>
          </w:p>
        </w:tc>
        <w:tc>
          <w:tcPr>
            <w:tcW w:type="dxa" w:w="3120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3120"/>
            <w:shd w:fill="334155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19"/>
              </w:rPr>
              <w:t>Description &amp; Payload Details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GET /api/orders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7"/>
              </w:rPr>
              <w:t>Orders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Retrieves all production orders with size breakdown and completion dates.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9C5B3C"/>
                <w:sz w:val="17"/>
              </w:rPr>
              <w:t>POST /api/orders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7"/>
              </w:rPr>
              <w:t>Orders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Creates order with orderDate, plannedCompletionDate, and deliveryDate.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GET /api/lines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7"/>
              </w:rPr>
              <w:t>Sewing Lines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Fetches active manufacturing lines, target pitch time, and capacities.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9C5B3C"/>
                <w:sz w:val="17"/>
              </w:rPr>
              <w:t>GET /api/bulletins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7"/>
              </w:rPr>
              <w:t>Engineering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Retrieves Operation Bulletins, SMVs, and sequence mappings.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POST /api/piece-production/log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7"/>
              </w:rPr>
              <w:t>Monitoring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Logs operator pieces for a specific date, shift, and time interval.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rFonts w:ascii="Consolas" w:hAnsi="Consolas"/>
                <w:color w:val="9C5B3C"/>
                <w:sz w:val="17"/>
              </w:rPr>
              <w:t>GET /api/piece-production/24h-timesheet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b/>
                <w:sz w:val="17"/>
              </w:rPr>
              <w:t>Monitoring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  <w:shd w:fill="F8FAFC"/>
          </w:tcPr>
          <w:p>
            <w:r>
              <w:rPr>
                <w:sz w:val="17"/>
              </w:rPr>
              <w:t>Fetches date-isolated hourly matrix per operator.</w:t>
            </w:r>
          </w:p>
        </w:tc>
      </w:tr>
      <w:tr>
        <w:tc>
          <w:tcPr>
            <w:tcW w:type="dxa" w:w="3456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rFonts w:ascii="Consolas" w:hAnsi="Consolas"/>
                <w:color w:val="9C5B3C"/>
                <w:sz w:val="17"/>
              </w:rPr>
              <w:t>POST /api/notifications/bottleneck-alert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b/>
                <w:sz w:val="17"/>
              </w:rPr>
              <w:t>Alerts</w:t>
            </w:r>
          </w:p>
        </w:tc>
        <w:tc>
          <w:tcPr>
            <w:tcW w:type="dxa" w:w="4320"/>
            <w:tcMar>
              <w:top w:w="50" w:type="dxa"/>
              <w:bottom w:w="50" w:type="dxa"/>
              <w:left w:w="80" w:type="dxa"/>
              <w:right w:w="80" w:type="dxa"/>
            </w:tcMar>
            <w:tcBorders>
              <w:top w:val="single" w:sz="4" w:space="0" w:color="E2E8F0"/>
              <w:bottom w:val="single" w:sz="4" w:space="0" w:color="E2E8F0"/>
              <w:left w:val="none"/>
              <w:right w:val="none"/>
            </w:tcBorders>
          </w:tcPr>
          <w:p>
            <w:r>
              <w:rPr>
                <w:sz w:val="17"/>
              </w:rPr>
              <w:t>Triggers single de-duplicated manager bottleneck notification.</w:t>
            </w:r>
          </w:p>
        </w:tc>
      </w:tr>
    </w:tbl>
    <w:p>
      <w:r>
        <w:br w:type="page"/>
      </w:r>
    </w:p>
    <w:p>
      <w:pPr>
        <w:pStyle w:val="Heading1"/>
      </w:pPr>
      <w:r>
        <w:t>6. Deployment, Configuration &amp; Maintenance Guide</w:t>
      </w:r>
    </w:p>
    <w:p>
      <w:r>
        <w:t>Follow these standard enterprise deployment steps to run SewNexa in on-premise or cloud environments:</w:t>
      </w:r>
    </w:p>
    <w:p>
      <w:pPr>
        <w:pStyle w:val="Heading2"/>
      </w:pPr>
      <w:r>
        <w:t>Database Setup (PostgreSQL)</w:t>
      </w:r>
    </w:p>
    <w:p>
      <w:r>
        <w:t>1. Create database: CREATE DATABASE line_balancing;</w:t>
        <w:br/>
        <w:t>2. Spring Boot will automatically run all Flyway migrations (V1 through V38) on application startup.</w:t>
      </w:r>
    </w:p>
    <w:p>
      <w:pPr>
        <w:pStyle w:val="Heading2"/>
      </w:pPr>
      <w:r>
        <w:t>Backend API Service (Spring Boot 3)</w:t>
      </w:r>
    </w:p>
    <w:p>
      <w:r>
        <w:t>• Working Directory: /backend</w:t>
        <w:br/>
        <w:t>• Command to run: mvn spring-boot:run</w:t>
        <w:br/>
        <w:t>• Port: http://localhost:8080</w:t>
      </w:r>
    </w:p>
    <w:p>
      <w:pPr>
        <w:pStyle w:val="Heading2"/>
      </w:pPr>
      <w:r>
        <w:t>Frontend Client Service (React + Vite)</w:t>
      </w:r>
    </w:p>
    <w:p>
      <w:r>
        <w:t>• Working Directory: /frontend</w:t>
        <w:br/>
        <w:t>• Install dependencies: npm install</w:t>
        <w:br/>
        <w:t>• Development Server: npm run dev (running on http://localhost:5173)</w:t>
        <w:br/>
        <w:t>• Production Build: npm run build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left w:val="single" w:sz="24" w:space="0" w:color="77876F"/>
              <w:top w:val="none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9C5B3C"/>
                <w:sz w:val="20"/>
              </w:rPr>
              <w:t xml:space="preserve">📌 OPERATIONAL PREREQUISITE: </w:t>
            </w:r>
            <w:r>
              <w:rPr>
                <w:rFonts w:ascii="Arial" w:hAnsi="Arial"/>
                <w:color w:val="334155"/>
                <w:sz w:val="19"/>
              </w:rPr>
              <w:t>Ensure PostgreSQL service is running and credentials in backend/src/main/resources/application.properties match your local or cloud database instance.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228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9C5B3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