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sz w:val="34"/>
          <w:szCs w:val="34"/>
          <w:rtl w:val="0"/>
        </w:rPr>
        <w:t xml:space="preserve">Knex Contracts &amp; Payments FAQ</w:t>
      </w:r>
    </w:p>
    <w:p w:rsidR="00000000" w:rsidDel="00000000" w:rsidP="00000000" w:rsidRDefault="00000000" w:rsidRPr="00000000" w14:paraId="00000002">
      <w:pPr>
        <w:spacing w:after="240" w:before="240" w:lineRule="auto"/>
        <w:rPr/>
      </w:pPr>
      <w:r w:rsidDel="00000000" w:rsidR="00000000" w:rsidRPr="00000000">
        <w:rPr>
          <w:rtl w:val="0"/>
        </w:rPr>
        <w:t xml:space="preserve">Please r</w:t>
      </w:r>
      <w:r w:rsidDel="00000000" w:rsidR="00000000" w:rsidRPr="00000000">
        <w:rPr>
          <w:rtl w:val="0"/>
        </w:rPr>
        <w:t xml:space="preserve">eview the Knex Tri-Party Service Agreement and SOW template that will be used for each engagement. Reviewing these documents ahead of time will allow us to accelerate the contract review stage for all of your engagements. Important items to note:</w:t>
      </w:r>
    </w:p>
    <w:p w:rsidR="00000000" w:rsidDel="00000000" w:rsidP="00000000" w:rsidRDefault="00000000" w:rsidRPr="00000000" w14:paraId="00000003">
      <w:pPr>
        <w:numPr>
          <w:ilvl w:val="0"/>
          <w:numId w:val="1"/>
        </w:numPr>
        <w:spacing w:after="0" w:afterAutospacing="0" w:before="240" w:lineRule="auto"/>
        <w:ind w:left="720" w:hanging="360"/>
        <w:rPr>
          <w:color w:val="000000"/>
          <w:sz w:val="22"/>
          <w:szCs w:val="22"/>
        </w:rPr>
      </w:pPr>
      <w:r w:rsidDel="00000000" w:rsidR="00000000" w:rsidRPr="00000000">
        <w:rPr>
          <w:rtl w:val="0"/>
        </w:rPr>
        <w:t xml:space="preserve">The Tri-Party Agreement is meant to remain fixed between all engagements, so no changes will be happening in this document. </w:t>
      </w:r>
    </w:p>
    <w:p w:rsidR="00000000" w:rsidDel="00000000" w:rsidP="00000000" w:rsidRDefault="00000000" w:rsidRPr="00000000" w14:paraId="00000004">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The Scope of Work (SOW) is where changes happen for every engagement and designed to be a collaborative document between you and the client. </w:t>
      </w:r>
    </w:p>
    <w:p w:rsidR="00000000" w:rsidDel="00000000" w:rsidP="00000000" w:rsidRDefault="00000000" w:rsidRPr="00000000" w14:paraId="00000005">
      <w:pPr>
        <w:numPr>
          <w:ilvl w:val="0"/>
          <w:numId w:val="1"/>
        </w:numPr>
        <w:spacing w:after="240" w:before="0" w:beforeAutospacing="0" w:lineRule="auto"/>
        <w:ind w:left="720" w:hanging="360"/>
        <w:rPr>
          <w:color w:val="000000"/>
          <w:sz w:val="22"/>
          <w:szCs w:val="22"/>
        </w:rPr>
      </w:pPr>
      <w:r w:rsidDel="00000000" w:rsidR="00000000" w:rsidRPr="00000000">
        <w:rPr>
          <w:rtl w:val="0"/>
        </w:rPr>
        <w:t xml:space="preserve">If you have questions about these documents, please start here with </w:t>
      </w:r>
      <w:r w:rsidDel="00000000" w:rsidR="00000000" w:rsidRPr="00000000">
        <w:rPr>
          <w:rtl w:val="0"/>
        </w:rPr>
        <w:t xml:space="preserve">this FAQ</w:t>
      </w:r>
      <w:r w:rsidDel="00000000" w:rsidR="00000000" w:rsidRPr="00000000">
        <w:rPr>
          <w:rtl w:val="0"/>
        </w:rPr>
        <w:t xml:space="preserve">. If this didn’t address your question then please reach out to support@knex.pro.</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nll0nx4t74i" w:id="0"/>
      <w:bookmarkEnd w:id="0"/>
      <w:r w:rsidDel="00000000" w:rsidR="00000000" w:rsidRPr="00000000">
        <w:rPr>
          <w:b w:val="1"/>
          <w:bCs w:val="1"/>
          <w:color w:val="000000"/>
          <w:sz w:val="26"/>
          <w:szCs w:val="26"/>
          <w:rtl w:val="0"/>
        </w:rPr>
        <w:t xml:space="preserve">GENERAL STRUCTURE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Q: What is the Tri-Party Agreement?</w:t>
        <w:br w:type="textWrapping"/>
      </w:r>
      <w:r w:rsidDel="00000000" w:rsidR="00000000" w:rsidRPr="00000000">
        <w:rPr>
          <w:rtl w:val="0"/>
        </w:rPr>
        <w:t xml:space="preserve"> A: It’s a service agreement between Knex, the client company, and the fractional executive. It governs the relationship for a specific client engagement and must be signed </w:t>
      </w:r>
      <w:r w:rsidDel="00000000" w:rsidR="00000000" w:rsidRPr="00000000">
        <w:rPr>
          <w:b w:val="1"/>
          <w:bCs w:val="1"/>
          <w:rtl w:val="0"/>
        </w:rPr>
        <w:t xml:space="preserve">for each new client project</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Q: What is the Scope of Work (SOW) template for?</w:t>
        <w:br w:type="textWrapping"/>
      </w:r>
      <w:r w:rsidDel="00000000" w:rsidR="00000000" w:rsidRPr="00000000">
        <w:rPr>
          <w:rtl w:val="0"/>
        </w:rPr>
        <w:t xml:space="preserve"> A: The SOW outlines the specific terms of a project or monthly engagement — including services, deliverables, timeline, fees, and communication — and is attached as an addendum to the Tri-Party Agreement.</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ao6joebt9qe5" w:id="1"/>
      <w:bookmarkEnd w:id="1"/>
      <w:r w:rsidDel="00000000" w:rsidR="00000000" w:rsidRPr="00000000">
        <w:rPr>
          <w:b w:val="1"/>
          <w:bCs w:val="1"/>
          <w:color w:val="000000"/>
          <w:sz w:val="26"/>
          <w:szCs w:val="26"/>
          <w:rtl w:val="0"/>
        </w:rPr>
        <w:t xml:space="preserve">USAGE &amp; SIGNATURE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Q: When do I need to sign the Tri-Party Agreement?</w:t>
        <w:br w:type="textWrapping"/>
      </w:r>
      <w:r w:rsidDel="00000000" w:rsidR="00000000" w:rsidRPr="00000000">
        <w:rPr>
          <w:rtl w:val="0"/>
        </w:rPr>
        <w:t xml:space="preserve"> A: You’ll sign a new Tri-Party Agreement </w:t>
      </w:r>
      <w:r w:rsidDel="00000000" w:rsidR="00000000" w:rsidRPr="00000000">
        <w:rPr>
          <w:b w:val="1"/>
          <w:bCs w:val="1"/>
          <w:rtl w:val="0"/>
        </w:rPr>
        <w:t xml:space="preserve">for each client you work with through Knex</w:t>
      </w:r>
      <w:r w:rsidDel="00000000" w:rsidR="00000000" w:rsidRPr="00000000">
        <w:rPr>
          <w:rtl w:val="0"/>
        </w:rPr>
        <w:t xml:space="preserve">. It ensures clear expectations and legal protections for all parties.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Q: Do I need a new SOW for every project?</w:t>
        <w:br w:type="textWrapping"/>
      </w:r>
      <w:r w:rsidDel="00000000" w:rsidR="00000000" w:rsidRPr="00000000">
        <w:rPr>
          <w:rtl w:val="0"/>
        </w:rPr>
        <w:t xml:space="preserve"> A: Yes. The SOW defines the scope of services and terms for each individual engagement. A new SOW is required for each distinct scope, even with the same client.</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661fiv6s62x" w:id="2"/>
      <w:bookmarkEnd w:id="2"/>
      <w:r w:rsidDel="00000000" w:rsidR="00000000" w:rsidRPr="00000000">
        <w:rPr>
          <w:b w:val="1"/>
          <w:bCs w:val="1"/>
          <w:color w:val="000000"/>
          <w:sz w:val="26"/>
          <w:szCs w:val="26"/>
          <w:rtl w:val="0"/>
        </w:rPr>
        <w:t xml:space="preserve">PAYMENTS &amp; FEES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Q: How are payments handled?</w:t>
        <w:br w:type="textWrapping"/>
      </w:r>
      <w:r w:rsidDel="00000000" w:rsidR="00000000" w:rsidRPr="00000000">
        <w:rPr>
          <w:rtl w:val="0"/>
        </w:rPr>
        <w:t xml:space="preserve"> A: Post contract execution, the fractional executive will complete vendor onboarding with Knex. Knex will then send the first invoice and handle all invoicing thereafter. Clients pay Knex the fractional’s fee plus any applicable fees due to Knex (typically a 10% fee), and Knex pays the fractional executive according to the agreed terms. See the SOW template for a specific example. Please be sure to consider ACH payment delays when including the payment due dates in the SOW. Some banks can take 5 business days for these payments. The payment flow is Client &gt; Knex &gt; Contractor.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Q: What platform fee does Knex charge?</w:t>
        <w:br w:type="textWrapping"/>
      </w:r>
      <w:r w:rsidDel="00000000" w:rsidR="00000000" w:rsidRPr="00000000">
        <w:rPr>
          <w:rtl w:val="0"/>
        </w:rPr>
        <w:t xml:space="preserve"> A: Knex charges the client a 10% platform fee. This does not reduce the executive’s stated rate.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Q: What happens if a client hires an executive full-time?</w:t>
        <w:br w:type="textWrapping"/>
      </w:r>
      <w:r w:rsidDel="00000000" w:rsidR="00000000" w:rsidRPr="00000000">
        <w:rPr>
          <w:rtl w:val="0"/>
        </w:rPr>
        <w:t xml:space="preserve"> A: A 25% conversion fee applies (based on the executive’s first-year salary) if a client hires an executive directly within 12 months of an engagement ending.</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idrt8jv06snm" w:id="3"/>
      <w:bookmarkEnd w:id="3"/>
      <w:r w:rsidDel="00000000" w:rsidR="00000000" w:rsidRPr="00000000">
        <w:rPr>
          <w:b w:val="1"/>
          <w:bCs w:val="1"/>
          <w:color w:val="000000"/>
          <w:sz w:val="26"/>
          <w:szCs w:val="26"/>
          <w:rtl w:val="0"/>
        </w:rPr>
        <w:t xml:space="preserve">IP, CONFIDENTIALITY &amp; LEGAL TERMS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Q: Who owns the work created?</w:t>
        <w:br w:type="textWrapping"/>
      </w:r>
      <w:r w:rsidDel="00000000" w:rsidR="00000000" w:rsidRPr="00000000">
        <w:rPr>
          <w:rtl w:val="0"/>
        </w:rPr>
        <w:t xml:space="preserve"> A: Any deliverables created specifically for the client and paid for in full are owned by the client. Any pre-existing frameworks, tools, or IP remain the property of the executive.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Q: What protections exist for confidential information?</w:t>
        <w:br w:type="textWrapping"/>
      </w:r>
      <w:r w:rsidDel="00000000" w:rsidR="00000000" w:rsidRPr="00000000">
        <w:rPr>
          <w:rtl w:val="0"/>
        </w:rPr>
        <w:t xml:space="preserve"> A: All parties are bound by strict confidentiality obligations, as outlined in the agreement, covering business data, strategies, and proprietary materials.</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w6rbjbps0xy" w:id="4"/>
      <w:bookmarkEnd w:id="4"/>
      <w:r w:rsidDel="00000000" w:rsidR="00000000" w:rsidRPr="00000000">
        <w:rPr>
          <w:b w:val="1"/>
          <w:bCs w:val="1"/>
          <w:color w:val="000000"/>
          <w:sz w:val="26"/>
          <w:szCs w:val="26"/>
          <w:rtl w:val="0"/>
        </w:rPr>
        <w:t xml:space="preserve">NON-CIRCUMVENTION &amp; SOLICITATION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Q: Can the client and executive work together outside of Knex?</w:t>
        <w:br w:type="textWrapping"/>
      </w:r>
      <w:r w:rsidDel="00000000" w:rsidR="00000000" w:rsidRPr="00000000">
        <w:rPr>
          <w:rtl w:val="0"/>
        </w:rPr>
        <w:t xml:space="preserve"> A: No. All engagements must run through Knex unless written permission is granted. Circumvention is a violation of the agreement.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Q: What’s the non-solicitation clause about?</w:t>
        <w:br w:type="textWrapping"/>
      </w:r>
      <w:r w:rsidDel="00000000" w:rsidR="00000000" w:rsidRPr="00000000">
        <w:rPr>
          <w:rtl w:val="0"/>
        </w:rPr>
        <w:t xml:space="preserve"> A: Clients and executives may not solicit or directly engage each other’s teams or clients outside of Knex for 12 months following an engagement.</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yunng4381wd" w:id="5"/>
      <w:bookmarkEnd w:id="5"/>
      <w:r w:rsidDel="00000000" w:rsidR="00000000" w:rsidRPr="00000000">
        <w:rPr>
          <w:b w:val="1"/>
          <w:bCs w:val="1"/>
          <w:color w:val="000000"/>
          <w:sz w:val="26"/>
          <w:szCs w:val="26"/>
          <w:rtl w:val="0"/>
        </w:rPr>
        <w:t xml:space="preserve">SOW-SPECIFIC DETAILS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Q: What’s included in the SOW?</w:t>
        <w:br w:type="textWrapping"/>
      </w:r>
      <w:r w:rsidDel="00000000" w:rsidR="00000000" w:rsidRPr="00000000">
        <w:rPr>
          <w:rtl w:val="0"/>
        </w:rPr>
        <w:t xml:space="preserve"> A: It includes the engagement title, services to be delivered, project or term length, monthly payment structure, hours cap, and reporting cadence.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Q: Can an engagement be ended early?</w:t>
        <w:br w:type="textWrapping"/>
      </w:r>
      <w:r w:rsidDel="00000000" w:rsidR="00000000" w:rsidRPr="00000000">
        <w:rPr>
          <w:rtl w:val="0"/>
        </w:rPr>
        <w:t xml:space="preserve"> A: Yes — either party may terminate the SO. For projects, or a 30 day initial sprint, the cancellation is immediate. Monthly engagements can be cancelled by either party with 30 days’ written notice. The contractor will be paid for all services rendered up to the termination date.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Q: Who handles communication and check-ins?</w:t>
        <w:br w:type="textWrapping"/>
      </w:r>
      <w:r w:rsidDel="00000000" w:rsidR="00000000" w:rsidRPr="00000000">
        <w:rPr>
          <w:rtl w:val="0"/>
        </w:rPr>
        <w:t xml:space="preserve"> A: The SOW identifies a primary point of contact and outlines how progress will be reported (e.g., weekly updates or bi-weekly calls).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tstwoqf5x4k" w:id="6"/>
      <w:bookmarkEnd w:id="6"/>
      <w:r w:rsidDel="00000000" w:rsidR="00000000" w:rsidRPr="00000000">
        <w:rPr>
          <w:b w:val="1"/>
          <w:bCs w:val="1"/>
          <w:color w:val="000000"/>
          <w:sz w:val="26"/>
          <w:szCs w:val="26"/>
          <w:rtl w:val="0"/>
        </w:rPr>
        <w:t xml:space="preserve">OTHER QUESTIONS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Q: Can executives publish case studies or use logos from clients?</w:t>
        <w:br w:type="textWrapping"/>
      </w:r>
      <w:r w:rsidDel="00000000" w:rsidR="00000000" w:rsidRPr="00000000">
        <w:rPr>
          <w:rtl w:val="0"/>
        </w:rPr>
        <w:t xml:space="preserve"> A: Only with written approval from the client. If approved, contractors may use company names, logos, and project summaries for marketing or portfolio use.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Q: Can we make changes to the agreement?</w:t>
        <w:br w:type="textWrapping"/>
      </w:r>
      <w:r w:rsidDel="00000000" w:rsidR="00000000" w:rsidRPr="00000000">
        <w:rPr>
          <w:rtl w:val="0"/>
        </w:rPr>
        <w:t xml:space="preserve"> A: To the SOW, yes, that is designed for changes. The Tri-Party Agreement is fixed. If changes need to be made post execution, a new SOW can be added as an addendum to the original agreements. </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