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17B0B" w14:textId="77777777" w:rsidR="00742DFA" w:rsidRDefault="00000000">
      <w:pPr>
        <w:pStyle w:val="Title"/>
        <w:jc w:val="center"/>
      </w:pPr>
      <w:r>
        <w:t>Does Alignment Survive the Merge?</w:t>
      </w:r>
    </w:p>
    <w:p w14:paraId="709A31FB" w14:textId="77777777" w:rsidR="00742DFA" w:rsidRDefault="00000000">
      <w:pPr>
        <w:spacing w:after="80" w:line="252" w:lineRule="auto"/>
        <w:jc w:val="center"/>
      </w:pPr>
      <w:r>
        <w:rPr>
          <w:b/>
          <w:color w:val="1E40AF"/>
          <w:sz w:val="30"/>
        </w:rPr>
        <w:t>A Controlled Study of Preference Retention and Low-Cost Post-Merge Repair in Small Language Models</w:t>
      </w:r>
    </w:p>
    <w:p w14:paraId="667C53FB" w14:textId="77777777" w:rsidR="00742DFA" w:rsidRDefault="00000000">
      <w:pPr>
        <w:pStyle w:val="Lead"/>
        <w:spacing w:after="80" w:line="252" w:lineRule="auto"/>
        <w:jc w:val="center"/>
      </w:pPr>
      <w:r>
        <w:t>Detailed project plan for a paper submission on consortium model merging with DPO/GRPO</w:t>
      </w:r>
    </w:p>
    <w:p w14:paraId="4AAEB04E" w14:textId="77777777" w:rsidR="00742DFA" w:rsidRDefault="00742DFA">
      <w:pPr>
        <w:spacing w:after="80" w:line="252" w:lineRule="auto"/>
      </w:pPr>
    </w:p>
    <w:tbl>
      <w:tblPr>
        <w:tblW w:w="0" w:type="auto"/>
        <w:jc w:val="center"/>
        <w:tblLook w:val="04A0" w:firstRow="1" w:lastRow="0" w:firstColumn="1" w:lastColumn="0" w:noHBand="0" w:noVBand="1"/>
      </w:tblPr>
      <w:tblGrid>
        <w:gridCol w:w="10080"/>
      </w:tblGrid>
      <w:tr w:rsidR="00742DFA" w14:paraId="032FFAE9" w14:textId="77777777">
        <w:trPr>
          <w:tblHeader/>
          <w:jc w:val="center"/>
        </w:trPr>
        <w:tc>
          <w:tcPr>
            <w:tcW w:w="10080" w:type="dxa"/>
            <w:shd w:val="clear" w:color="auto" w:fill="EEF7ED"/>
          </w:tcPr>
          <w:p w14:paraId="2AAE7E4C" w14:textId="77777777" w:rsidR="00742DFA" w:rsidRDefault="00000000">
            <w:pPr>
              <w:spacing w:after="60"/>
            </w:pPr>
            <w:r>
              <w:rPr>
                <w:b/>
              </w:rPr>
              <w:t>One-sentence paper idea</w:t>
            </w:r>
            <w:r>
              <w:rPr>
                <w:b/>
              </w:rPr>
              <w:br/>
            </w:r>
            <w:r>
              <w:rPr>
                <w:sz w:val="20"/>
              </w:rPr>
              <w:t xml:space="preserve">Train several compatible small-model experts from the same base, preference-tune them before and/or after weight </w:t>
            </w:r>
            <w:proofErr w:type="gramStart"/>
            <w:r>
              <w:rPr>
                <w:sz w:val="20"/>
              </w:rPr>
              <w:t>merging, and</w:t>
            </w:r>
            <w:proofErr w:type="gramEnd"/>
            <w:r>
              <w:rPr>
                <w:sz w:val="20"/>
              </w:rPr>
              <w:t xml:space="preserve"> measure a preference-retention curve that reveals when alignment survives, when it is erased by parameter interference, and how few preference examples are needed to repair it.</w:t>
            </w:r>
          </w:p>
        </w:tc>
      </w:tr>
    </w:tbl>
    <w:p w14:paraId="62B97331" w14:textId="77777777" w:rsidR="00742DFA" w:rsidRDefault="00742DFA">
      <w:pPr>
        <w:spacing w:after="80" w:line="252" w:lineRule="auto"/>
      </w:pPr>
    </w:p>
    <w:p w14:paraId="7F8501A1" w14:textId="77777777" w:rsidR="00742DFA" w:rsidRDefault="00000000">
      <w:pPr>
        <w:spacing w:after="80" w:line="252" w:lineRule="auto"/>
        <w:jc w:val="center"/>
      </w:pPr>
      <w:r>
        <w:rPr>
          <w:i/>
          <w:sz w:val="20"/>
        </w:rPr>
        <w:t>Recommended scope: DPO as the primary clean experiment; GRPO as a secondary replication using a compact reward/verifier.</w:t>
      </w:r>
    </w:p>
    <w:p w14:paraId="2C9C84BC" w14:textId="77777777" w:rsidR="00742DFA" w:rsidRDefault="00000000">
      <w:pPr>
        <w:spacing w:after="80" w:line="252" w:lineRule="auto"/>
      </w:pPr>
      <w:r>
        <w:br w:type="page"/>
      </w:r>
    </w:p>
    <w:p w14:paraId="0B9CF4E5" w14:textId="77777777" w:rsidR="00742DFA" w:rsidRDefault="00000000">
      <w:pPr>
        <w:pStyle w:val="Heading1"/>
        <w:spacing w:after="80" w:line="252" w:lineRule="auto"/>
      </w:pPr>
      <w:r>
        <w:lastRenderedPageBreak/>
        <w:t>1. Executive summary and novelty position</w:t>
      </w:r>
    </w:p>
    <w:p w14:paraId="1F6BAB71" w14:textId="77777777" w:rsidR="00742DFA" w:rsidRDefault="00000000">
      <w:pPr>
        <w:spacing w:after="80" w:line="252" w:lineRule="auto"/>
      </w:pPr>
      <w:r>
        <w:rPr>
          <w:b/>
        </w:rPr>
        <w:t xml:space="preserve">Core research question. </w:t>
      </w:r>
      <w:r>
        <w:t>If members of a consortium independently fine-tune compatible copies of the same small language model, does preference alignment learned by DPO or GRPO survive when their weights are merged, or is preference tuning most effective after the merge?</w:t>
      </w:r>
    </w:p>
    <w:p w14:paraId="009CD503" w14:textId="68C31B4F" w:rsidR="00742DFA" w:rsidRDefault="00000000">
      <w:pPr>
        <w:spacing w:after="80" w:line="252" w:lineRule="auto"/>
      </w:pPr>
      <w:r>
        <w:rPr>
          <w:b/>
        </w:rPr>
        <w:t xml:space="preserve">. </w:t>
      </w:r>
      <w:r>
        <w:t>The simple “DPO before versus after merging” comparison is no longer novel by itself. Aakanksha et al. (2024) already tested continual DPO after merging in a multilingual safety/general-purpose setup and reported stronger safety gains for merge-then-DPO than DPO-then-merge. Newer work also explicitly targets alignment-preserving or preference-guided merging. The defensible gap is therefore a controlled characterization of preference retention: its dose-response behavior, dependence on merge method and number of experts, predictors of failure, and minimum repair budget.</w:t>
      </w:r>
    </w:p>
    <w:tbl>
      <w:tblPr>
        <w:tblW w:w="0" w:type="auto"/>
        <w:jc w:val="center"/>
        <w:tblLook w:val="04A0" w:firstRow="1" w:lastRow="0" w:firstColumn="1" w:lastColumn="0" w:noHBand="0" w:noVBand="1"/>
      </w:tblPr>
      <w:tblGrid>
        <w:gridCol w:w="10080"/>
      </w:tblGrid>
      <w:tr w:rsidR="00742DFA" w14:paraId="1205B672" w14:textId="77777777">
        <w:trPr>
          <w:tblHeader/>
          <w:jc w:val="center"/>
        </w:trPr>
        <w:tc>
          <w:tcPr>
            <w:tcW w:w="10080" w:type="dxa"/>
            <w:shd w:val="clear" w:color="auto" w:fill="FFF4E5"/>
          </w:tcPr>
          <w:p w14:paraId="1BA48818" w14:textId="77777777" w:rsidR="00742DFA" w:rsidRDefault="00000000">
            <w:pPr>
              <w:spacing w:after="60"/>
            </w:pPr>
            <w:r>
              <w:rPr>
                <w:b/>
              </w:rPr>
              <w:t>Recommended paper claim</w:t>
            </w:r>
            <w:r>
              <w:rPr>
                <w:b/>
              </w:rPr>
              <w:br/>
            </w:r>
            <w:r>
              <w:rPr>
                <w:sz w:val="20"/>
              </w:rPr>
              <w:t>Weight merging should be treated as an alignment intervention, not a neutral deployment operation. Preference behavior is retained non-uniformly across merge ratios and methods; simple parameter-conflict statistics can predict retention loss; and a very small post-merge preference “repair” set can recover most lost alignment without retraining each expert.</w:t>
            </w:r>
          </w:p>
        </w:tc>
      </w:tr>
    </w:tbl>
    <w:p w14:paraId="0034FB76" w14:textId="77777777" w:rsidR="00742DFA" w:rsidRDefault="00742DFA">
      <w:pPr>
        <w:spacing w:after="80" w:line="252" w:lineRule="auto"/>
      </w:pPr>
    </w:p>
    <w:p w14:paraId="0B9F9701" w14:textId="77777777" w:rsidR="00742DFA" w:rsidRDefault="00000000">
      <w:pPr>
        <w:spacing w:after="80" w:line="252" w:lineRule="auto"/>
      </w:pPr>
      <w:r>
        <w:rPr>
          <w:b/>
        </w:rPr>
        <w:t>Novel contributions to target</w:t>
      </w:r>
    </w:p>
    <w:p w14:paraId="0470B4E2" w14:textId="77777777" w:rsidR="00742DFA" w:rsidRDefault="00000000">
      <w:pPr>
        <w:pStyle w:val="ListBullet"/>
        <w:spacing w:after="40" w:line="252" w:lineRule="auto"/>
      </w:pPr>
      <w:r>
        <w:t>Define and benchmark Preference Retention Ratio (PRR): how much of a preference-tuned parent model’s gain remains after merging, normalized against the shared base.</w:t>
      </w:r>
    </w:p>
    <w:p w14:paraId="72D7EC16" w14:textId="77777777" w:rsidR="00742DFA" w:rsidRDefault="00000000">
      <w:pPr>
        <w:pStyle w:val="ListBullet"/>
        <w:spacing w:after="40" w:line="252" w:lineRule="auto"/>
      </w:pPr>
      <w:r>
        <w:t>Produce retention curves over merge coefficient, number of merged experts, merge algorithm, preference-set size, and expert heterogeneity instead of reporting only one merge point.</w:t>
      </w:r>
    </w:p>
    <w:p w14:paraId="608904D0" w14:textId="77777777" w:rsidR="00742DFA" w:rsidRDefault="00000000">
      <w:pPr>
        <w:pStyle w:val="ListBullet"/>
        <w:spacing w:after="40" w:line="252" w:lineRule="auto"/>
      </w:pPr>
      <w:r>
        <w:t>Compare three realistic consortium workflows: align-each-then-merge, merge-then-align, and align-one-anchor-plus-domain-experts.</w:t>
      </w:r>
    </w:p>
    <w:p w14:paraId="038A81A6" w14:textId="77777777" w:rsidR="00742DFA" w:rsidRDefault="00000000">
      <w:pPr>
        <w:pStyle w:val="ListBullet"/>
        <w:spacing w:after="40" w:line="252" w:lineRule="auto"/>
      </w:pPr>
      <w:r>
        <w:t>Measure whether lightweight diagnostics such as delta cosine similarity, sign conflict, and alignment-delta norm predict preference loss before expensive generation evaluation.</w:t>
      </w:r>
    </w:p>
    <w:p w14:paraId="739C67DC" w14:textId="77777777" w:rsidR="00742DFA" w:rsidRDefault="00000000">
      <w:pPr>
        <w:pStyle w:val="ListBullet"/>
        <w:spacing w:after="40" w:line="252" w:lineRule="auto"/>
      </w:pPr>
      <w:r>
        <w:t>Quantify the smallest post-merge DPO/GRPO repair budget (for example 125, 500, 2,000 examples/prompts) needed to recover 90–95% of the pre-merge preference gain.</w:t>
      </w:r>
    </w:p>
    <w:p w14:paraId="524969B8" w14:textId="77777777" w:rsidR="00742DFA" w:rsidRDefault="00000000">
      <w:pPr>
        <w:pStyle w:val="ListBullet"/>
        <w:spacing w:after="40" w:line="252" w:lineRule="auto"/>
      </w:pPr>
      <w:r>
        <w:t>Release a compact, reproducible benchmark recipe using sub-2B models so other labs can reproduce the result without frontier-scale compute.</w:t>
      </w:r>
    </w:p>
    <w:p w14:paraId="656988FD" w14:textId="77777777" w:rsidR="00742DFA" w:rsidRDefault="00000000">
      <w:pPr>
        <w:pStyle w:val="Heading1"/>
        <w:spacing w:after="80" w:line="252" w:lineRule="auto"/>
      </w:pPr>
      <w:r>
        <w:t>2. Candidate paper titles</w:t>
      </w:r>
    </w:p>
    <w:tbl>
      <w:tblPr>
        <w:tblStyle w:val="TableGrid"/>
        <w:tblW w:w="0" w:type="auto"/>
        <w:jc w:val="center"/>
        <w:tblLook w:val="04A0" w:firstRow="1" w:lastRow="0" w:firstColumn="1" w:lastColumn="0" w:noHBand="0" w:noVBand="1"/>
      </w:tblPr>
      <w:tblGrid>
        <w:gridCol w:w="5040"/>
        <w:gridCol w:w="5040"/>
      </w:tblGrid>
      <w:tr w:rsidR="00742DFA" w14:paraId="13B67480" w14:textId="77777777">
        <w:trPr>
          <w:tblHeader/>
          <w:jc w:val="center"/>
        </w:trPr>
        <w:tc>
          <w:tcPr>
            <w:tcW w:w="5040" w:type="dxa"/>
            <w:shd w:val="clear" w:color="auto" w:fill="DCE6F1"/>
            <w:vAlign w:val="center"/>
          </w:tcPr>
          <w:p w14:paraId="1CB94740" w14:textId="77777777" w:rsidR="00742DFA" w:rsidRDefault="00000000">
            <w:r>
              <w:rPr>
                <w:b/>
                <w:sz w:val="19"/>
              </w:rPr>
              <w:t>Use</w:t>
            </w:r>
          </w:p>
        </w:tc>
        <w:tc>
          <w:tcPr>
            <w:tcW w:w="5040" w:type="dxa"/>
            <w:shd w:val="clear" w:color="auto" w:fill="DCE6F1"/>
            <w:vAlign w:val="center"/>
          </w:tcPr>
          <w:p w14:paraId="0AEF26F6" w14:textId="77777777" w:rsidR="00742DFA" w:rsidRDefault="00000000">
            <w:r>
              <w:rPr>
                <w:b/>
                <w:sz w:val="19"/>
              </w:rPr>
              <w:t>Title</w:t>
            </w:r>
          </w:p>
        </w:tc>
      </w:tr>
      <w:tr w:rsidR="00742DFA" w14:paraId="3804606B" w14:textId="77777777">
        <w:trPr>
          <w:jc w:val="center"/>
        </w:trPr>
        <w:tc>
          <w:tcPr>
            <w:tcW w:w="5040" w:type="dxa"/>
            <w:vAlign w:val="center"/>
          </w:tcPr>
          <w:p w14:paraId="59A010C4" w14:textId="77777777" w:rsidR="00742DFA" w:rsidRDefault="00000000">
            <w:r>
              <w:rPr>
                <w:sz w:val="18"/>
              </w:rPr>
              <w:t>Primary</w:t>
            </w:r>
          </w:p>
        </w:tc>
        <w:tc>
          <w:tcPr>
            <w:tcW w:w="5040" w:type="dxa"/>
            <w:vAlign w:val="center"/>
          </w:tcPr>
          <w:p w14:paraId="6CB006DE" w14:textId="77777777" w:rsidR="00742DFA" w:rsidRDefault="00000000">
            <w:r>
              <w:rPr>
                <w:sz w:val="18"/>
              </w:rPr>
              <w:t>Does Alignment Survive the Merge? Preference Retention and Low-Cost Repair in Small Language Models</w:t>
            </w:r>
          </w:p>
        </w:tc>
      </w:tr>
      <w:tr w:rsidR="00742DFA" w14:paraId="0C9D21DF" w14:textId="77777777">
        <w:trPr>
          <w:jc w:val="center"/>
        </w:trPr>
        <w:tc>
          <w:tcPr>
            <w:tcW w:w="5040" w:type="dxa"/>
            <w:vAlign w:val="center"/>
          </w:tcPr>
          <w:p w14:paraId="1AF3C6C2" w14:textId="77777777" w:rsidR="00742DFA" w:rsidRDefault="00000000">
            <w:r>
              <w:rPr>
                <w:sz w:val="18"/>
              </w:rPr>
              <w:t>More technical</w:t>
            </w:r>
          </w:p>
        </w:tc>
        <w:tc>
          <w:tcPr>
            <w:tcW w:w="5040" w:type="dxa"/>
            <w:vAlign w:val="center"/>
          </w:tcPr>
          <w:p w14:paraId="151CCACF" w14:textId="77777777" w:rsidR="00742DFA" w:rsidRDefault="00000000">
            <w:r>
              <w:rPr>
                <w:sz w:val="18"/>
              </w:rPr>
              <w:t>Preference Retention Under Weight Merging: When DPO/GRPO Alignment Survives and When It Needs Repair</w:t>
            </w:r>
          </w:p>
        </w:tc>
      </w:tr>
      <w:tr w:rsidR="00742DFA" w14:paraId="274AFC73" w14:textId="77777777">
        <w:trPr>
          <w:jc w:val="center"/>
        </w:trPr>
        <w:tc>
          <w:tcPr>
            <w:tcW w:w="5040" w:type="dxa"/>
            <w:vAlign w:val="center"/>
          </w:tcPr>
          <w:p w14:paraId="0329241C" w14:textId="77777777" w:rsidR="00742DFA" w:rsidRDefault="00000000">
            <w:r>
              <w:rPr>
                <w:sz w:val="18"/>
              </w:rPr>
              <w:t>Consortium framing</w:t>
            </w:r>
          </w:p>
        </w:tc>
        <w:tc>
          <w:tcPr>
            <w:tcW w:w="5040" w:type="dxa"/>
            <w:vAlign w:val="center"/>
          </w:tcPr>
          <w:p w14:paraId="5C5AED35" w14:textId="77777777" w:rsidR="00742DFA" w:rsidRDefault="00000000">
            <w:r>
              <w:rPr>
                <w:sz w:val="18"/>
              </w:rPr>
              <w:t>Merge First or Align First? Preference Retention in Consortium Language-Model Merging</w:t>
            </w:r>
          </w:p>
        </w:tc>
      </w:tr>
      <w:tr w:rsidR="00742DFA" w14:paraId="2AF13E68" w14:textId="77777777">
        <w:trPr>
          <w:jc w:val="center"/>
        </w:trPr>
        <w:tc>
          <w:tcPr>
            <w:tcW w:w="5040" w:type="dxa"/>
            <w:vAlign w:val="center"/>
          </w:tcPr>
          <w:p w14:paraId="02C38B5E" w14:textId="77777777" w:rsidR="00742DFA" w:rsidRDefault="00000000">
            <w:r>
              <w:rPr>
                <w:sz w:val="18"/>
              </w:rPr>
              <w:t>Punchier</w:t>
            </w:r>
          </w:p>
        </w:tc>
        <w:tc>
          <w:tcPr>
            <w:tcW w:w="5040" w:type="dxa"/>
            <w:vAlign w:val="center"/>
          </w:tcPr>
          <w:p w14:paraId="22C6427B" w14:textId="77777777" w:rsidR="00742DFA" w:rsidRDefault="00000000">
            <w:r>
              <w:rPr>
                <w:sz w:val="18"/>
              </w:rPr>
              <w:t>Aligned Apart, Misaligned Together? Measuring Preference Drift After Model Merging</w:t>
            </w:r>
          </w:p>
        </w:tc>
      </w:tr>
    </w:tbl>
    <w:p w14:paraId="03F3DE79" w14:textId="77777777" w:rsidR="00742DFA" w:rsidRDefault="00000000">
      <w:pPr>
        <w:pStyle w:val="Heading1"/>
        <w:spacing w:after="80" w:line="252" w:lineRule="auto"/>
      </w:pPr>
      <w:r>
        <w:t>3. Research questions and falsifiable hypotheses</w:t>
      </w:r>
    </w:p>
    <w:tbl>
      <w:tblPr>
        <w:tblStyle w:val="TableGrid"/>
        <w:tblW w:w="0" w:type="auto"/>
        <w:jc w:val="center"/>
        <w:tblLook w:val="04A0" w:firstRow="1" w:lastRow="0" w:firstColumn="1" w:lastColumn="0" w:noHBand="0" w:noVBand="1"/>
      </w:tblPr>
      <w:tblGrid>
        <w:gridCol w:w="3360"/>
        <w:gridCol w:w="3360"/>
        <w:gridCol w:w="3360"/>
      </w:tblGrid>
      <w:tr w:rsidR="00742DFA" w14:paraId="6D8ED97C" w14:textId="77777777">
        <w:trPr>
          <w:tblHeader/>
          <w:jc w:val="center"/>
        </w:trPr>
        <w:tc>
          <w:tcPr>
            <w:tcW w:w="3360" w:type="dxa"/>
            <w:shd w:val="clear" w:color="auto" w:fill="E2E8F0"/>
            <w:vAlign w:val="center"/>
          </w:tcPr>
          <w:p w14:paraId="3DAA6E65" w14:textId="77777777" w:rsidR="00742DFA" w:rsidRDefault="00000000">
            <w:r>
              <w:rPr>
                <w:b/>
                <w:sz w:val="18"/>
              </w:rPr>
              <w:t>ID</w:t>
            </w:r>
          </w:p>
        </w:tc>
        <w:tc>
          <w:tcPr>
            <w:tcW w:w="3360" w:type="dxa"/>
            <w:shd w:val="clear" w:color="auto" w:fill="E2E8F0"/>
            <w:vAlign w:val="center"/>
          </w:tcPr>
          <w:p w14:paraId="4E59F980" w14:textId="77777777" w:rsidR="00742DFA" w:rsidRDefault="00000000">
            <w:r>
              <w:rPr>
                <w:b/>
                <w:sz w:val="18"/>
              </w:rPr>
              <w:t>Question</w:t>
            </w:r>
          </w:p>
        </w:tc>
        <w:tc>
          <w:tcPr>
            <w:tcW w:w="3360" w:type="dxa"/>
            <w:shd w:val="clear" w:color="auto" w:fill="E2E8F0"/>
            <w:vAlign w:val="center"/>
          </w:tcPr>
          <w:p w14:paraId="6CC5710C" w14:textId="77777777" w:rsidR="00742DFA" w:rsidRDefault="00000000">
            <w:r>
              <w:rPr>
                <w:b/>
                <w:sz w:val="18"/>
              </w:rPr>
              <w:t>Testable hypothesis</w:t>
            </w:r>
          </w:p>
        </w:tc>
      </w:tr>
      <w:tr w:rsidR="00742DFA" w14:paraId="6D226FC8" w14:textId="77777777">
        <w:trPr>
          <w:jc w:val="center"/>
        </w:trPr>
        <w:tc>
          <w:tcPr>
            <w:tcW w:w="3360" w:type="dxa"/>
            <w:vAlign w:val="center"/>
          </w:tcPr>
          <w:p w14:paraId="1C3A5B1E" w14:textId="77777777" w:rsidR="00742DFA" w:rsidRDefault="00000000">
            <w:r>
              <w:rPr>
                <w:sz w:val="17"/>
              </w:rPr>
              <w:t>RQ1</w:t>
            </w:r>
          </w:p>
        </w:tc>
        <w:tc>
          <w:tcPr>
            <w:tcW w:w="3360" w:type="dxa"/>
            <w:vAlign w:val="center"/>
          </w:tcPr>
          <w:p w14:paraId="05C64520" w14:textId="77777777" w:rsidR="00742DFA" w:rsidRDefault="00000000">
            <w:r>
              <w:rPr>
                <w:sz w:val="17"/>
              </w:rPr>
              <w:t>Does preference tuning survive merging?</w:t>
            </w:r>
          </w:p>
        </w:tc>
        <w:tc>
          <w:tcPr>
            <w:tcW w:w="3360" w:type="dxa"/>
            <w:vAlign w:val="center"/>
          </w:tcPr>
          <w:p w14:paraId="22568B15" w14:textId="77777777" w:rsidR="00742DFA" w:rsidRDefault="00000000">
            <w:r>
              <w:rPr>
                <w:sz w:val="17"/>
              </w:rPr>
              <w:t xml:space="preserve">H1: PRR declines as the aligned model receives less effective merge weight and as parameter conflict increases. It will not </w:t>
            </w:r>
            <w:r>
              <w:rPr>
                <w:sz w:val="17"/>
              </w:rPr>
              <w:lastRenderedPageBreak/>
              <w:t>be binary; there will be a retention curve.</w:t>
            </w:r>
          </w:p>
        </w:tc>
      </w:tr>
      <w:tr w:rsidR="00742DFA" w14:paraId="523AF258" w14:textId="77777777">
        <w:trPr>
          <w:jc w:val="center"/>
        </w:trPr>
        <w:tc>
          <w:tcPr>
            <w:tcW w:w="3360" w:type="dxa"/>
            <w:vAlign w:val="center"/>
          </w:tcPr>
          <w:p w14:paraId="5D272C9D" w14:textId="77777777" w:rsidR="00742DFA" w:rsidRDefault="00000000">
            <w:r>
              <w:rPr>
                <w:sz w:val="17"/>
              </w:rPr>
              <w:lastRenderedPageBreak/>
              <w:t>RQ2</w:t>
            </w:r>
          </w:p>
        </w:tc>
        <w:tc>
          <w:tcPr>
            <w:tcW w:w="3360" w:type="dxa"/>
            <w:vAlign w:val="center"/>
          </w:tcPr>
          <w:p w14:paraId="42E75E86" w14:textId="77777777" w:rsidR="00742DFA" w:rsidRDefault="00000000">
            <w:r>
              <w:rPr>
                <w:sz w:val="17"/>
              </w:rPr>
              <w:t>Does workflow order matter?</w:t>
            </w:r>
          </w:p>
        </w:tc>
        <w:tc>
          <w:tcPr>
            <w:tcW w:w="3360" w:type="dxa"/>
            <w:vAlign w:val="center"/>
          </w:tcPr>
          <w:p w14:paraId="41220C34" w14:textId="77777777" w:rsidR="00742DFA" w:rsidRDefault="00000000">
            <w:r>
              <w:rPr>
                <w:sz w:val="17"/>
              </w:rPr>
              <w:t>H2: Merge→DPO will yield the strongest final preference score at equal preference-data budget, while DPO→merge will retain more non-preference expert capability in some settings.</w:t>
            </w:r>
          </w:p>
        </w:tc>
      </w:tr>
      <w:tr w:rsidR="00742DFA" w14:paraId="04099D86" w14:textId="77777777">
        <w:trPr>
          <w:jc w:val="center"/>
        </w:trPr>
        <w:tc>
          <w:tcPr>
            <w:tcW w:w="3360" w:type="dxa"/>
            <w:vAlign w:val="center"/>
          </w:tcPr>
          <w:p w14:paraId="3A6FF070" w14:textId="77777777" w:rsidR="00742DFA" w:rsidRDefault="00000000">
            <w:r>
              <w:rPr>
                <w:sz w:val="17"/>
              </w:rPr>
              <w:t>RQ3</w:t>
            </w:r>
          </w:p>
        </w:tc>
        <w:tc>
          <w:tcPr>
            <w:tcW w:w="3360" w:type="dxa"/>
            <w:vAlign w:val="center"/>
          </w:tcPr>
          <w:p w14:paraId="7367C3B0" w14:textId="77777777" w:rsidR="00742DFA" w:rsidRDefault="00000000">
            <w:r>
              <w:rPr>
                <w:sz w:val="17"/>
              </w:rPr>
              <w:t>Do better merge algorithms preserve alignment?</w:t>
            </w:r>
          </w:p>
        </w:tc>
        <w:tc>
          <w:tcPr>
            <w:tcW w:w="3360" w:type="dxa"/>
            <w:vAlign w:val="center"/>
          </w:tcPr>
          <w:p w14:paraId="6ECB3052" w14:textId="77777777" w:rsidR="00742DFA" w:rsidRDefault="00000000">
            <w:r>
              <w:rPr>
                <w:sz w:val="17"/>
              </w:rPr>
              <w:t>H3: TIES/DARE-TIES will preserve preference gains better than naive linear averaging when aligned and task deltas contain sign conflict.</w:t>
            </w:r>
          </w:p>
        </w:tc>
      </w:tr>
      <w:tr w:rsidR="00742DFA" w14:paraId="1166F90D" w14:textId="77777777">
        <w:trPr>
          <w:jc w:val="center"/>
        </w:trPr>
        <w:tc>
          <w:tcPr>
            <w:tcW w:w="3360" w:type="dxa"/>
            <w:vAlign w:val="center"/>
          </w:tcPr>
          <w:p w14:paraId="7FECC829" w14:textId="77777777" w:rsidR="00742DFA" w:rsidRDefault="00000000">
            <w:r>
              <w:rPr>
                <w:sz w:val="17"/>
              </w:rPr>
              <w:t>RQ4</w:t>
            </w:r>
          </w:p>
        </w:tc>
        <w:tc>
          <w:tcPr>
            <w:tcW w:w="3360" w:type="dxa"/>
            <w:vAlign w:val="center"/>
          </w:tcPr>
          <w:p w14:paraId="39C7CCB9" w14:textId="77777777" w:rsidR="00742DFA" w:rsidRDefault="00000000">
            <w:r>
              <w:rPr>
                <w:sz w:val="17"/>
              </w:rPr>
              <w:t>Does alignment method matter?</w:t>
            </w:r>
          </w:p>
        </w:tc>
        <w:tc>
          <w:tcPr>
            <w:tcW w:w="3360" w:type="dxa"/>
            <w:vAlign w:val="center"/>
          </w:tcPr>
          <w:p w14:paraId="4105AA67" w14:textId="77777777" w:rsidR="00742DFA" w:rsidRDefault="00000000">
            <w:r>
              <w:rPr>
                <w:sz w:val="17"/>
              </w:rPr>
              <w:t>H4: DPO and GRPO will show different retention patterns because they induce different parameter updates; the difference should be visible in delta geometry and repair sample efficiency.</w:t>
            </w:r>
          </w:p>
        </w:tc>
      </w:tr>
      <w:tr w:rsidR="00742DFA" w14:paraId="398F9EEA" w14:textId="77777777">
        <w:trPr>
          <w:jc w:val="center"/>
        </w:trPr>
        <w:tc>
          <w:tcPr>
            <w:tcW w:w="3360" w:type="dxa"/>
            <w:vAlign w:val="center"/>
          </w:tcPr>
          <w:p w14:paraId="366D3413" w14:textId="77777777" w:rsidR="00742DFA" w:rsidRDefault="00000000">
            <w:r>
              <w:rPr>
                <w:sz w:val="17"/>
              </w:rPr>
              <w:t>RQ5</w:t>
            </w:r>
          </w:p>
        </w:tc>
        <w:tc>
          <w:tcPr>
            <w:tcW w:w="3360" w:type="dxa"/>
            <w:vAlign w:val="center"/>
          </w:tcPr>
          <w:p w14:paraId="16739A44" w14:textId="77777777" w:rsidR="00742DFA" w:rsidRDefault="00000000">
            <w:r>
              <w:rPr>
                <w:sz w:val="17"/>
              </w:rPr>
              <w:t>Can we predict failure cheaply?</w:t>
            </w:r>
          </w:p>
        </w:tc>
        <w:tc>
          <w:tcPr>
            <w:tcW w:w="3360" w:type="dxa"/>
            <w:vAlign w:val="center"/>
          </w:tcPr>
          <w:p w14:paraId="6BF1E29D" w14:textId="77777777" w:rsidR="00742DFA" w:rsidRDefault="00000000">
            <w:r>
              <w:rPr>
                <w:sz w:val="17"/>
              </w:rPr>
              <w:t>H5: sign-conflict rate and cosine similarity between the preference delta and other expert deltas will correlate with PRR and can flag risky merges without running a full judge evaluation.</w:t>
            </w:r>
          </w:p>
        </w:tc>
      </w:tr>
      <w:tr w:rsidR="00742DFA" w14:paraId="191C6810" w14:textId="77777777">
        <w:trPr>
          <w:jc w:val="center"/>
        </w:trPr>
        <w:tc>
          <w:tcPr>
            <w:tcW w:w="3360" w:type="dxa"/>
            <w:vAlign w:val="center"/>
          </w:tcPr>
          <w:p w14:paraId="55D056D7" w14:textId="77777777" w:rsidR="00742DFA" w:rsidRDefault="00000000">
            <w:r>
              <w:rPr>
                <w:sz w:val="17"/>
              </w:rPr>
              <w:t>RQ6</w:t>
            </w:r>
          </w:p>
        </w:tc>
        <w:tc>
          <w:tcPr>
            <w:tcW w:w="3360" w:type="dxa"/>
            <w:vAlign w:val="center"/>
          </w:tcPr>
          <w:p w14:paraId="34A05C29" w14:textId="77777777" w:rsidR="00742DFA" w:rsidRDefault="00000000">
            <w:r>
              <w:rPr>
                <w:sz w:val="17"/>
              </w:rPr>
              <w:t>How much repair is enough?</w:t>
            </w:r>
          </w:p>
        </w:tc>
        <w:tc>
          <w:tcPr>
            <w:tcW w:w="3360" w:type="dxa"/>
            <w:vAlign w:val="center"/>
          </w:tcPr>
          <w:p w14:paraId="06FC5382" w14:textId="77777777" w:rsidR="00742DFA" w:rsidRDefault="00000000">
            <w:r>
              <w:rPr>
                <w:sz w:val="17"/>
              </w:rPr>
              <w:t>H6: a small post-merge repair set will recover most preference loss, with diminishing returns beyond a few thousand examples for a 0.5B–1.5B model.</w:t>
            </w:r>
          </w:p>
        </w:tc>
      </w:tr>
    </w:tbl>
    <w:p w14:paraId="71D0EC60" w14:textId="77777777" w:rsidR="00742DFA" w:rsidRDefault="00000000">
      <w:pPr>
        <w:pStyle w:val="Heading1"/>
        <w:spacing w:after="80" w:line="252" w:lineRule="auto"/>
      </w:pPr>
      <w:r>
        <w:t>4. Experimental design</w:t>
      </w:r>
    </w:p>
    <w:p w14:paraId="77091269" w14:textId="77777777" w:rsidR="00742DFA" w:rsidRDefault="00000000">
      <w:pPr>
        <w:pStyle w:val="Heading2"/>
        <w:spacing w:after="80" w:line="252" w:lineRule="auto"/>
      </w:pPr>
      <w:r>
        <w:t>4.1 Model families</w:t>
      </w:r>
    </w:p>
    <w:p w14:paraId="321449CB" w14:textId="77777777" w:rsidR="00742DFA" w:rsidRDefault="00000000">
      <w:pPr>
        <w:spacing w:after="80" w:line="252" w:lineRule="auto"/>
      </w:pPr>
      <w:r>
        <w:rPr>
          <w:b/>
        </w:rPr>
        <w:t xml:space="preserve">Primary recommendation: </w:t>
      </w:r>
      <w:r>
        <w:t>use one 0.5B–0.6B instruct model for the full factorial study, then replicate the central finding on one 1.5B–1.7B instruct model. Good candidates include Qwen2.5-0.5B/1.5B-Instruct or SmolLM2-360M/1.7B-Instruct. All experts in a merge must start from the exact same base checkpoint and tokenizer.</w:t>
      </w:r>
    </w:p>
    <w:p w14:paraId="4F5FD021" w14:textId="77777777" w:rsidR="00742DFA" w:rsidRDefault="00000000">
      <w:pPr>
        <w:pStyle w:val="ListBullet"/>
        <w:spacing w:after="40" w:line="252" w:lineRule="auto"/>
      </w:pPr>
      <w:r>
        <w:t>Primary scale: 0.5B-ish model, three random seeds for the core conditions.</w:t>
      </w:r>
    </w:p>
    <w:p w14:paraId="29C06498" w14:textId="77777777" w:rsidR="00742DFA" w:rsidRDefault="00000000">
      <w:pPr>
        <w:pStyle w:val="ListBullet"/>
        <w:spacing w:after="40" w:line="252" w:lineRule="auto"/>
      </w:pPr>
      <w:r>
        <w:t>Replication scale: 1.5B-ish model, one or two seeds for the most important conditions.</w:t>
      </w:r>
    </w:p>
    <w:p w14:paraId="54DFF68E" w14:textId="77777777" w:rsidR="00742DFA" w:rsidRDefault="00000000">
      <w:pPr>
        <w:pStyle w:val="ListBullet"/>
        <w:spacing w:after="40" w:line="252" w:lineRule="auto"/>
      </w:pPr>
      <w:r>
        <w:t>Training: LoRA/QLoRA for cost control, then bake adapters into full weights before applying weight-space merging.</w:t>
      </w:r>
    </w:p>
    <w:p w14:paraId="2F028F89" w14:textId="77777777" w:rsidR="00742DFA" w:rsidRDefault="00000000">
      <w:pPr>
        <w:pStyle w:val="ListBullet"/>
        <w:spacing w:after="40" w:line="252" w:lineRule="auto"/>
      </w:pPr>
      <w:r>
        <w:t>Keep chat template, sequence length, optimizer family, quantization policy, and decoding settings fixed across conditions.</w:t>
      </w:r>
    </w:p>
    <w:p w14:paraId="10494E78" w14:textId="77777777" w:rsidR="00742DFA" w:rsidRDefault="00000000">
      <w:pPr>
        <w:pStyle w:val="Heading2"/>
        <w:spacing w:after="80" w:line="252" w:lineRule="auto"/>
      </w:pPr>
      <w:r>
        <w:t>4.2 Consortium experts to train</w:t>
      </w:r>
    </w:p>
    <w:p w14:paraId="675400F2" w14:textId="77777777" w:rsidR="00742DFA" w:rsidRDefault="00000000">
      <w:pPr>
        <w:spacing w:after="80" w:line="252" w:lineRule="auto"/>
      </w:pPr>
      <w:r>
        <w:t>Create three domain experts plus one preference expert from the same base. The exact datasets may be swapped for license/compute reasons, but keep the domains behaviorally distinct.</w:t>
      </w:r>
    </w:p>
    <w:tbl>
      <w:tblPr>
        <w:tblStyle w:val="TableGrid"/>
        <w:tblW w:w="0" w:type="auto"/>
        <w:jc w:val="center"/>
        <w:tblLook w:val="04A0" w:firstRow="1" w:lastRow="0" w:firstColumn="1" w:lastColumn="0" w:noHBand="0" w:noVBand="1"/>
      </w:tblPr>
      <w:tblGrid>
        <w:gridCol w:w="2520"/>
        <w:gridCol w:w="2520"/>
        <w:gridCol w:w="2520"/>
        <w:gridCol w:w="2520"/>
      </w:tblGrid>
      <w:tr w:rsidR="00742DFA" w14:paraId="30245EB0" w14:textId="77777777">
        <w:trPr>
          <w:tblHeader/>
          <w:jc w:val="center"/>
        </w:trPr>
        <w:tc>
          <w:tcPr>
            <w:tcW w:w="2520" w:type="dxa"/>
            <w:shd w:val="clear" w:color="auto" w:fill="E2E8F0"/>
            <w:vAlign w:val="center"/>
          </w:tcPr>
          <w:p w14:paraId="1CB53C54" w14:textId="77777777" w:rsidR="00742DFA" w:rsidRDefault="00000000">
            <w:r>
              <w:rPr>
                <w:b/>
                <w:sz w:val="18"/>
              </w:rPr>
              <w:t>Expert</w:t>
            </w:r>
          </w:p>
        </w:tc>
        <w:tc>
          <w:tcPr>
            <w:tcW w:w="2520" w:type="dxa"/>
            <w:shd w:val="clear" w:color="auto" w:fill="E2E8F0"/>
            <w:vAlign w:val="center"/>
          </w:tcPr>
          <w:p w14:paraId="6FD81204" w14:textId="77777777" w:rsidR="00742DFA" w:rsidRDefault="00000000">
            <w:r>
              <w:rPr>
                <w:b/>
                <w:sz w:val="18"/>
              </w:rPr>
              <w:t>Training</w:t>
            </w:r>
          </w:p>
        </w:tc>
        <w:tc>
          <w:tcPr>
            <w:tcW w:w="2520" w:type="dxa"/>
            <w:shd w:val="clear" w:color="auto" w:fill="E2E8F0"/>
            <w:vAlign w:val="center"/>
          </w:tcPr>
          <w:p w14:paraId="4F3829CD" w14:textId="77777777" w:rsidR="00742DFA" w:rsidRDefault="00000000">
            <w:r>
              <w:rPr>
                <w:b/>
                <w:sz w:val="18"/>
              </w:rPr>
              <w:t>Suggested data</w:t>
            </w:r>
          </w:p>
        </w:tc>
        <w:tc>
          <w:tcPr>
            <w:tcW w:w="2520" w:type="dxa"/>
            <w:shd w:val="clear" w:color="auto" w:fill="E2E8F0"/>
            <w:vAlign w:val="center"/>
          </w:tcPr>
          <w:p w14:paraId="38A86B2D" w14:textId="77777777" w:rsidR="00742DFA" w:rsidRDefault="00000000">
            <w:r>
              <w:rPr>
                <w:b/>
                <w:sz w:val="18"/>
              </w:rPr>
              <w:t>Purpose</w:t>
            </w:r>
          </w:p>
        </w:tc>
      </w:tr>
      <w:tr w:rsidR="00742DFA" w14:paraId="6EA61609" w14:textId="77777777">
        <w:trPr>
          <w:jc w:val="center"/>
        </w:trPr>
        <w:tc>
          <w:tcPr>
            <w:tcW w:w="2520" w:type="dxa"/>
            <w:vAlign w:val="center"/>
          </w:tcPr>
          <w:p w14:paraId="7E514865" w14:textId="77777777" w:rsidR="00742DFA" w:rsidRDefault="00000000">
            <w:r>
              <w:rPr>
                <w:sz w:val="17"/>
              </w:rPr>
              <w:t>E_math</w:t>
            </w:r>
          </w:p>
        </w:tc>
        <w:tc>
          <w:tcPr>
            <w:tcW w:w="2520" w:type="dxa"/>
            <w:vAlign w:val="center"/>
          </w:tcPr>
          <w:p w14:paraId="0F534F51" w14:textId="77777777" w:rsidR="00742DFA" w:rsidRDefault="00000000">
            <w:r>
              <w:rPr>
                <w:sz w:val="17"/>
              </w:rPr>
              <w:t>SFT</w:t>
            </w:r>
          </w:p>
        </w:tc>
        <w:tc>
          <w:tcPr>
            <w:tcW w:w="2520" w:type="dxa"/>
            <w:vAlign w:val="center"/>
          </w:tcPr>
          <w:p w14:paraId="0A169D3D" w14:textId="77777777" w:rsidR="00742DFA" w:rsidRDefault="00000000">
            <w:r>
              <w:rPr>
                <w:sz w:val="17"/>
              </w:rPr>
              <w:t>MetaMath/GSM8K-style subset</w:t>
            </w:r>
          </w:p>
        </w:tc>
        <w:tc>
          <w:tcPr>
            <w:tcW w:w="2520" w:type="dxa"/>
            <w:vAlign w:val="center"/>
          </w:tcPr>
          <w:p w14:paraId="209AD33A" w14:textId="77777777" w:rsidR="00742DFA" w:rsidRDefault="00000000">
            <w:r>
              <w:rPr>
                <w:sz w:val="17"/>
              </w:rPr>
              <w:t>Reasoning specialist</w:t>
            </w:r>
          </w:p>
        </w:tc>
      </w:tr>
      <w:tr w:rsidR="00742DFA" w14:paraId="28ED5647" w14:textId="77777777">
        <w:trPr>
          <w:jc w:val="center"/>
        </w:trPr>
        <w:tc>
          <w:tcPr>
            <w:tcW w:w="2520" w:type="dxa"/>
            <w:vAlign w:val="center"/>
          </w:tcPr>
          <w:p w14:paraId="74A8396C" w14:textId="77777777" w:rsidR="00742DFA" w:rsidRDefault="00000000">
            <w:r>
              <w:rPr>
                <w:sz w:val="17"/>
              </w:rPr>
              <w:t>E_code</w:t>
            </w:r>
          </w:p>
        </w:tc>
        <w:tc>
          <w:tcPr>
            <w:tcW w:w="2520" w:type="dxa"/>
            <w:vAlign w:val="center"/>
          </w:tcPr>
          <w:p w14:paraId="74AFE27C" w14:textId="77777777" w:rsidR="00742DFA" w:rsidRDefault="00000000">
            <w:r>
              <w:rPr>
                <w:sz w:val="17"/>
              </w:rPr>
              <w:t>SFT</w:t>
            </w:r>
          </w:p>
        </w:tc>
        <w:tc>
          <w:tcPr>
            <w:tcW w:w="2520" w:type="dxa"/>
            <w:vAlign w:val="center"/>
          </w:tcPr>
          <w:p w14:paraId="1A90B1CD" w14:textId="77777777" w:rsidR="00742DFA" w:rsidRDefault="00000000">
            <w:r>
              <w:rPr>
                <w:sz w:val="17"/>
              </w:rPr>
              <w:t>CodeAlpaca/MBPP-style subset</w:t>
            </w:r>
          </w:p>
        </w:tc>
        <w:tc>
          <w:tcPr>
            <w:tcW w:w="2520" w:type="dxa"/>
            <w:vAlign w:val="center"/>
          </w:tcPr>
          <w:p w14:paraId="3C01B79A" w14:textId="77777777" w:rsidR="00742DFA" w:rsidRDefault="00000000">
            <w:r>
              <w:rPr>
                <w:sz w:val="17"/>
              </w:rPr>
              <w:t>Code specialist</w:t>
            </w:r>
          </w:p>
        </w:tc>
      </w:tr>
      <w:tr w:rsidR="00742DFA" w14:paraId="010FE512" w14:textId="77777777">
        <w:trPr>
          <w:jc w:val="center"/>
        </w:trPr>
        <w:tc>
          <w:tcPr>
            <w:tcW w:w="2520" w:type="dxa"/>
            <w:vAlign w:val="center"/>
          </w:tcPr>
          <w:p w14:paraId="3413B8A3" w14:textId="77777777" w:rsidR="00742DFA" w:rsidRDefault="00000000">
            <w:r>
              <w:rPr>
                <w:sz w:val="17"/>
              </w:rPr>
              <w:t>E_instr</w:t>
            </w:r>
          </w:p>
        </w:tc>
        <w:tc>
          <w:tcPr>
            <w:tcW w:w="2520" w:type="dxa"/>
            <w:vAlign w:val="center"/>
          </w:tcPr>
          <w:p w14:paraId="739F0CB2" w14:textId="77777777" w:rsidR="00742DFA" w:rsidRDefault="00000000">
            <w:r>
              <w:rPr>
                <w:sz w:val="17"/>
              </w:rPr>
              <w:t>SFT</w:t>
            </w:r>
          </w:p>
        </w:tc>
        <w:tc>
          <w:tcPr>
            <w:tcW w:w="2520" w:type="dxa"/>
            <w:vAlign w:val="center"/>
          </w:tcPr>
          <w:p w14:paraId="37B6ED72" w14:textId="77777777" w:rsidR="00742DFA" w:rsidRDefault="00000000">
            <w:r>
              <w:rPr>
                <w:sz w:val="17"/>
              </w:rPr>
              <w:t>Small instruction-following subset</w:t>
            </w:r>
          </w:p>
        </w:tc>
        <w:tc>
          <w:tcPr>
            <w:tcW w:w="2520" w:type="dxa"/>
            <w:vAlign w:val="center"/>
          </w:tcPr>
          <w:p w14:paraId="7FBFEDBA" w14:textId="77777777" w:rsidR="00742DFA" w:rsidRDefault="00000000">
            <w:r>
              <w:rPr>
                <w:sz w:val="17"/>
              </w:rPr>
              <w:t>General instruction specialist</w:t>
            </w:r>
          </w:p>
        </w:tc>
      </w:tr>
      <w:tr w:rsidR="00742DFA" w14:paraId="7771392F" w14:textId="77777777">
        <w:trPr>
          <w:jc w:val="center"/>
        </w:trPr>
        <w:tc>
          <w:tcPr>
            <w:tcW w:w="2520" w:type="dxa"/>
            <w:vAlign w:val="center"/>
          </w:tcPr>
          <w:p w14:paraId="59D3979D" w14:textId="77777777" w:rsidR="00742DFA" w:rsidRDefault="00000000">
            <w:r>
              <w:rPr>
                <w:sz w:val="17"/>
              </w:rPr>
              <w:t>E_pref</w:t>
            </w:r>
          </w:p>
        </w:tc>
        <w:tc>
          <w:tcPr>
            <w:tcW w:w="2520" w:type="dxa"/>
            <w:vAlign w:val="center"/>
          </w:tcPr>
          <w:p w14:paraId="256C4518" w14:textId="77777777" w:rsidR="00742DFA" w:rsidRDefault="00000000">
            <w:r>
              <w:rPr>
                <w:sz w:val="17"/>
              </w:rPr>
              <w:t>DPO</w:t>
            </w:r>
          </w:p>
        </w:tc>
        <w:tc>
          <w:tcPr>
            <w:tcW w:w="2520" w:type="dxa"/>
            <w:vAlign w:val="center"/>
          </w:tcPr>
          <w:p w14:paraId="45A36D9B" w14:textId="77777777" w:rsidR="00742DFA" w:rsidRDefault="00000000">
            <w:r>
              <w:rPr>
                <w:sz w:val="17"/>
              </w:rPr>
              <w:t>2k preference pairs from UltraFeedback or HH-RLHF</w:t>
            </w:r>
          </w:p>
        </w:tc>
        <w:tc>
          <w:tcPr>
            <w:tcW w:w="2520" w:type="dxa"/>
            <w:vAlign w:val="center"/>
          </w:tcPr>
          <w:p w14:paraId="29B09C84" w14:textId="77777777" w:rsidR="00742DFA" w:rsidRDefault="00000000">
            <w:r>
              <w:rPr>
                <w:sz w:val="17"/>
              </w:rPr>
              <w:t>Preference/alignment specialist</w:t>
            </w:r>
          </w:p>
        </w:tc>
      </w:tr>
    </w:tbl>
    <w:p w14:paraId="4DABB9FB" w14:textId="77777777" w:rsidR="00742DFA" w:rsidRDefault="00000000">
      <w:pPr>
        <w:spacing w:after="80" w:line="252" w:lineRule="auto"/>
      </w:pPr>
      <w:r>
        <w:rPr>
          <w:b/>
        </w:rPr>
        <w:t xml:space="preserve">Important control: </w:t>
      </w:r>
      <w:r>
        <w:t>also construct “aligned domain experts” by applying the same DPO preference set separately to E_math, E_code, and E_instr. This allows a genuine consortium test: several independently aligned experts are merged together, rather than one aligned checkpoint being diluted by unaligned experts.</w:t>
      </w:r>
    </w:p>
    <w:p w14:paraId="500AC067" w14:textId="77777777" w:rsidR="00742DFA" w:rsidRDefault="00000000">
      <w:pPr>
        <w:pStyle w:val="Heading2"/>
        <w:spacing w:after="80" w:line="252" w:lineRule="auto"/>
      </w:pPr>
      <w:r>
        <w:lastRenderedPageBreak/>
        <w:t>4.3 Preference data regimes</w:t>
      </w:r>
    </w:p>
    <w:p w14:paraId="478410AD" w14:textId="77777777" w:rsidR="00742DFA" w:rsidRDefault="00000000">
      <w:pPr>
        <w:pStyle w:val="ListBullet"/>
        <w:spacing w:after="40" w:line="252" w:lineRule="auto"/>
      </w:pPr>
      <w:r>
        <w:t>Tiny: 500 chosen/rejected pairs. Designed to test the “small preference set” premise.</w:t>
      </w:r>
    </w:p>
    <w:p w14:paraId="30808DD9" w14:textId="77777777" w:rsidR="00742DFA" w:rsidRDefault="00000000">
      <w:pPr>
        <w:pStyle w:val="ListBullet"/>
        <w:spacing w:after="40" w:line="252" w:lineRule="auto"/>
      </w:pPr>
      <w:r>
        <w:t>Small: 2,000 pairs. Recommended main setting.</w:t>
      </w:r>
    </w:p>
    <w:p w14:paraId="4ECE7EDF" w14:textId="77777777" w:rsidR="00742DFA" w:rsidRDefault="00000000">
      <w:pPr>
        <w:pStyle w:val="ListBullet"/>
        <w:spacing w:after="40" w:line="252" w:lineRule="auto"/>
      </w:pPr>
      <w:r>
        <w:t>Medium: 8,000 pairs. Used only for a scaling ablation.</w:t>
      </w:r>
    </w:p>
    <w:p w14:paraId="62E5FDF6" w14:textId="77777777" w:rsidR="00742DFA" w:rsidRDefault="00000000">
      <w:pPr>
        <w:pStyle w:val="ListBullet"/>
        <w:spacing w:after="40" w:line="252" w:lineRule="auto"/>
      </w:pPr>
      <w:r>
        <w:t>Keep 500–1,000 held-out preference pairs completely out of training for pairwise log-probability evaluation.</w:t>
      </w:r>
    </w:p>
    <w:p w14:paraId="2C4CB51D" w14:textId="77777777" w:rsidR="00742DFA" w:rsidRDefault="00000000">
      <w:pPr>
        <w:pStyle w:val="ListBullet"/>
        <w:spacing w:after="40" w:line="252" w:lineRule="auto"/>
      </w:pPr>
      <w:r>
        <w:t>For GRPO, use the same underlying preference domain. Convert it to prompt-only training and score sampled responses with a fixed compact reward model trained on the training split or a deterministic verifier where possible. Do not let the evaluation judge be the GRPO reward source.</w:t>
      </w:r>
    </w:p>
    <w:p w14:paraId="15CCDED9" w14:textId="77777777" w:rsidR="00742DFA" w:rsidRDefault="00000000">
      <w:pPr>
        <w:pStyle w:val="Heading2"/>
        <w:spacing w:after="80" w:line="252" w:lineRule="auto"/>
      </w:pPr>
      <w:r>
        <w:t>4.4 The essential workflow comparison</w:t>
      </w:r>
    </w:p>
    <w:tbl>
      <w:tblPr>
        <w:tblStyle w:val="TableGrid"/>
        <w:tblW w:w="0" w:type="auto"/>
        <w:jc w:val="center"/>
        <w:tblLook w:val="04A0" w:firstRow="1" w:lastRow="0" w:firstColumn="1" w:lastColumn="0" w:noHBand="0" w:noVBand="1"/>
      </w:tblPr>
      <w:tblGrid>
        <w:gridCol w:w="2520"/>
        <w:gridCol w:w="2520"/>
        <w:gridCol w:w="2520"/>
        <w:gridCol w:w="2520"/>
      </w:tblGrid>
      <w:tr w:rsidR="00742DFA" w14:paraId="4AE69268" w14:textId="77777777">
        <w:trPr>
          <w:tblHeader/>
          <w:jc w:val="center"/>
        </w:trPr>
        <w:tc>
          <w:tcPr>
            <w:tcW w:w="2520" w:type="dxa"/>
            <w:shd w:val="clear" w:color="auto" w:fill="DCE6F1"/>
            <w:vAlign w:val="center"/>
          </w:tcPr>
          <w:p w14:paraId="6F8DDEFB" w14:textId="77777777" w:rsidR="00742DFA" w:rsidRDefault="00000000">
            <w:r>
              <w:rPr>
                <w:b/>
                <w:sz w:val="18"/>
              </w:rPr>
              <w:t>ID</w:t>
            </w:r>
          </w:p>
        </w:tc>
        <w:tc>
          <w:tcPr>
            <w:tcW w:w="2520" w:type="dxa"/>
            <w:shd w:val="clear" w:color="auto" w:fill="DCE6F1"/>
            <w:vAlign w:val="center"/>
          </w:tcPr>
          <w:p w14:paraId="30B02D35" w14:textId="77777777" w:rsidR="00742DFA" w:rsidRDefault="00000000">
            <w:r>
              <w:rPr>
                <w:b/>
                <w:sz w:val="18"/>
              </w:rPr>
              <w:t>Pipeline</w:t>
            </w:r>
          </w:p>
        </w:tc>
        <w:tc>
          <w:tcPr>
            <w:tcW w:w="2520" w:type="dxa"/>
            <w:shd w:val="clear" w:color="auto" w:fill="DCE6F1"/>
            <w:vAlign w:val="center"/>
          </w:tcPr>
          <w:p w14:paraId="71C324FD" w14:textId="77777777" w:rsidR="00742DFA" w:rsidRDefault="00000000">
            <w:r>
              <w:rPr>
                <w:b/>
                <w:sz w:val="18"/>
              </w:rPr>
              <w:t>Interpretation</w:t>
            </w:r>
          </w:p>
        </w:tc>
        <w:tc>
          <w:tcPr>
            <w:tcW w:w="2520" w:type="dxa"/>
            <w:shd w:val="clear" w:color="auto" w:fill="DCE6F1"/>
            <w:vAlign w:val="center"/>
          </w:tcPr>
          <w:p w14:paraId="666EFCD6" w14:textId="77777777" w:rsidR="00742DFA" w:rsidRDefault="00000000">
            <w:r>
              <w:rPr>
                <w:b/>
                <w:sz w:val="18"/>
              </w:rPr>
              <w:t>Must-have?</w:t>
            </w:r>
          </w:p>
        </w:tc>
      </w:tr>
      <w:tr w:rsidR="00742DFA" w14:paraId="4FD1A674" w14:textId="77777777">
        <w:trPr>
          <w:jc w:val="center"/>
        </w:trPr>
        <w:tc>
          <w:tcPr>
            <w:tcW w:w="2520" w:type="dxa"/>
            <w:vAlign w:val="center"/>
          </w:tcPr>
          <w:p w14:paraId="0A8B7281" w14:textId="77777777" w:rsidR="00742DFA" w:rsidRDefault="00000000">
            <w:r>
              <w:rPr>
                <w:sz w:val="16"/>
              </w:rPr>
              <w:t>B0</w:t>
            </w:r>
          </w:p>
        </w:tc>
        <w:tc>
          <w:tcPr>
            <w:tcW w:w="2520" w:type="dxa"/>
            <w:vAlign w:val="center"/>
          </w:tcPr>
          <w:p w14:paraId="22B486B9" w14:textId="77777777" w:rsidR="00742DFA" w:rsidRDefault="00000000">
            <w:r>
              <w:rPr>
                <w:sz w:val="16"/>
              </w:rPr>
              <w:t>Base</w:t>
            </w:r>
          </w:p>
        </w:tc>
        <w:tc>
          <w:tcPr>
            <w:tcW w:w="2520" w:type="dxa"/>
            <w:vAlign w:val="center"/>
          </w:tcPr>
          <w:p w14:paraId="02A1221B" w14:textId="77777777" w:rsidR="00742DFA" w:rsidRDefault="00000000">
            <w:r>
              <w:rPr>
                <w:sz w:val="16"/>
              </w:rPr>
              <w:t>Untuned reference</w:t>
            </w:r>
          </w:p>
        </w:tc>
        <w:tc>
          <w:tcPr>
            <w:tcW w:w="2520" w:type="dxa"/>
            <w:vAlign w:val="center"/>
          </w:tcPr>
          <w:p w14:paraId="7AA61071" w14:textId="77777777" w:rsidR="00742DFA" w:rsidRDefault="00000000">
            <w:r>
              <w:rPr>
                <w:sz w:val="16"/>
              </w:rPr>
              <w:t>Yes</w:t>
            </w:r>
          </w:p>
        </w:tc>
      </w:tr>
      <w:tr w:rsidR="00742DFA" w14:paraId="1A34AD10" w14:textId="77777777">
        <w:trPr>
          <w:jc w:val="center"/>
        </w:trPr>
        <w:tc>
          <w:tcPr>
            <w:tcW w:w="2520" w:type="dxa"/>
            <w:vAlign w:val="center"/>
          </w:tcPr>
          <w:p w14:paraId="38EB9405" w14:textId="77777777" w:rsidR="00742DFA" w:rsidRDefault="00000000">
            <w:r>
              <w:rPr>
                <w:sz w:val="16"/>
              </w:rPr>
              <w:t>B1</w:t>
            </w:r>
          </w:p>
        </w:tc>
        <w:tc>
          <w:tcPr>
            <w:tcW w:w="2520" w:type="dxa"/>
            <w:vAlign w:val="center"/>
          </w:tcPr>
          <w:p w14:paraId="409A6287" w14:textId="77777777" w:rsidR="00742DFA" w:rsidRDefault="00000000">
            <w:r>
              <w:rPr>
                <w:sz w:val="16"/>
              </w:rPr>
              <w:t>Domain SFT experts individually</w:t>
            </w:r>
          </w:p>
        </w:tc>
        <w:tc>
          <w:tcPr>
            <w:tcW w:w="2520" w:type="dxa"/>
            <w:vAlign w:val="center"/>
          </w:tcPr>
          <w:p w14:paraId="7DC29F4B" w14:textId="77777777" w:rsidR="00742DFA" w:rsidRDefault="00000000">
            <w:r>
              <w:rPr>
                <w:sz w:val="16"/>
              </w:rPr>
              <w:t>Upper bounds for specialist capabilities</w:t>
            </w:r>
          </w:p>
        </w:tc>
        <w:tc>
          <w:tcPr>
            <w:tcW w:w="2520" w:type="dxa"/>
            <w:vAlign w:val="center"/>
          </w:tcPr>
          <w:p w14:paraId="2E6600AD" w14:textId="77777777" w:rsidR="00742DFA" w:rsidRDefault="00000000">
            <w:r>
              <w:rPr>
                <w:sz w:val="16"/>
              </w:rPr>
              <w:t>Yes</w:t>
            </w:r>
          </w:p>
        </w:tc>
      </w:tr>
      <w:tr w:rsidR="00742DFA" w14:paraId="536A2DD4" w14:textId="77777777">
        <w:trPr>
          <w:jc w:val="center"/>
        </w:trPr>
        <w:tc>
          <w:tcPr>
            <w:tcW w:w="2520" w:type="dxa"/>
            <w:vAlign w:val="center"/>
          </w:tcPr>
          <w:p w14:paraId="71E00BD6" w14:textId="77777777" w:rsidR="00742DFA" w:rsidRDefault="00000000">
            <w:r>
              <w:rPr>
                <w:sz w:val="16"/>
              </w:rPr>
              <w:t>B2</w:t>
            </w:r>
          </w:p>
        </w:tc>
        <w:tc>
          <w:tcPr>
            <w:tcW w:w="2520" w:type="dxa"/>
            <w:vAlign w:val="center"/>
          </w:tcPr>
          <w:p w14:paraId="3B330675" w14:textId="77777777" w:rsidR="00742DFA" w:rsidRDefault="00000000">
            <w:r>
              <w:rPr>
                <w:sz w:val="16"/>
              </w:rPr>
              <w:t>DPO-only preference expert</w:t>
            </w:r>
          </w:p>
        </w:tc>
        <w:tc>
          <w:tcPr>
            <w:tcW w:w="2520" w:type="dxa"/>
            <w:vAlign w:val="center"/>
          </w:tcPr>
          <w:p w14:paraId="2F8B77C5" w14:textId="77777777" w:rsidR="00742DFA" w:rsidRDefault="00000000">
            <w:r>
              <w:rPr>
                <w:sz w:val="16"/>
              </w:rPr>
              <w:t>Preference upper bound before merge</w:t>
            </w:r>
          </w:p>
        </w:tc>
        <w:tc>
          <w:tcPr>
            <w:tcW w:w="2520" w:type="dxa"/>
            <w:vAlign w:val="center"/>
          </w:tcPr>
          <w:p w14:paraId="147E7C10" w14:textId="77777777" w:rsidR="00742DFA" w:rsidRDefault="00000000">
            <w:r>
              <w:rPr>
                <w:sz w:val="16"/>
              </w:rPr>
              <w:t>Yes</w:t>
            </w:r>
          </w:p>
        </w:tc>
      </w:tr>
      <w:tr w:rsidR="00742DFA" w14:paraId="69D89DD8" w14:textId="77777777">
        <w:trPr>
          <w:jc w:val="center"/>
        </w:trPr>
        <w:tc>
          <w:tcPr>
            <w:tcW w:w="2520" w:type="dxa"/>
            <w:vAlign w:val="center"/>
          </w:tcPr>
          <w:p w14:paraId="2B6D0AD0" w14:textId="77777777" w:rsidR="00742DFA" w:rsidRDefault="00000000">
            <w:r>
              <w:rPr>
                <w:sz w:val="16"/>
              </w:rPr>
              <w:t>W1</w:t>
            </w:r>
          </w:p>
        </w:tc>
        <w:tc>
          <w:tcPr>
            <w:tcW w:w="2520" w:type="dxa"/>
            <w:vAlign w:val="center"/>
          </w:tcPr>
          <w:p w14:paraId="11449D84" w14:textId="77777777" w:rsidR="00742DFA" w:rsidRDefault="00000000">
            <w:r>
              <w:rPr>
                <w:sz w:val="16"/>
              </w:rPr>
              <w:t>SFT experts → merge</w:t>
            </w:r>
          </w:p>
        </w:tc>
        <w:tc>
          <w:tcPr>
            <w:tcW w:w="2520" w:type="dxa"/>
            <w:vAlign w:val="center"/>
          </w:tcPr>
          <w:p w14:paraId="105B7D2A" w14:textId="77777777" w:rsidR="00742DFA" w:rsidRDefault="00000000">
            <w:r>
              <w:rPr>
                <w:sz w:val="16"/>
              </w:rPr>
              <w:t>Unaligned merged baseline</w:t>
            </w:r>
          </w:p>
        </w:tc>
        <w:tc>
          <w:tcPr>
            <w:tcW w:w="2520" w:type="dxa"/>
            <w:vAlign w:val="center"/>
          </w:tcPr>
          <w:p w14:paraId="20DD6E2E" w14:textId="77777777" w:rsidR="00742DFA" w:rsidRDefault="00000000">
            <w:r>
              <w:rPr>
                <w:sz w:val="16"/>
              </w:rPr>
              <w:t>Yes</w:t>
            </w:r>
          </w:p>
        </w:tc>
      </w:tr>
      <w:tr w:rsidR="00742DFA" w14:paraId="535F76E3" w14:textId="77777777">
        <w:trPr>
          <w:jc w:val="center"/>
        </w:trPr>
        <w:tc>
          <w:tcPr>
            <w:tcW w:w="2520" w:type="dxa"/>
            <w:vAlign w:val="center"/>
          </w:tcPr>
          <w:p w14:paraId="362C5E15" w14:textId="77777777" w:rsidR="00742DFA" w:rsidRDefault="00000000">
            <w:r>
              <w:rPr>
                <w:sz w:val="16"/>
              </w:rPr>
              <w:t>W2</w:t>
            </w:r>
          </w:p>
        </w:tc>
        <w:tc>
          <w:tcPr>
            <w:tcW w:w="2520" w:type="dxa"/>
            <w:vAlign w:val="center"/>
          </w:tcPr>
          <w:p w14:paraId="5F2213B5" w14:textId="77777777" w:rsidR="00742DFA" w:rsidRDefault="00000000">
            <w:r>
              <w:rPr>
                <w:sz w:val="16"/>
              </w:rPr>
              <w:t>Each expert → DPO → merge</w:t>
            </w:r>
          </w:p>
        </w:tc>
        <w:tc>
          <w:tcPr>
            <w:tcW w:w="2520" w:type="dxa"/>
            <w:vAlign w:val="center"/>
          </w:tcPr>
          <w:p w14:paraId="395AFCEB" w14:textId="77777777" w:rsidR="00742DFA" w:rsidRDefault="00000000">
            <w:r>
              <w:rPr>
                <w:sz w:val="16"/>
              </w:rPr>
              <w:t>Align first, then merge</w:t>
            </w:r>
          </w:p>
        </w:tc>
        <w:tc>
          <w:tcPr>
            <w:tcW w:w="2520" w:type="dxa"/>
            <w:vAlign w:val="center"/>
          </w:tcPr>
          <w:p w14:paraId="72A58801" w14:textId="77777777" w:rsidR="00742DFA" w:rsidRDefault="00000000">
            <w:r>
              <w:rPr>
                <w:sz w:val="16"/>
              </w:rPr>
              <w:t>Yes</w:t>
            </w:r>
          </w:p>
        </w:tc>
      </w:tr>
      <w:tr w:rsidR="00742DFA" w14:paraId="197C8E0D" w14:textId="77777777">
        <w:trPr>
          <w:jc w:val="center"/>
        </w:trPr>
        <w:tc>
          <w:tcPr>
            <w:tcW w:w="2520" w:type="dxa"/>
            <w:vAlign w:val="center"/>
          </w:tcPr>
          <w:p w14:paraId="1060CB4B" w14:textId="77777777" w:rsidR="00742DFA" w:rsidRDefault="00000000">
            <w:r>
              <w:rPr>
                <w:sz w:val="16"/>
              </w:rPr>
              <w:t>W3</w:t>
            </w:r>
          </w:p>
        </w:tc>
        <w:tc>
          <w:tcPr>
            <w:tcW w:w="2520" w:type="dxa"/>
            <w:vAlign w:val="center"/>
          </w:tcPr>
          <w:p w14:paraId="6C63B424" w14:textId="77777777" w:rsidR="00742DFA" w:rsidRDefault="00000000">
            <w:r>
              <w:rPr>
                <w:sz w:val="16"/>
              </w:rPr>
              <w:t>SFT experts → merge → DPO</w:t>
            </w:r>
          </w:p>
        </w:tc>
        <w:tc>
          <w:tcPr>
            <w:tcW w:w="2520" w:type="dxa"/>
            <w:vAlign w:val="center"/>
          </w:tcPr>
          <w:p w14:paraId="4802B640" w14:textId="77777777" w:rsidR="00742DFA" w:rsidRDefault="00000000">
            <w:r>
              <w:rPr>
                <w:sz w:val="16"/>
              </w:rPr>
              <w:t>Merge first, then align</w:t>
            </w:r>
          </w:p>
        </w:tc>
        <w:tc>
          <w:tcPr>
            <w:tcW w:w="2520" w:type="dxa"/>
            <w:vAlign w:val="center"/>
          </w:tcPr>
          <w:p w14:paraId="2B1681C1" w14:textId="77777777" w:rsidR="00742DFA" w:rsidRDefault="00000000">
            <w:r>
              <w:rPr>
                <w:sz w:val="16"/>
              </w:rPr>
              <w:t>Yes</w:t>
            </w:r>
          </w:p>
        </w:tc>
      </w:tr>
      <w:tr w:rsidR="00742DFA" w14:paraId="4BCF15FF" w14:textId="77777777">
        <w:trPr>
          <w:jc w:val="center"/>
        </w:trPr>
        <w:tc>
          <w:tcPr>
            <w:tcW w:w="2520" w:type="dxa"/>
            <w:vAlign w:val="center"/>
          </w:tcPr>
          <w:p w14:paraId="5A624065" w14:textId="77777777" w:rsidR="00742DFA" w:rsidRDefault="00000000">
            <w:r>
              <w:rPr>
                <w:sz w:val="16"/>
              </w:rPr>
              <w:t>W4</w:t>
            </w:r>
          </w:p>
        </w:tc>
        <w:tc>
          <w:tcPr>
            <w:tcW w:w="2520" w:type="dxa"/>
            <w:vAlign w:val="center"/>
          </w:tcPr>
          <w:p w14:paraId="064D3AF6" w14:textId="77777777" w:rsidR="00742DFA" w:rsidRDefault="00000000">
            <w:r>
              <w:rPr>
                <w:sz w:val="16"/>
              </w:rPr>
              <w:t>Preference expert + domain experts → merge</w:t>
            </w:r>
          </w:p>
        </w:tc>
        <w:tc>
          <w:tcPr>
            <w:tcW w:w="2520" w:type="dxa"/>
            <w:vAlign w:val="center"/>
          </w:tcPr>
          <w:p w14:paraId="5BDBA1CB" w14:textId="77777777" w:rsidR="00742DFA" w:rsidRDefault="00000000">
            <w:r>
              <w:rPr>
                <w:sz w:val="16"/>
              </w:rPr>
              <w:t>Does a single alignment anchor survive dilution?</w:t>
            </w:r>
          </w:p>
        </w:tc>
        <w:tc>
          <w:tcPr>
            <w:tcW w:w="2520" w:type="dxa"/>
            <w:vAlign w:val="center"/>
          </w:tcPr>
          <w:p w14:paraId="13DACBF4" w14:textId="77777777" w:rsidR="00742DFA" w:rsidRDefault="00000000">
            <w:r>
              <w:rPr>
                <w:sz w:val="16"/>
              </w:rPr>
              <w:t>Yes</w:t>
            </w:r>
          </w:p>
        </w:tc>
      </w:tr>
      <w:tr w:rsidR="00742DFA" w14:paraId="1359BC34" w14:textId="77777777">
        <w:trPr>
          <w:jc w:val="center"/>
        </w:trPr>
        <w:tc>
          <w:tcPr>
            <w:tcW w:w="2520" w:type="dxa"/>
            <w:vAlign w:val="center"/>
          </w:tcPr>
          <w:p w14:paraId="628BC6FA" w14:textId="77777777" w:rsidR="00742DFA" w:rsidRDefault="00000000">
            <w:r>
              <w:rPr>
                <w:sz w:val="16"/>
              </w:rPr>
              <w:t>W5</w:t>
            </w:r>
          </w:p>
        </w:tc>
        <w:tc>
          <w:tcPr>
            <w:tcW w:w="2520" w:type="dxa"/>
            <w:vAlign w:val="center"/>
          </w:tcPr>
          <w:p w14:paraId="275D61E1" w14:textId="77777777" w:rsidR="00742DFA" w:rsidRDefault="00000000">
            <w:r>
              <w:rPr>
                <w:sz w:val="16"/>
              </w:rPr>
              <w:t>SFT experts → merge → GRPO</w:t>
            </w:r>
          </w:p>
        </w:tc>
        <w:tc>
          <w:tcPr>
            <w:tcW w:w="2520" w:type="dxa"/>
            <w:vAlign w:val="center"/>
          </w:tcPr>
          <w:p w14:paraId="4480AE49" w14:textId="77777777" w:rsidR="00742DFA" w:rsidRDefault="00000000">
            <w:r>
              <w:rPr>
                <w:sz w:val="16"/>
              </w:rPr>
              <w:t>GRPO post-merge replication</w:t>
            </w:r>
          </w:p>
        </w:tc>
        <w:tc>
          <w:tcPr>
            <w:tcW w:w="2520" w:type="dxa"/>
            <w:vAlign w:val="center"/>
          </w:tcPr>
          <w:p w14:paraId="17AAED2E" w14:textId="77777777" w:rsidR="00742DFA" w:rsidRDefault="00000000">
            <w:r>
              <w:rPr>
                <w:sz w:val="16"/>
              </w:rPr>
              <w:t>Secondary</w:t>
            </w:r>
          </w:p>
        </w:tc>
      </w:tr>
      <w:tr w:rsidR="00742DFA" w14:paraId="56DCA9B0" w14:textId="77777777">
        <w:trPr>
          <w:jc w:val="center"/>
        </w:trPr>
        <w:tc>
          <w:tcPr>
            <w:tcW w:w="2520" w:type="dxa"/>
            <w:vAlign w:val="center"/>
          </w:tcPr>
          <w:p w14:paraId="7495DD18" w14:textId="77777777" w:rsidR="00742DFA" w:rsidRDefault="00000000">
            <w:r>
              <w:rPr>
                <w:sz w:val="16"/>
              </w:rPr>
              <w:t>W6</w:t>
            </w:r>
          </w:p>
        </w:tc>
        <w:tc>
          <w:tcPr>
            <w:tcW w:w="2520" w:type="dxa"/>
            <w:vAlign w:val="center"/>
          </w:tcPr>
          <w:p w14:paraId="344FE97D" w14:textId="77777777" w:rsidR="00742DFA" w:rsidRDefault="00000000">
            <w:r>
              <w:rPr>
                <w:sz w:val="16"/>
              </w:rPr>
              <w:t>Each expert → GRPO → merge</w:t>
            </w:r>
          </w:p>
        </w:tc>
        <w:tc>
          <w:tcPr>
            <w:tcW w:w="2520" w:type="dxa"/>
            <w:vAlign w:val="center"/>
          </w:tcPr>
          <w:p w14:paraId="78BD3F57" w14:textId="77777777" w:rsidR="00742DFA" w:rsidRDefault="00000000">
            <w:r>
              <w:rPr>
                <w:sz w:val="16"/>
              </w:rPr>
              <w:t>GRPO pre-merge replication</w:t>
            </w:r>
          </w:p>
        </w:tc>
        <w:tc>
          <w:tcPr>
            <w:tcW w:w="2520" w:type="dxa"/>
            <w:vAlign w:val="center"/>
          </w:tcPr>
          <w:p w14:paraId="0F33F222" w14:textId="77777777" w:rsidR="00742DFA" w:rsidRDefault="00000000">
            <w:r>
              <w:rPr>
                <w:sz w:val="16"/>
              </w:rPr>
              <w:t>Secondary</w:t>
            </w:r>
          </w:p>
        </w:tc>
      </w:tr>
    </w:tbl>
    <w:p w14:paraId="6A66ACA3" w14:textId="77777777" w:rsidR="00742DFA" w:rsidRDefault="00000000">
      <w:pPr>
        <w:pStyle w:val="Heading2"/>
        <w:spacing w:after="80" w:line="252" w:lineRule="auto"/>
      </w:pPr>
      <w:r>
        <w:t>4.5 Merge methods and coefficient sweeps</w:t>
      </w:r>
    </w:p>
    <w:p w14:paraId="7FF9D209" w14:textId="77777777" w:rsidR="00742DFA" w:rsidRDefault="00000000">
      <w:pPr>
        <w:pStyle w:val="ListBullet"/>
        <w:spacing w:after="40" w:line="252" w:lineRule="auto"/>
      </w:pPr>
      <w:r>
        <w:t>Linear interpolation / weighted averaging: the interpretable baseline. For two-model merges sweep preference-expert weight α ∈ {0.0, 0.1, …, 1.0}.</w:t>
      </w:r>
    </w:p>
    <w:p w14:paraId="2DFBA7E5" w14:textId="77777777" w:rsidR="00742DFA" w:rsidRDefault="00000000">
      <w:pPr>
        <w:pStyle w:val="ListBullet"/>
        <w:spacing w:after="40" w:line="252" w:lineRule="auto"/>
      </w:pPr>
      <w:r>
        <w:t>Task arithmetic: merge expert deltas relative to the common base, with a small scaling sweep.</w:t>
      </w:r>
    </w:p>
    <w:p w14:paraId="2A64C300" w14:textId="77777777" w:rsidR="00742DFA" w:rsidRDefault="00000000">
      <w:pPr>
        <w:pStyle w:val="ListBullet"/>
        <w:spacing w:after="40" w:line="252" w:lineRule="auto"/>
      </w:pPr>
      <w:r>
        <w:t>TIES-Merging: tests whether explicit resolution of sign interference helps retain alignment.</w:t>
      </w:r>
    </w:p>
    <w:p w14:paraId="7699A36D" w14:textId="77777777" w:rsidR="00742DFA" w:rsidRDefault="00000000">
      <w:pPr>
        <w:pStyle w:val="ListBullet"/>
        <w:spacing w:after="40" w:line="252" w:lineRule="auto"/>
      </w:pPr>
      <w:r>
        <w:t>DARE-TIES: tests whether sparsifying redundant deltas before conflict resolution improves retention.</w:t>
      </w:r>
    </w:p>
    <w:p w14:paraId="7F1F70EC" w14:textId="77777777" w:rsidR="00742DFA" w:rsidRDefault="00000000">
      <w:pPr>
        <w:pStyle w:val="ListBullet"/>
        <w:spacing w:after="40" w:line="252" w:lineRule="auto"/>
      </w:pPr>
      <w:r>
        <w:t>Optional SLERP: include if implementation is stable, mainly to connect with prior multilingual merging results.</w:t>
      </w:r>
    </w:p>
    <w:p w14:paraId="743C1653" w14:textId="77777777" w:rsidR="00742DFA" w:rsidRDefault="00000000">
      <w:pPr>
        <w:pStyle w:val="ListBullet"/>
        <w:spacing w:after="40" w:line="252" w:lineRule="auto"/>
      </w:pPr>
      <w:r>
        <w:t>For N-way consortium merges, use N ∈ {2,3,4}. Keep total merge mass normalized and report both equal-weight and alignment-anchor-weighted variants.</w:t>
      </w:r>
    </w:p>
    <w:p w14:paraId="40317373" w14:textId="77777777" w:rsidR="00742DFA" w:rsidRDefault="00000000">
      <w:pPr>
        <w:pStyle w:val="Heading1"/>
        <w:spacing w:after="80" w:line="252" w:lineRule="auto"/>
      </w:pPr>
      <w:r>
        <w:t>5. Metrics: what makes the answer clear</w:t>
      </w:r>
    </w:p>
    <w:p w14:paraId="4426E203" w14:textId="77777777" w:rsidR="00742DFA" w:rsidRDefault="00000000">
      <w:pPr>
        <w:pStyle w:val="Heading2"/>
        <w:spacing w:after="80" w:line="252" w:lineRule="auto"/>
      </w:pPr>
      <w:r>
        <w:t>5.1 Primary metric: Preference Retention Ratio (PRR)</w:t>
      </w:r>
    </w:p>
    <w:p w14:paraId="22B961C3" w14:textId="77777777" w:rsidR="00742DFA" w:rsidRDefault="00000000">
      <w:pPr>
        <w:spacing w:after="80" w:line="252" w:lineRule="auto"/>
      </w:pPr>
      <w:r>
        <w:rPr>
          <w:b/>
        </w:rPr>
        <w:t xml:space="preserve">Define </w:t>
      </w:r>
      <w:r>
        <w:t>PRR = (S_merge − S_base) / (S_pref − S_base), where S is a held-out preference score, S_pref is the aligned parent before merging, and S_merge is the merged checkpoint. PRR≈1 means the learned preference gain survives; PRR≈0 means it is erased; PRR&lt;0 means merging reverses the gain. Report unclipped PRR and bootstrap confidence intervals.</w:t>
      </w:r>
    </w:p>
    <w:p w14:paraId="3CE8330F" w14:textId="77777777" w:rsidR="00742DFA" w:rsidRDefault="00000000">
      <w:pPr>
        <w:spacing w:after="80" w:line="252" w:lineRule="auto"/>
      </w:pPr>
      <w:r>
        <w:t>Use at least two S definitions:</w:t>
      </w:r>
    </w:p>
    <w:p w14:paraId="32FB8949" w14:textId="77777777" w:rsidR="00742DFA" w:rsidRDefault="00000000">
      <w:pPr>
        <w:pStyle w:val="ListBullet"/>
        <w:spacing w:after="40" w:line="252" w:lineRule="auto"/>
      </w:pPr>
      <w:r>
        <w:t>Pairwise preference accuracy or mean DPO margin on held-out chosen/rejected pairs. This is cheap, deterministic, and directly tied to the preference dataset.</w:t>
      </w:r>
    </w:p>
    <w:p w14:paraId="76CE9041" w14:textId="77777777" w:rsidR="00742DFA" w:rsidRDefault="00000000">
      <w:pPr>
        <w:pStyle w:val="ListBullet"/>
        <w:spacing w:after="40" w:line="252" w:lineRule="auto"/>
      </w:pPr>
      <w:r>
        <w:t>Generation-level win rate/reward on unseen prompts using an evaluator that was not used for training. For human-facing claims, manually inspect a small stratified sample.</w:t>
      </w:r>
    </w:p>
    <w:p w14:paraId="6D810C8A" w14:textId="77777777" w:rsidR="00742DFA" w:rsidRDefault="00000000">
      <w:pPr>
        <w:pStyle w:val="Heading2"/>
        <w:spacing w:after="80" w:line="252" w:lineRule="auto"/>
      </w:pPr>
      <w:r>
        <w:lastRenderedPageBreak/>
        <w:t>5.2 Capability-retention metrics</w:t>
      </w:r>
    </w:p>
    <w:p w14:paraId="0ACAFECD" w14:textId="77777777" w:rsidR="00742DFA" w:rsidRDefault="00000000">
      <w:pPr>
        <w:pStyle w:val="ListBullet"/>
        <w:spacing w:after="40" w:line="252" w:lineRule="auto"/>
      </w:pPr>
      <w:r>
        <w:t>Math: GSM8K exact match or another small reasoning benchmark.</w:t>
      </w:r>
    </w:p>
    <w:p w14:paraId="289DAAE8" w14:textId="77777777" w:rsidR="00742DFA" w:rsidRDefault="00000000">
      <w:pPr>
        <w:pStyle w:val="ListBullet"/>
        <w:spacing w:after="40" w:line="252" w:lineRule="auto"/>
      </w:pPr>
      <w:r>
        <w:t>Code: MBPP pass@1 on a manageable subset.</w:t>
      </w:r>
    </w:p>
    <w:p w14:paraId="43B2551B" w14:textId="77777777" w:rsidR="00742DFA" w:rsidRDefault="00000000">
      <w:pPr>
        <w:pStyle w:val="ListBullet"/>
        <w:spacing w:after="40" w:line="252" w:lineRule="auto"/>
      </w:pPr>
      <w:r>
        <w:t>Instruction following: IFEval-style constraint success or an equivalent deterministic subset.</w:t>
      </w:r>
    </w:p>
    <w:p w14:paraId="2B77C9F2" w14:textId="77777777" w:rsidR="00742DFA" w:rsidRDefault="00000000">
      <w:pPr>
        <w:pStyle w:val="ListBullet"/>
        <w:spacing w:after="40" w:line="252" w:lineRule="auto"/>
      </w:pPr>
      <w:r>
        <w:t>General language ability: one compact multiple-choice benchmark such as ARC-Challenge or HellaSwag.</w:t>
      </w:r>
    </w:p>
    <w:p w14:paraId="2D8B1A4A" w14:textId="77777777" w:rsidR="00742DFA" w:rsidRDefault="00000000">
      <w:pPr>
        <w:pStyle w:val="ListBullet"/>
        <w:spacing w:after="40" w:line="252" w:lineRule="auto"/>
      </w:pPr>
      <w:r>
        <w:t>Report a normalized capability-retention score so the paper exposes the preference/capability Pareto trade-off instead of optimizing alignment in isolation.</w:t>
      </w:r>
    </w:p>
    <w:p w14:paraId="4C7C4666" w14:textId="77777777" w:rsidR="00742DFA" w:rsidRDefault="00000000">
      <w:pPr>
        <w:pStyle w:val="Heading2"/>
        <w:spacing w:after="80" w:line="252" w:lineRule="auto"/>
      </w:pPr>
      <w:r>
        <w:t>5.3 Merge-conflict diagnostics</w:t>
      </w:r>
    </w:p>
    <w:p w14:paraId="56A595C3" w14:textId="77777777" w:rsidR="00742DFA" w:rsidRDefault="00000000">
      <w:pPr>
        <w:pStyle w:val="ListBullet"/>
        <w:spacing w:after="40" w:line="252" w:lineRule="auto"/>
      </w:pPr>
      <w:r>
        <w:t>Cosine similarity between flattened task deltas Δ_pref and Δ_domain, globally and layer-wise.</w:t>
      </w:r>
    </w:p>
    <w:p w14:paraId="296F4A75" w14:textId="77777777" w:rsidR="00742DFA" w:rsidRDefault="00000000">
      <w:pPr>
        <w:pStyle w:val="ListBullet"/>
        <w:spacing w:after="40" w:line="252" w:lineRule="auto"/>
      </w:pPr>
      <w:r>
        <w:t>Fraction of overlapping parameters with opposite signs among top-k magnitude delta entries.</w:t>
      </w:r>
    </w:p>
    <w:p w14:paraId="2D884492" w14:textId="77777777" w:rsidR="00742DFA" w:rsidRDefault="00000000">
      <w:pPr>
        <w:pStyle w:val="ListBullet"/>
        <w:spacing w:after="40" w:line="252" w:lineRule="auto"/>
      </w:pPr>
      <w:r>
        <w:t>Delta norm ratio ||Δ_pref|| / ||Δ_domain|| and layer-wise concentration of preference updates.</w:t>
      </w:r>
    </w:p>
    <w:p w14:paraId="5FBB5540" w14:textId="77777777" w:rsidR="00742DFA" w:rsidRDefault="00000000">
      <w:pPr>
        <w:pStyle w:val="ListBullet"/>
        <w:spacing w:after="40" w:line="252" w:lineRule="auto"/>
      </w:pPr>
      <w:r>
        <w:t>Optional: Fisher-weighted or gradient-based sensitivity on the held-out preference set for a mechanistic add-on.</w:t>
      </w:r>
    </w:p>
    <w:p w14:paraId="30C26BA4" w14:textId="77777777" w:rsidR="00742DFA" w:rsidRDefault="00000000">
      <w:pPr>
        <w:pStyle w:val="Heading1"/>
        <w:spacing w:after="80" w:line="252" w:lineRule="auto"/>
      </w:pPr>
      <w:r>
        <w:t>6. Required experiments</w:t>
      </w:r>
    </w:p>
    <w:tbl>
      <w:tblPr>
        <w:tblStyle w:val="TableGrid"/>
        <w:tblW w:w="0" w:type="auto"/>
        <w:jc w:val="center"/>
        <w:tblLook w:val="04A0" w:firstRow="1" w:lastRow="0" w:firstColumn="1" w:lastColumn="0" w:noHBand="0" w:noVBand="1"/>
      </w:tblPr>
      <w:tblGrid>
        <w:gridCol w:w="2520"/>
        <w:gridCol w:w="2520"/>
        <w:gridCol w:w="2520"/>
        <w:gridCol w:w="2520"/>
      </w:tblGrid>
      <w:tr w:rsidR="00742DFA" w14:paraId="4863F765" w14:textId="77777777">
        <w:trPr>
          <w:tblHeader/>
          <w:jc w:val="center"/>
        </w:trPr>
        <w:tc>
          <w:tcPr>
            <w:tcW w:w="2520" w:type="dxa"/>
            <w:shd w:val="clear" w:color="auto" w:fill="E2E8F0"/>
            <w:vAlign w:val="center"/>
          </w:tcPr>
          <w:p w14:paraId="2DA841EE" w14:textId="77777777" w:rsidR="00742DFA" w:rsidRDefault="00000000">
            <w:r>
              <w:rPr>
                <w:b/>
                <w:sz w:val="17"/>
              </w:rPr>
              <w:t>Experiment</w:t>
            </w:r>
          </w:p>
        </w:tc>
        <w:tc>
          <w:tcPr>
            <w:tcW w:w="2520" w:type="dxa"/>
            <w:shd w:val="clear" w:color="auto" w:fill="E2E8F0"/>
            <w:vAlign w:val="center"/>
          </w:tcPr>
          <w:p w14:paraId="2AF608A6" w14:textId="77777777" w:rsidR="00742DFA" w:rsidRDefault="00000000">
            <w:r>
              <w:rPr>
                <w:b/>
                <w:sz w:val="17"/>
              </w:rPr>
              <w:t>Question</w:t>
            </w:r>
          </w:p>
        </w:tc>
        <w:tc>
          <w:tcPr>
            <w:tcW w:w="2520" w:type="dxa"/>
            <w:shd w:val="clear" w:color="auto" w:fill="E2E8F0"/>
            <w:vAlign w:val="center"/>
          </w:tcPr>
          <w:p w14:paraId="3BB6A331" w14:textId="77777777" w:rsidR="00742DFA" w:rsidRDefault="00000000">
            <w:r>
              <w:rPr>
                <w:b/>
                <w:sz w:val="17"/>
              </w:rPr>
              <w:t>Protocol</w:t>
            </w:r>
          </w:p>
        </w:tc>
        <w:tc>
          <w:tcPr>
            <w:tcW w:w="2520" w:type="dxa"/>
            <w:shd w:val="clear" w:color="auto" w:fill="E2E8F0"/>
            <w:vAlign w:val="center"/>
          </w:tcPr>
          <w:p w14:paraId="689F754D" w14:textId="77777777" w:rsidR="00742DFA" w:rsidRDefault="00000000">
            <w:r>
              <w:rPr>
                <w:b/>
                <w:sz w:val="17"/>
              </w:rPr>
              <w:t>Paper artifact</w:t>
            </w:r>
          </w:p>
        </w:tc>
      </w:tr>
      <w:tr w:rsidR="00742DFA" w14:paraId="36505A5E" w14:textId="77777777">
        <w:trPr>
          <w:jc w:val="center"/>
        </w:trPr>
        <w:tc>
          <w:tcPr>
            <w:tcW w:w="2520" w:type="dxa"/>
            <w:vAlign w:val="center"/>
          </w:tcPr>
          <w:p w14:paraId="3E16B129" w14:textId="77777777" w:rsidR="00742DFA" w:rsidRDefault="00000000">
            <w:r>
              <w:rPr>
                <w:sz w:val="16"/>
              </w:rPr>
              <w:t>E1</w:t>
            </w:r>
          </w:p>
        </w:tc>
        <w:tc>
          <w:tcPr>
            <w:tcW w:w="2520" w:type="dxa"/>
            <w:vAlign w:val="center"/>
          </w:tcPr>
          <w:p w14:paraId="07975913" w14:textId="77777777" w:rsidR="00742DFA" w:rsidRDefault="00000000">
            <w:r>
              <w:rPr>
                <w:sz w:val="16"/>
              </w:rPr>
              <w:t>Sanity check</w:t>
            </w:r>
          </w:p>
        </w:tc>
        <w:tc>
          <w:tcPr>
            <w:tcW w:w="2520" w:type="dxa"/>
            <w:vAlign w:val="center"/>
          </w:tcPr>
          <w:p w14:paraId="5440E5F3" w14:textId="77777777" w:rsidR="00742DFA" w:rsidRDefault="00000000">
            <w:r>
              <w:rPr>
                <w:sz w:val="16"/>
              </w:rPr>
              <w:t>Verify each specialist improves its intended task and the preference expert improves held-out preference metrics versus base.</w:t>
            </w:r>
          </w:p>
        </w:tc>
        <w:tc>
          <w:tcPr>
            <w:tcW w:w="2520" w:type="dxa"/>
            <w:vAlign w:val="center"/>
          </w:tcPr>
          <w:p w14:paraId="58C27005" w14:textId="77777777" w:rsidR="00742DFA" w:rsidRDefault="00000000">
            <w:r>
              <w:rPr>
                <w:sz w:val="16"/>
              </w:rPr>
              <w:t>Table 1</w:t>
            </w:r>
          </w:p>
        </w:tc>
      </w:tr>
      <w:tr w:rsidR="00742DFA" w14:paraId="650BCDAC" w14:textId="77777777">
        <w:trPr>
          <w:jc w:val="center"/>
        </w:trPr>
        <w:tc>
          <w:tcPr>
            <w:tcW w:w="2520" w:type="dxa"/>
            <w:vAlign w:val="center"/>
          </w:tcPr>
          <w:p w14:paraId="43A786DD" w14:textId="77777777" w:rsidR="00742DFA" w:rsidRDefault="00000000">
            <w:r>
              <w:rPr>
                <w:sz w:val="16"/>
              </w:rPr>
              <w:t>E2</w:t>
            </w:r>
          </w:p>
        </w:tc>
        <w:tc>
          <w:tcPr>
            <w:tcW w:w="2520" w:type="dxa"/>
            <w:vAlign w:val="center"/>
          </w:tcPr>
          <w:p w14:paraId="0CEDA767" w14:textId="77777777" w:rsidR="00742DFA" w:rsidRDefault="00000000">
            <w:r>
              <w:rPr>
                <w:sz w:val="16"/>
              </w:rPr>
              <w:t>Two-model retention curve</w:t>
            </w:r>
          </w:p>
        </w:tc>
        <w:tc>
          <w:tcPr>
            <w:tcW w:w="2520" w:type="dxa"/>
            <w:vAlign w:val="center"/>
          </w:tcPr>
          <w:p w14:paraId="143BC91A" w14:textId="77777777" w:rsidR="00742DFA" w:rsidRDefault="00000000">
            <w:r>
              <w:rPr>
                <w:sz w:val="16"/>
              </w:rPr>
              <w:t>Merge E_pref with one domain expert across α=0…1 for linear, TIES, DARE-TIES.</w:t>
            </w:r>
          </w:p>
        </w:tc>
        <w:tc>
          <w:tcPr>
            <w:tcW w:w="2520" w:type="dxa"/>
            <w:vAlign w:val="center"/>
          </w:tcPr>
          <w:p w14:paraId="549EA424" w14:textId="77777777" w:rsidR="00742DFA" w:rsidRDefault="00000000">
            <w:r>
              <w:rPr>
                <w:sz w:val="16"/>
              </w:rPr>
              <w:t>Figure 2: PRR vs α</w:t>
            </w:r>
          </w:p>
        </w:tc>
      </w:tr>
      <w:tr w:rsidR="00742DFA" w14:paraId="52F6811D" w14:textId="77777777">
        <w:trPr>
          <w:jc w:val="center"/>
        </w:trPr>
        <w:tc>
          <w:tcPr>
            <w:tcW w:w="2520" w:type="dxa"/>
            <w:vAlign w:val="center"/>
          </w:tcPr>
          <w:p w14:paraId="10DE1C19" w14:textId="77777777" w:rsidR="00742DFA" w:rsidRDefault="00000000">
            <w:r>
              <w:rPr>
                <w:sz w:val="16"/>
              </w:rPr>
              <w:t>E3</w:t>
            </w:r>
          </w:p>
        </w:tc>
        <w:tc>
          <w:tcPr>
            <w:tcW w:w="2520" w:type="dxa"/>
            <w:vAlign w:val="center"/>
          </w:tcPr>
          <w:p w14:paraId="33E8B20A" w14:textId="77777777" w:rsidR="00742DFA" w:rsidRDefault="00000000">
            <w:r>
              <w:rPr>
                <w:sz w:val="16"/>
              </w:rPr>
              <w:t>Consortium size</w:t>
            </w:r>
          </w:p>
        </w:tc>
        <w:tc>
          <w:tcPr>
            <w:tcW w:w="2520" w:type="dxa"/>
            <w:vAlign w:val="center"/>
          </w:tcPr>
          <w:p w14:paraId="01030400" w14:textId="77777777" w:rsidR="00742DFA" w:rsidRDefault="00000000">
            <w:r>
              <w:rPr>
                <w:sz w:val="16"/>
              </w:rPr>
              <w:t>Merge 2, 3, and 4 experts; compare one alignment anchor versus all-experts-aligned.</w:t>
            </w:r>
          </w:p>
        </w:tc>
        <w:tc>
          <w:tcPr>
            <w:tcW w:w="2520" w:type="dxa"/>
            <w:vAlign w:val="center"/>
          </w:tcPr>
          <w:p w14:paraId="6BBD29B9" w14:textId="77777777" w:rsidR="00742DFA" w:rsidRDefault="00000000">
            <w:r>
              <w:rPr>
                <w:sz w:val="16"/>
              </w:rPr>
              <w:t>Figure 3</w:t>
            </w:r>
          </w:p>
        </w:tc>
      </w:tr>
      <w:tr w:rsidR="00742DFA" w14:paraId="04F1169F" w14:textId="77777777">
        <w:trPr>
          <w:jc w:val="center"/>
        </w:trPr>
        <w:tc>
          <w:tcPr>
            <w:tcW w:w="2520" w:type="dxa"/>
            <w:vAlign w:val="center"/>
          </w:tcPr>
          <w:p w14:paraId="55C411EC" w14:textId="77777777" w:rsidR="00742DFA" w:rsidRDefault="00000000">
            <w:r>
              <w:rPr>
                <w:sz w:val="16"/>
              </w:rPr>
              <w:t>E4</w:t>
            </w:r>
          </w:p>
        </w:tc>
        <w:tc>
          <w:tcPr>
            <w:tcW w:w="2520" w:type="dxa"/>
            <w:vAlign w:val="center"/>
          </w:tcPr>
          <w:p w14:paraId="5DF06326" w14:textId="77777777" w:rsidR="00742DFA" w:rsidRDefault="00000000">
            <w:r>
              <w:rPr>
                <w:sz w:val="16"/>
              </w:rPr>
              <w:t>Order-of-operations</w:t>
            </w:r>
          </w:p>
        </w:tc>
        <w:tc>
          <w:tcPr>
            <w:tcW w:w="2520" w:type="dxa"/>
            <w:vAlign w:val="center"/>
          </w:tcPr>
          <w:p w14:paraId="6A188F87" w14:textId="77777777" w:rsidR="00742DFA" w:rsidRDefault="00000000">
            <w:r>
              <w:rPr>
                <w:sz w:val="16"/>
              </w:rPr>
              <w:t>Equal-budget comparison of DPO→merge vs merge→DPO using the same preference examples and training tokens.</w:t>
            </w:r>
          </w:p>
        </w:tc>
        <w:tc>
          <w:tcPr>
            <w:tcW w:w="2520" w:type="dxa"/>
            <w:vAlign w:val="center"/>
          </w:tcPr>
          <w:p w14:paraId="4B472F5E" w14:textId="77777777" w:rsidR="00742DFA" w:rsidRDefault="00000000">
            <w:r>
              <w:rPr>
                <w:sz w:val="16"/>
              </w:rPr>
              <w:t>Table 2</w:t>
            </w:r>
          </w:p>
        </w:tc>
      </w:tr>
      <w:tr w:rsidR="00742DFA" w14:paraId="4C4BFECA" w14:textId="77777777">
        <w:trPr>
          <w:jc w:val="center"/>
        </w:trPr>
        <w:tc>
          <w:tcPr>
            <w:tcW w:w="2520" w:type="dxa"/>
            <w:vAlign w:val="center"/>
          </w:tcPr>
          <w:p w14:paraId="2FFD93B3" w14:textId="77777777" w:rsidR="00742DFA" w:rsidRDefault="00000000">
            <w:r>
              <w:rPr>
                <w:sz w:val="16"/>
              </w:rPr>
              <w:t>E5</w:t>
            </w:r>
          </w:p>
        </w:tc>
        <w:tc>
          <w:tcPr>
            <w:tcW w:w="2520" w:type="dxa"/>
            <w:vAlign w:val="center"/>
          </w:tcPr>
          <w:p w14:paraId="2E180DE0" w14:textId="77777777" w:rsidR="00742DFA" w:rsidRDefault="00000000">
            <w:r>
              <w:rPr>
                <w:sz w:val="16"/>
              </w:rPr>
              <w:t>Repair budget</w:t>
            </w:r>
          </w:p>
        </w:tc>
        <w:tc>
          <w:tcPr>
            <w:tcW w:w="2520" w:type="dxa"/>
            <w:vAlign w:val="center"/>
          </w:tcPr>
          <w:p w14:paraId="6BD907AA" w14:textId="77777777" w:rsidR="00742DFA" w:rsidRDefault="00000000">
            <w:r>
              <w:rPr>
                <w:sz w:val="16"/>
              </w:rPr>
              <w:t>After an alignment-degrading merge, run DPO with 125/500/2k examples; measure recovery to parent PRR.</w:t>
            </w:r>
          </w:p>
        </w:tc>
        <w:tc>
          <w:tcPr>
            <w:tcW w:w="2520" w:type="dxa"/>
            <w:vAlign w:val="center"/>
          </w:tcPr>
          <w:p w14:paraId="0007F4EE" w14:textId="77777777" w:rsidR="00742DFA" w:rsidRDefault="00000000">
            <w:r>
              <w:rPr>
                <w:sz w:val="16"/>
              </w:rPr>
              <w:t>Figure 4: recovery curve</w:t>
            </w:r>
          </w:p>
        </w:tc>
      </w:tr>
      <w:tr w:rsidR="00742DFA" w14:paraId="09C00B07" w14:textId="77777777">
        <w:trPr>
          <w:jc w:val="center"/>
        </w:trPr>
        <w:tc>
          <w:tcPr>
            <w:tcW w:w="2520" w:type="dxa"/>
            <w:vAlign w:val="center"/>
          </w:tcPr>
          <w:p w14:paraId="1A7A6B4C" w14:textId="77777777" w:rsidR="00742DFA" w:rsidRDefault="00000000">
            <w:r>
              <w:rPr>
                <w:sz w:val="16"/>
              </w:rPr>
              <w:t>E6</w:t>
            </w:r>
          </w:p>
        </w:tc>
        <w:tc>
          <w:tcPr>
            <w:tcW w:w="2520" w:type="dxa"/>
            <w:vAlign w:val="center"/>
          </w:tcPr>
          <w:p w14:paraId="6572F08A" w14:textId="77777777" w:rsidR="00742DFA" w:rsidRDefault="00000000">
            <w:r>
              <w:rPr>
                <w:sz w:val="16"/>
              </w:rPr>
              <w:t>Preference data size</w:t>
            </w:r>
          </w:p>
        </w:tc>
        <w:tc>
          <w:tcPr>
            <w:tcW w:w="2520" w:type="dxa"/>
            <w:vAlign w:val="center"/>
          </w:tcPr>
          <w:p w14:paraId="0582C53D" w14:textId="77777777" w:rsidR="00742DFA" w:rsidRDefault="00000000">
            <w:r>
              <w:rPr>
                <w:sz w:val="16"/>
              </w:rPr>
              <w:t>Repeat core workflow at 500/2k/8k pairs.</w:t>
            </w:r>
          </w:p>
        </w:tc>
        <w:tc>
          <w:tcPr>
            <w:tcW w:w="2520" w:type="dxa"/>
            <w:vAlign w:val="center"/>
          </w:tcPr>
          <w:p w14:paraId="04D5663E" w14:textId="77777777" w:rsidR="00742DFA" w:rsidRDefault="00000000">
            <w:r>
              <w:rPr>
                <w:sz w:val="16"/>
              </w:rPr>
              <w:t>Table/Figure 5</w:t>
            </w:r>
          </w:p>
        </w:tc>
      </w:tr>
      <w:tr w:rsidR="00742DFA" w14:paraId="67C5AB38" w14:textId="77777777">
        <w:trPr>
          <w:jc w:val="center"/>
        </w:trPr>
        <w:tc>
          <w:tcPr>
            <w:tcW w:w="2520" w:type="dxa"/>
            <w:vAlign w:val="center"/>
          </w:tcPr>
          <w:p w14:paraId="2773CF5B" w14:textId="77777777" w:rsidR="00742DFA" w:rsidRDefault="00000000">
            <w:r>
              <w:rPr>
                <w:sz w:val="16"/>
              </w:rPr>
              <w:t>E7</w:t>
            </w:r>
          </w:p>
        </w:tc>
        <w:tc>
          <w:tcPr>
            <w:tcW w:w="2520" w:type="dxa"/>
            <w:vAlign w:val="center"/>
          </w:tcPr>
          <w:p w14:paraId="20E6984C" w14:textId="77777777" w:rsidR="00742DFA" w:rsidRDefault="00000000">
            <w:r>
              <w:rPr>
                <w:sz w:val="16"/>
              </w:rPr>
              <w:t>Merge algorithm ablation</w:t>
            </w:r>
          </w:p>
        </w:tc>
        <w:tc>
          <w:tcPr>
            <w:tcW w:w="2520" w:type="dxa"/>
            <w:vAlign w:val="center"/>
          </w:tcPr>
          <w:p w14:paraId="496D64F7" w14:textId="77777777" w:rsidR="00742DFA" w:rsidRDefault="00000000">
            <w:r>
              <w:rPr>
                <w:sz w:val="16"/>
              </w:rPr>
              <w:t>Linear vs task arithmetic vs TIES vs DARE-TIES; matched coefficients.</w:t>
            </w:r>
          </w:p>
        </w:tc>
        <w:tc>
          <w:tcPr>
            <w:tcW w:w="2520" w:type="dxa"/>
            <w:vAlign w:val="center"/>
          </w:tcPr>
          <w:p w14:paraId="04C72AE8" w14:textId="77777777" w:rsidR="00742DFA" w:rsidRDefault="00000000">
            <w:r>
              <w:rPr>
                <w:sz w:val="16"/>
              </w:rPr>
              <w:t>Table 3</w:t>
            </w:r>
          </w:p>
        </w:tc>
      </w:tr>
      <w:tr w:rsidR="00742DFA" w14:paraId="4A30B1C2" w14:textId="77777777">
        <w:trPr>
          <w:jc w:val="center"/>
        </w:trPr>
        <w:tc>
          <w:tcPr>
            <w:tcW w:w="2520" w:type="dxa"/>
            <w:vAlign w:val="center"/>
          </w:tcPr>
          <w:p w14:paraId="2546723D" w14:textId="77777777" w:rsidR="00742DFA" w:rsidRDefault="00000000">
            <w:r>
              <w:rPr>
                <w:sz w:val="16"/>
              </w:rPr>
              <w:t>E8</w:t>
            </w:r>
          </w:p>
        </w:tc>
        <w:tc>
          <w:tcPr>
            <w:tcW w:w="2520" w:type="dxa"/>
            <w:vAlign w:val="center"/>
          </w:tcPr>
          <w:p w14:paraId="1A996168" w14:textId="77777777" w:rsidR="00742DFA" w:rsidRDefault="00000000">
            <w:r>
              <w:rPr>
                <w:sz w:val="16"/>
              </w:rPr>
              <w:t>Conflict predictor</w:t>
            </w:r>
          </w:p>
        </w:tc>
        <w:tc>
          <w:tcPr>
            <w:tcW w:w="2520" w:type="dxa"/>
            <w:vAlign w:val="center"/>
          </w:tcPr>
          <w:p w14:paraId="093AA50E" w14:textId="77777777" w:rsidR="00742DFA" w:rsidRDefault="00000000">
            <w:r>
              <w:rPr>
                <w:sz w:val="16"/>
              </w:rPr>
              <w:t>Correlate delta conflict metrics with PRR across all merges; simple regression or rank correlation.</w:t>
            </w:r>
          </w:p>
        </w:tc>
        <w:tc>
          <w:tcPr>
            <w:tcW w:w="2520" w:type="dxa"/>
            <w:vAlign w:val="center"/>
          </w:tcPr>
          <w:p w14:paraId="29DACE7F" w14:textId="77777777" w:rsidR="00742DFA" w:rsidRDefault="00000000">
            <w:r>
              <w:rPr>
                <w:sz w:val="16"/>
              </w:rPr>
              <w:t>Figure 6</w:t>
            </w:r>
          </w:p>
        </w:tc>
      </w:tr>
      <w:tr w:rsidR="00742DFA" w14:paraId="60590E16" w14:textId="77777777">
        <w:trPr>
          <w:jc w:val="center"/>
        </w:trPr>
        <w:tc>
          <w:tcPr>
            <w:tcW w:w="2520" w:type="dxa"/>
            <w:vAlign w:val="center"/>
          </w:tcPr>
          <w:p w14:paraId="49202E3A" w14:textId="77777777" w:rsidR="00742DFA" w:rsidRDefault="00000000">
            <w:r>
              <w:rPr>
                <w:sz w:val="16"/>
              </w:rPr>
              <w:t>E9</w:t>
            </w:r>
          </w:p>
        </w:tc>
        <w:tc>
          <w:tcPr>
            <w:tcW w:w="2520" w:type="dxa"/>
            <w:vAlign w:val="center"/>
          </w:tcPr>
          <w:p w14:paraId="729A3D3C" w14:textId="77777777" w:rsidR="00742DFA" w:rsidRDefault="00000000">
            <w:r>
              <w:rPr>
                <w:sz w:val="16"/>
              </w:rPr>
              <w:t>GRPO replication</w:t>
            </w:r>
          </w:p>
        </w:tc>
        <w:tc>
          <w:tcPr>
            <w:tcW w:w="2520" w:type="dxa"/>
            <w:vAlign w:val="center"/>
          </w:tcPr>
          <w:p w14:paraId="222C22A8" w14:textId="77777777" w:rsidR="00742DFA" w:rsidRDefault="00000000">
            <w:r>
              <w:rPr>
                <w:sz w:val="16"/>
              </w:rPr>
              <w:t>Repeat the central pre/post-merge result and one repair-budget experiment using GRPO.</w:t>
            </w:r>
          </w:p>
        </w:tc>
        <w:tc>
          <w:tcPr>
            <w:tcW w:w="2520" w:type="dxa"/>
            <w:vAlign w:val="center"/>
          </w:tcPr>
          <w:p w14:paraId="123A4440" w14:textId="77777777" w:rsidR="00742DFA" w:rsidRDefault="00000000">
            <w:r>
              <w:rPr>
                <w:sz w:val="16"/>
              </w:rPr>
              <w:t>Table 4</w:t>
            </w:r>
          </w:p>
        </w:tc>
      </w:tr>
      <w:tr w:rsidR="00742DFA" w14:paraId="411FF305" w14:textId="77777777">
        <w:trPr>
          <w:jc w:val="center"/>
        </w:trPr>
        <w:tc>
          <w:tcPr>
            <w:tcW w:w="2520" w:type="dxa"/>
            <w:vAlign w:val="center"/>
          </w:tcPr>
          <w:p w14:paraId="537E3CBB" w14:textId="77777777" w:rsidR="00742DFA" w:rsidRDefault="00000000">
            <w:r>
              <w:rPr>
                <w:sz w:val="16"/>
              </w:rPr>
              <w:t>E10</w:t>
            </w:r>
          </w:p>
        </w:tc>
        <w:tc>
          <w:tcPr>
            <w:tcW w:w="2520" w:type="dxa"/>
            <w:vAlign w:val="center"/>
          </w:tcPr>
          <w:p w14:paraId="2CECAA80" w14:textId="77777777" w:rsidR="00742DFA" w:rsidRDefault="00000000">
            <w:r>
              <w:rPr>
                <w:sz w:val="16"/>
              </w:rPr>
              <w:t>Scale replication</w:t>
            </w:r>
          </w:p>
        </w:tc>
        <w:tc>
          <w:tcPr>
            <w:tcW w:w="2520" w:type="dxa"/>
            <w:vAlign w:val="center"/>
          </w:tcPr>
          <w:p w14:paraId="0E55BECE" w14:textId="77777777" w:rsidR="00742DFA" w:rsidRDefault="00000000">
            <w:r>
              <w:rPr>
                <w:sz w:val="16"/>
              </w:rPr>
              <w:t>Repeat E2, E4, and E5 on the 1.5B–1.7B model.</w:t>
            </w:r>
          </w:p>
        </w:tc>
        <w:tc>
          <w:tcPr>
            <w:tcW w:w="2520" w:type="dxa"/>
            <w:vAlign w:val="center"/>
          </w:tcPr>
          <w:p w14:paraId="0A859132" w14:textId="77777777" w:rsidR="00742DFA" w:rsidRDefault="00000000">
            <w:r>
              <w:rPr>
                <w:sz w:val="16"/>
              </w:rPr>
              <w:t>Table 5 / appendix</w:t>
            </w:r>
          </w:p>
        </w:tc>
      </w:tr>
      <w:tr w:rsidR="00742DFA" w14:paraId="76EC31CF" w14:textId="77777777">
        <w:trPr>
          <w:jc w:val="center"/>
        </w:trPr>
        <w:tc>
          <w:tcPr>
            <w:tcW w:w="2520" w:type="dxa"/>
            <w:vAlign w:val="center"/>
          </w:tcPr>
          <w:p w14:paraId="01BAE814" w14:textId="77777777" w:rsidR="00742DFA" w:rsidRDefault="00000000">
            <w:r>
              <w:rPr>
                <w:sz w:val="16"/>
              </w:rPr>
              <w:t>E11</w:t>
            </w:r>
          </w:p>
        </w:tc>
        <w:tc>
          <w:tcPr>
            <w:tcW w:w="2520" w:type="dxa"/>
            <w:vAlign w:val="center"/>
          </w:tcPr>
          <w:p w14:paraId="7A65F1E6" w14:textId="77777777" w:rsidR="00742DFA" w:rsidRDefault="00000000">
            <w:r>
              <w:rPr>
                <w:sz w:val="16"/>
              </w:rPr>
              <w:t>Seed robustness</w:t>
            </w:r>
          </w:p>
        </w:tc>
        <w:tc>
          <w:tcPr>
            <w:tcW w:w="2520" w:type="dxa"/>
            <w:vAlign w:val="center"/>
          </w:tcPr>
          <w:p w14:paraId="33FDEBF6" w14:textId="77777777" w:rsidR="00742DFA" w:rsidRDefault="00000000">
            <w:r>
              <w:rPr>
                <w:sz w:val="16"/>
              </w:rPr>
              <w:t>Three seeds for primary 0.5B conditions; confidence intervals and paired tests.</w:t>
            </w:r>
          </w:p>
        </w:tc>
        <w:tc>
          <w:tcPr>
            <w:tcW w:w="2520" w:type="dxa"/>
            <w:vAlign w:val="center"/>
          </w:tcPr>
          <w:p w14:paraId="2F51F9E2" w14:textId="77777777" w:rsidR="00742DFA" w:rsidRDefault="00000000">
            <w:r>
              <w:rPr>
                <w:sz w:val="16"/>
              </w:rPr>
              <w:t>Error bars</w:t>
            </w:r>
          </w:p>
        </w:tc>
      </w:tr>
      <w:tr w:rsidR="00742DFA" w14:paraId="0913D93E" w14:textId="77777777">
        <w:trPr>
          <w:jc w:val="center"/>
        </w:trPr>
        <w:tc>
          <w:tcPr>
            <w:tcW w:w="2520" w:type="dxa"/>
            <w:vAlign w:val="center"/>
          </w:tcPr>
          <w:p w14:paraId="5E3FC2D1" w14:textId="77777777" w:rsidR="00742DFA" w:rsidRDefault="00000000">
            <w:r>
              <w:rPr>
                <w:sz w:val="16"/>
              </w:rPr>
              <w:t>E12</w:t>
            </w:r>
          </w:p>
        </w:tc>
        <w:tc>
          <w:tcPr>
            <w:tcW w:w="2520" w:type="dxa"/>
            <w:vAlign w:val="center"/>
          </w:tcPr>
          <w:p w14:paraId="4F21A610" w14:textId="77777777" w:rsidR="00742DFA" w:rsidRDefault="00000000">
            <w:r>
              <w:rPr>
                <w:sz w:val="16"/>
              </w:rPr>
              <w:t>Evaluator robustness</w:t>
            </w:r>
          </w:p>
        </w:tc>
        <w:tc>
          <w:tcPr>
            <w:tcW w:w="2520" w:type="dxa"/>
            <w:vAlign w:val="center"/>
          </w:tcPr>
          <w:p w14:paraId="58ECA15B" w14:textId="77777777" w:rsidR="00742DFA" w:rsidRDefault="00000000">
            <w:r>
              <w:rPr>
                <w:sz w:val="16"/>
              </w:rPr>
              <w:t>Compare held-out preference margin, reward model, and independent judge on a subset.</w:t>
            </w:r>
          </w:p>
        </w:tc>
        <w:tc>
          <w:tcPr>
            <w:tcW w:w="2520" w:type="dxa"/>
            <w:vAlign w:val="center"/>
          </w:tcPr>
          <w:p w14:paraId="08F70F55" w14:textId="77777777" w:rsidR="00742DFA" w:rsidRDefault="00000000">
            <w:r>
              <w:rPr>
                <w:sz w:val="16"/>
              </w:rPr>
              <w:t>Appendix</w:t>
            </w:r>
          </w:p>
        </w:tc>
      </w:tr>
    </w:tbl>
    <w:tbl>
      <w:tblPr>
        <w:tblW w:w="0" w:type="auto"/>
        <w:jc w:val="center"/>
        <w:tblLook w:val="04A0" w:firstRow="1" w:lastRow="0" w:firstColumn="1" w:lastColumn="0" w:noHBand="0" w:noVBand="1"/>
      </w:tblPr>
      <w:tblGrid>
        <w:gridCol w:w="10080"/>
      </w:tblGrid>
      <w:tr w:rsidR="00742DFA" w14:paraId="660F6715" w14:textId="77777777">
        <w:trPr>
          <w:tblHeader/>
          <w:jc w:val="center"/>
        </w:trPr>
        <w:tc>
          <w:tcPr>
            <w:tcW w:w="10080" w:type="dxa"/>
            <w:shd w:val="clear" w:color="auto" w:fill="EEF7ED"/>
          </w:tcPr>
          <w:p w14:paraId="5981DD30" w14:textId="77777777" w:rsidR="00742DFA" w:rsidRDefault="00000000">
            <w:pPr>
              <w:spacing w:after="60"/>
            </w:pPr>
            <w:r>
              <w:rPr>
                <w:b/>
              </w:rPr>
              <w:lastRenderedPageBreak/>
              <w:t>Minimum viable paper</w:t>
            </w:r>
            <w:r>
              <w:rPr>
                <w:b/>
              </w:rPr>
              <w:br/>
            </w:r>
            <w:r>
              <w:rPr>
                <w:sz w:val="20"/>
              </w:rPr>
              <w:t>If compute is tight, E1–E8 + E11 on one 0.5B model can already tell a coherent story. Add E9 (GRPO) and E10 (larger model) as strengthening experiments rather than letting them block the core result.</w:t>
            </w:r>
          </w:p>
        </w:tc>
      </w:tr>
    </w:tbl>
    <w:p w14:paraId="77F27900" w14:textId="77777777" w:rsidR="00742DFA" w:rsidRDefault="00742DFA">
      <w:pPr>
        <w:spacing w:after="80" w:line="252" w:lineRule="auto"/>
      </w:pPr>
    </w:p>
    <w:p w14:paraId="2C18F62E" w14:textId="77777777" w:rsidR="00742DFA" w:rsidRDefault="00000000">
      <w:pPr>
        <w:pStyle w:val="Heading1"/>
        <w:spacing w:after="80" w:line="252" w:lineRule="auto"/>
      </w:pPr>
      <w:r>
        <w:t>7. Ablations reviewers are likely to ask for</w:t>
      </w:r>
    </w:p>
    <w:p w14:paraId="54A8FBE1" w14:textId="77777777" w:rsidR="00742DFA" w:rsidRDefault="00000000">
      <w:pPr>
        <w:pStyle w:val="ListBullet"/>
        <w:spacing w:after="40" w:line="252" w:lineRule="auto"/>
      </w:pPr>
      <w:r>
        <w:t>Same data, same compute: control total DPO examples/tokens between pre-merge and post-merge workflows.</w:t>
      </w:r>
    </w:p>
    <w:p w14:paraId="71D3D747" w14:textId="77777777" w:rsidR="00742DFA" w:rsidRDefault="00000000">
      <w:pPr>
        <w:pStyle w:val="ListBullet"/>
        <w:spacing w:after="40" w:line="252" w:lineRule="auto"/>
      </w:pPr>
      <w:r>
        <w:t>Same starting checkpoint: no cross-family merges in the main experiment.</w:t>
      </w:r>
    </w:p>
    <w:p w14:paraId="66F6B840" w14:textId="77777777" w:rsidR="00742DFA" w:rsidRDefault="00000000">
      <w:pPr>
        <w:pStyle w:val="ListBullet"/>
        <w:spacing w:after="40" w:line="252" w:lineRule="auto"/>
      </w:pPr>
      <w:r>
        <w:t>LoRA rank sensitivity: at least r=16 versus r=64 for a small subset, or justify one rank with update-norm matching.</w:t>
      </w:r>
    </w:p>
    <w:p w14:paraId="22075A06" w14:textId="77777777" w:rsidR="00742DFA" w:rsidRDefault="00000000">
      <w:pPr>
        <w:pStyle w:val="ListBullet"/>
        <w:spacing w:after="40" w:line="252" w:lineRule="auto"/>
      </w:pPr>
      <w:r>
        <w:t>Merge-weight sweep rather than one handpicked coefficient.</w:t>
      </w:r>
    </w:p>
    <w:p w14:paraId="0F156BCE" w14:textId="77777777" w:rsidR="00742DFA" w:rsidRDefault="00000000">
      <w:pPr>
        <w:pStyle w:val="ListBullet"/>
        <w:spacing w:after="40" w:line="252" w:lineRule="auto"/>
      </w:pPr>
      <w:r>
        <w:t>One preference dataset shift: train on one source and evaluate on another small preference set to test whether retention is merely memorization.</w:t>
      </w:r>
    </w:p>
    <w:p w14:paraId="43D56639" w14:textId="77777777" w:rsidR="00742DFA" w:rsidRDefault="00000000">
      <w:pPr>
        <w:pStyle w:val="ListBullet"/>
        <w:spacing w:after="40" w:line="252" w:lineRule="auto"/>
      </w:pPr>
      <w:r>
        <w:t>Number-of-experts ablation: two versus three versus four experts.</w:t>
      </w:r>
    </w:p>
    <w:p w14:paraId="6CBF6EDF" w14:textId="77777777" w:rsidR="00742DFA" w:rsidRDefault="00000000">
      <w:pPr>
        <w:pStyle w:val="ListBullet"/>
        <w:spacing w:after="40" w:line="252" w:lineRule="auto"/>
      </w:pPr>
      <w:r>
        <w:t>Alignment-anchor ablation: only one aligned expert versus all aligned experts before merge.</w:t>
      </w:r>
    </w:p>
    <w:p w14:paraId="070D5CDF" w14:textId="77777777" w:rsidR="00742DFA" w:rsidRDefault="00000000">
      <w:pPr>
        <w:pStyle w:val="ListBullet"/>
        <w:spacing w:after="40" w:line="252" w:lineRule="auto"/>
      </w:pPr>
      <w:r>
        <w:t>Reference-model choice for DPO: fixed original instruct base versus immediate pre-DPO checkpoint, documented consistently.</w:t>
      </w:r>
    </w:p>
    <w:p w14:paraId="26B0943B" w14:textId="77777777" w:rsidR="00742DFA" w:rsidRDefault="00000000">
      <w:pPr>
        <w:pStyle w:val="ListBullet"/>
        <w:spacing w:after="40" w:line="252" w:lineRule="auto"/>
      </w:pPr>
      <w:r>
        <w:t>GRPO reward-source ablation if GRPO is a main claim: compact reward model versus deterministic/verifiable reward where feasible.</w:t>
      </w:r>
    </w:p>
    <w:p w14:paraId="5F335E45" w14:textId="77777777" w:rsidR="00742DFA" w:rsidRDefault="00000000">
      <w:pPr>
        <w:pStyle w:val="Heading1"/>
        <w:spacing w:after="80" w:line="252" w:lineRule="auto"/>
      </w:pPr>
      <w:r>
        <w:t>8. Statistical analysis</w:t>
      </w:r>
    </w:p>
    <w:p w14:paraId="50B457CE" w14:textId="77777777" w:rsidR="00742DFA" w:rsidRDefault="00000000">
      <w:pPr>
        <w:pStyle w:val="ListBullet"/>
        <w:spacing w:after="40" w:line="252" w:lineRule="auto"/>
      </w:pPr>
      <w:r>
        <w:t>Report mean ± 95% bootstrap CI for win rates and PRR. Use prompt-level paired bootstrap whenever the same prompts are scored across models.</w:t>
      </w:r>
    </w:p>
    <w:p w14:paraId="31995267" w14:textId="77777777" w:rsidR="00742DFA" w:rsidRDefault="00000000">
      <w:pPr>
        <w:pStyle w:val="ListBullet"/>
        <w:spacing w:after="40" w:line="252" w:lineRule="auto"/>
      </w:pPr>
      <w:r>
        <w:t>For benchmark accuracy, report exact or bootstrap confidence intervals and paired tests where outputs share items.</w:t>
      </w:r>
    </w:p>
    <w:p w14:paraId="61FB07B7" w14:textId="77777777" w:rsidR="00742DFA" w:rsidRDefault="00000000">
      <w:pPr>
        <w:pStyle w:val="ListBullet"/>
        <w:spacing w:after="40" w:line="252" w:lineRule="auto"/>
      </w:pPr>
      <w:r>
        <w:t>For conflict-to-retention analysis, report Spearman ρ with confidence interval; optionally fit a simple linear/ridge model with merge method and α as covariates.</w:t>
      </w:r>
    </w:p>
    <w:p w14:paraId="7663F090" w14:textId="77777777" w:rsidR="00742DFA" w:rsidRDefault="00000000">
      <w:pPr>
        <w:pStyle w:val="ListBullet"/>
        <w:spacing w:after="40" w:line="252" w:lineRule="auto"/>
      </w:pPr>
      <w:r>
        <w:t>Predefine the main comparison: W2 (align→merge) versus W3 (merge→align) at 2k preference examples and the same domain experts.</w:t>
      </w:r>
    </w:p>
    <w:p w14:paraId="7310B287" w14:textId="77777777" w:rsidR="00742DFA" w:rsidRDefault="00000000">
      <w:pPr>
        <w:pStyle w:val="ListBullet"/>
        <w:spacing w:after="40" w:line="252" w:lineRule="auto"/>
      </w:pPr>
      <w:r>
        <w:t>Do not claim universal superiority from one dataset. Phrase the result as a controlled empirical characterization over the tested model families, tasks, and merge methods.</w:t>
      </w:r>
    </w:p>
    <w:p w14:paraId="629DECBC" w14:textId="77777777" w:rsidR="00742DFA" w:rsidRDefault="00000000">
      <w:pPr>
        <w:pStyle w:val="Heading1"/>
        <w:spacing w:after="80" w:line="252" w:lineRule="auto"/>
      </w:pPr>
      <w:r>
        <w:t>9. What outcomes would make a strong paper?</w:t>
      </w:r>
    </w:p>
    <w:p w14:paraId="5F8FE6B3" w14:textId="77777777" w:rsidR="00742DFA" w:rsidRDefault="00000000">
      <w:pPr>
        <w:spacing w:after="80" w:line="252" w:lineRule="auto"/>
      </w:pPr>
      <w:r>
        <w:t>The paper remains interesting under several possible outcomes:</w:t>
      </w:r>
    </w:p>
    <w:p w14:paraId="2E924B47" w14:textId="77777777" w:rsidR="00742DFA" w:rsidRDefault="00000000">
      <w:pPr>
        <w:pStyle w:val="ListBullet"/>
        <w:spacing w:after="40" w:line="252" w:lineRule="auto"/>
      </w:pPr>
      <w:r>
        <w:t>If alignment mostly survives: show the boundary conditions, identify safe merge regimes, and demonstrate that re-DPO is often unnecessary.</w:t>
      </w:r>
    </w:p>
    <w:p w14:paraId="3D5EAC00" w14:textId="77777777" w:rsidR="00742DFA" w:rsidRDefault="00000000">
      <w:pPr>
        <w:pStyle w:val="ListBullet"/>
        <w:spacing w:after="40" w:line="252" w:lineRule="auto"/>
      </w:pPr>
      <w:r>
        <w:t>If alignment often collapses: quantify the collapse curve and show that parameter conflict predicts it.</w:t>
      </w:r>
    </w:p>
    <w:p w14:paraId="73F9413B" w14:textId="77777777" w:rsidR="00742DFA" w:rsidRDefault="00000000">
      <w:pPr>
        <w:pStyle w:val="ListBullet"/>
        <w:spacing w:after="40" w:line="252" w:lineRule="auto"/>
      </w:pPr>
      <w:r>
        <w:t>If merge→DPO consistently wins: the contribution becomes the controlled sample-efficiency result and the minimal post-merge repair recipe.</w:t>
      </w:r>
    </w:p>
    <w:p w14:paraId="3C486E58" w14:textId="77777777" w:rsidR="00742DFA" w:rsidRDefault="00000000">
      <w:pPr>
        <w:pStyle w:val="ListBullet"/>
        <w:spacing w:after="40" w:line="252" w:lineRule="auto"/>
      </w:pPr>
      <w:r>
        <w:t>If DPO and GRPO differ sharply: the mechanism-specific retention result becomes a central contribution.</w:t>
      </w:r>
    </w:p>
    <w:p w14:paraId="41BDEDD3" w14:textId="77777777" w:rsidR="00742DFA" w:rsidRDefault="00000000">
      <w:pPr>
        <w:pStyle w:val="ListBullet"/>
        <w:spacing w:after="40" w:line="252" w:lineRule="auto"/>
      </w:pPr>
      <w:r>
        <w:t>If TIES/DARE-TIES preserve alignment substantially better: frame the result around alignment-aware merge selection and diagnostics.</w:t>
      </w:r>
    </w:p>
    <w:p w14:paraId="2E5998E9" w14:textId="77777777" w:rsidR="00742DFA" w:rsidRDefault="00000000">
      <w:pPr>
        <w:pStyle w:val="Heading1"/>
        <w:spacing w:after="80" w:line="252" w:lineRule="auto"/>
      </w:pPr>
      <w:r>
        <w:lastRenderedPageBreak/>
        <w:t>10. Figures and tables to plan before running experiments</w:t>
      </w:r>
    </w:p>
    <w:tbl>
      <w:tblPr>
        <w:tblStyle w:val="TableGrid"/>
        <w:tblW w:w="0" w:type="auto"/>
        <w:jc w:val="center"/>
        <w:tblLook w:val="04A0" w:firstRow="1" w:lastRow="0" w:firstColumn="1" w:lastColumn="0" w:noHBand="0" w:noVBand="1"/>
      </w:tblPr>
      <w:tblGrid>
        <w:gridCol w:w="3360"/>
        <w:gridCol w:w="3360"/>
        <w:gridCol w:w="3360"/>
      </w:tblGrid>
      <w:tr w:rsidR="00742DFA" w14:paraId="4FF11219" w14:textId="77777777">
        <w:trPr>
          <w:tblHeader/>
          <w:jc w:val="center"/>
        </w:trPr>
        <w:tc>
          <w:tcPr>
            <w:tcW w:w="3360" w:type="dxa"/>
            <w:shd w:val="clear" w:color="auto" w:fill="DCE6F1"/>
            <w:vAlign w:val="center"/>
          </w:tcPr>
          <w:p w14:paraId="3E4BF3A4" w14:textId="77777777" w:rsidR="00742DFA" w:rsidRDefault="00000000">
            <w:r>
              <w:rPr>
                <w:b/>
                <w:sz w:val="17"/>
              </w:rPr>
              <w:t>Artifact</w:t>
            </w:r>
          </w:p>
        </w:tc>
        <w:tc>
          <w:tcPr>
            <w:tcW w:w="3360" w:type="dxa"/>
            <w:shd w:val="clear" w:color="auto" w:fill="DCE6F1"/>
            <w:vAlign w:val="center"/>
          </w:tcPr>
          <w:p w14:paraId="02CEC1FC" w14:textId="77777777" w:rsidR="00742DFA" w:rsidRDefault="00000000">
            <w:r>
              <w:rPr>
                <w:b/>
                <w:sz w:val="17"/>
              </w:rPr>
              <w:t>Name</w:t>
            </w:r>
          </w:p>
        </w:tc>
        <w:tc>
          <w:tcPr>
            <w:tcW w:w="3360" w:type="dxa"/>
            <w:shd w:val="clear" w:color="auto" w:fill="DCE6F1"/>
            <w:vAlign w:val="center"/>
          </w:tcPr>
          <w:p w14:paraId="50F48722" w14:textId="77777777" w:rsidR="00742DFA" w:rsidRDefault="00000000">
            <w:r>
              <w:rPr>
                <w:b/>
                <w:sz w:val="17"/>
              </w:rPr>
              <w:t>What it proves</w:t>
            </w:r>
          </w:p>
        </w:tc>
      </w:tr>
      <w:tr w:rsidR="00742DFA" w14:paraId="5E6380C5" w14:textId="77777777">
        <w:trPr>
          <w:jc w:val="center"/>
        </w:trPr>
        <w:tc>
          <w:tcPr>
            <w:tcW w:w="3360" w:type="dxa"/>
            <w:vAlign w:val="center"/>
          </w:tcPr>
          <w:p w14:paraId="6E502564" w14:textId="77777777" w:rsidR="00742DFA" w:rsidRDefault="00000000">
            <w:r>
              <w:rPr>
                <w:sz w:val="16"/>
              </w:rPr>
              <w:t>Fig. 1</w:t>
            </w:r>
          </w:p>
        </w:tc>
        <w:tc>
          <w:tcPr>
            <w:tcW w:w="3360" w:type="dxa"/>
            <w:vAlign w:val="center"/>
          </w:tcPr>
          <w:p w14:paraId="13B76524" w14:textId="77777777" w:rsidR="00742DFA" w:rsidRDefault="00000000">
            <w:r>
              <w:rPr>
                <w:sz w:val="16"/>
              </w:rPr>
              <w:t>Pipeline schematic</w:t>
            </w:r>
          </w:p>
        </w:tc>
        <w:tc>
          <w:tcPr>
            <w:tcW w:w="3360" w:type="dxa"/>
            <w:vAlign w:val="center"/>
          </w:tcPr>
          <w:p w14:paraId="7DAFDAA2" w14:textId="77777777" w:rsidR="00742DFA" w:rsidRDefault="00000000">
            <w:r>
              <w:rPr>
                <w:sz w:val="16"/>
              </w:rPr>
              <w:t>Base → independent experts → preference tuning before/after merge → evaluation. Show the three consortium workflows.</w:t>
            </w:r>
          </w:p>
        </w:tc>
      </w:tr>
      <w:tr w:rsidR="00742DFA" w14:paraId="58B56C22" w14:textId="77777777">
        <w:trPr>
          <w:jc w:val="center"/>
        </w:trPr>
        <w:tc>
          <w:tcPr>
            <w:tcW w:w="3360" w:type="dxa"/>
            <w:vAlign w:val="center"/>
          </w:tcPr>
          <w:p w14:paraId="2A4FF270" w14:textId="77777777" w:rsidR="00742DFA" w:rsidRDefault="00000000">
            <w:r>
              <w:rPr>
                <w:sz w:val="16"/>
              </w:rPr>
              <w:t>Fig. 2</w:t>
            </w:r>
          </w:p>
        </w:tc>
        <w:tc>
          <w:tcPr>
            <w:tcW w:w="3360" w:type="dxa"/>
            <w:vAlign w:val="center"/>
          </w:tcPr>
          <w:p w14:paraId="5814899A" w14:textId="77777777" w:rsidR="00742DFA" w:rsidRDefault="00000000">
            <w:r>
              <w:rPr>
                <w:sz w:val="16"/>
              </w:rPr>
              <w:t>Preference retention curves</w:t>
            </w:r>
          </w:p>
        </w:tc>
        <w:tc>
          <w:tcPr>
            <w:tcW w:w="3360" w:type="dxa"/>
            <w:vAlign w:val="center"/>
          </w:tcPr>
          <w:p w14:paraId="26EFCDC3" w14:textId="77777777" w:rsidR="00742DFA" w:rsidRDefault="00000000">
            <w:r>
              <w:rPr>
                <w:sz w:val="16"/>
              </w:rPr>
              <w:t>PRR versus preference-expert merge weight α, one curve per merge method.</w:t>
            </w:r>
          </w:p>
        </w:tc>
      </w:tr>
      <w:tr w:rsidR="00742DFA" w14:paraId="4DFC2B68" w14:textId="77777777">
        <w:trPr>
          <w:jc w:val="center"/>
        </w:trPr>
        <w:tc>
          <w:tcPr>
            <w:tcW w:w="3360" w:type="dxa"/>
            <w:vAlign w:val="center"/>
          </w:tcPr>
          <w:p w14:paraId="43023A54" w14:textId="77777777" w:rsidR="00742DFA" w:rsidRDefault="00000000">
            <w:r>
              <w:rPr>
                <w:sz w:val="16"/>
              </w:rPr>
              <w:t>Fig. 3</w:t>
            </w:r>
          </w:p>
        </w:tc>
        <w:tc>
          <w:tcPr>
            <w:tcW w:w="3360" w:type="dxa"/>
            <w:vAlign w:val="center"/>
          </w:tcPr>
          <w:p w14:paraId="47848A86" w14:textId="77777777" w:rsidR="00742DFA" w:rsidRDefault="00000000">
            <w:r>
              <w:rPr>
                <w:sz w:val="16"/>
              </w:rPr>
              <w:t>Consortium scaling</w:t>
            </w:r>
          </w:p>
        </w:tc>
        <w:tc>
          <w:tcPr>
            <w:tcW w:w="3360" w:type="dxa"/>
            <w:vAlign w:val="center"/>
          </w:tcPr>
          <w:p w14:paraId="42C300A2" w14:textId="77777777" w:rsidR="00742DFA" w:rsidRDefault="00000000">
            <w:r>
              <w:rPr>
                <w:sz w:val="16"/>
              </w:rPr>
              <w:t>PRR and capability retention versus number of experts N.</w:t>
            </w:r>
          </w:p>
        </w:tc>
      </w:tr>
      <w:tr w:rsidR="00742DFA" w14:paraId="76CA83F7" w14:textId="77777777">
        <w:trPr>
          <w:jc w:val="center"/>
        </w:trPr>
        <w:tc>
          <w:tcPr>
            <w:tcW w:w="3360" w:type="dxa"/>
            <w:vAlign w:val="center"/>
          </w:tcPr>
          <w:p w14:paraId="5E1A057A" w14:textId="77777777" w:rsidR="00742DFA" w:rsidRDefault="00000000">
            <w:r>
              <w:rPr>
                <w:sz w:val="16"/>
              </w:rPr>
              <w:t>Fig. 4</w:t>
            </w:r>
          </w:p>
        </w:tc>
        <w:tc>
          <w:tcPr>
            <w:tcW w:w="3360" w:type="dxa"/>
            <w:vAlign w:val="center"/>
          </w:tcPr>
          <w:p w14:paraId="27510B37" w14:textId="77777777" w:rsidR="00742DFA" w:rsidRDefault="00000000">
            <w:r>
              <w:rPr>
                <w:sz w:val="16"/>
              </w:rPr>
              <w:t>Repair efficiency</w:t>
            </w:r>
          </w:p>
        </w:tc>
        <w:tc>
          <w:tcPr>
            <w:tcW w:w="3360" w:type="dxa"/>
            <w:vAlign w:val="center"/>
          </w:tcPr>
          <w:p w14:paraId="6B27F40D" w14:textId="77777777" w:rsidR="00742DFA" w:rsidRDefault="00000000">
            <w:r>
              <w:rPr>
                <w:sz w:val="16"/>
              </w:rPr>
              <w:t>PRR recovered versus post-merge preference examples (0,125,500,2k,8k).</w:t>
            </w:r>
          </w:p>
        </w:tc>
      </w:tr>
      <w:tr w:rsidR="00742DFA" w14:paraId="0BE472B9" w14:textId="77777777">
        <w:trPr>
          <w:jc w:val="center"/>
        </w:trPr>
        <w:tc>
          <w:tcPr>
            <w:tcW w:w="3360" w:type="dxa"/>
            <w:vAlign w:val="center"/>
          </w:tcPr>
          <w:p w14:paraId="5235947D" w14:textId="77777777" w:rsidR="00742DFA" w:rsidRDefault="00000000">
            <w:r>
              <w:rPr>
                <w:sz w:val="16"/>
              </w:rPr>
              <w:t>Fig. 5</w:t>
            </w:r>
          </w:p>
        </w:tc>
        <w:tc>
          <w:tcPr>
            <w:tcW w:w="3360" w:type="dxa"/>
            <w:vAlign w:val="center"/>
          </w:tcPr>
          <w:p w14:paraId="6C8E5FB1" w14:textId="77777777" w:rsidR="00742DFA" w:rsidRDefault="00000000">
            <w:r>
              <w:rPr>
                <w:sz w:val="16"/>
              </w:rPr>
              <w:t>Preference/capability Pareto</w:t>
            </w:r>
          </w:p>
        </w:tc>
        <w:tc>
          <w:tcPr>
            <w:tcW w:w="3360" w:type="dxa"/>
            <w:vAlign w:val="center"/>
          </w:tcPr>
          <w:p w14:paraId="2CF9F2CD" w14:textId="77777777" w:rsidR="00742DFA" w:rsidRDefault="00000000">
            <w:r>
              <w:rPr>
                <w:sz w:val="16"/>
              </w:rPr>
              <w:t>Scatterplot: preference score vs normalized domain capability for each workflow.</w:t>
            </w:r>
          </w:p>
        </w:tc>
      </w:tr>
      <w:tr w:rsidR="00742DFA" w14:paraId="25764CC8" w14:textId="77777777">
        <w:trPr>
          <w:jc w:val="center"/>
        </w:trPr>
        <w:tc>
          <w:tcPr>
            <w:tcW w:w="3360" w:type="dxa"/>
            <w:vAlign w:val="center"/>
          </w:tcPr>
          <w:p w14:paraId="5611EB49" w14:textId="77777777" w:rsidR="00742DFA" w:rsidRDefault="00000000">
            <w:r>
              <w:rPr>
                <w:sz w:val="16"/>
              </w:rPr>
              <w:t>Fig. 6</w:t>
            </w:r>
          </w:p>
        </w:tc>
        <w:tc>
          <w:tcPr>
            <w:tcW w:w="3360" w:type="dxa"/>
            <w:vAlign w:val="center"/>
          </w:tcPr>
          <w:p w14:paraId="087C45AF" w14:textId="77777777" w:rsidR="00742DFA" w:rsidRDefault="00000000">
            <w:r>
              <w:rPr>
                <w:sz w:val="16"/>
              </w:rPr>
              <w:t>Conflict predicts forgetting</w:t>
            </w:r>
          </w:p>
        </w:tc>
        <w:tc>
          <w:tcPr>
            <w:tcW w:w="3360" w:type="dxa"/>
            <w:vAlign w:val="center"/>
          </w:tcPr>
          <w:p w14:paraId="228A0F36" w14:textId="77777777" w:rsidR="00742DFA" w:rsidRDefault="00000000">
            <w:r>
              <w:rPr>
                <w:sz w:val="16"/>
              </w:rPr>
              <w:t>Sign-conflict/cosine-similarity diagnostic versus PRR, with regression trend.</w:t>
            </w:r>
          </w:p>
        </w:tc>
      </w:tr>
      <w:tr w:rsidR="00742DFA" w14:paraId="6AFD8C9D" w14:textId="77777777">
        <w:trPr>
          <w:jc w:val="center"/>
        </w:trPr>
        <w:tc>
          <w:tcPr>
            <w:tcW w:w="3360" w:type="dxa"/>
            <w:vAlign w:val="center"/>
          </w:tcPr>
          <w:p w14:paraId="466C570B" w14:textId="77777777" w:rsidR="00742DFA" w:rsidRDefault="00000000">
            <w:r>
              <w:rPr>
                <w:sz w:val="16"/>
              </w:rPr>
              <w:t>Table 1</w:t>
            </w:r>
          </w:p>
        </w:tc>
        <w:tc>
          <w:tcPr>
            <w:tcW w:w="3360" w:type="dxa"/>
            <w:vAlign w:val="center"/>
          </w:tcPr>
          <w:p w14:paraId="4554184A" w14:textId="77777777" w:rsidR="00742DFA" w:rsidRDefault="00000000">
            <w:r>
              <w:rPr>
                <w:sz w:val="16"/>
              </w:rPr>
              <w:t>Expert sanity checks</w:t>
            </w:r>
          </w:p>
        </w:tc>
        <w:tc>
          <w:tcPr>
            <w:tcW w:w="3360" w:type="dxa"/>
            <w:vAlign w:val="center"/>
          </w:tcPr>
          <w:p w14:paraId="463499D0" w14:textId="77777777" w:rsidR="00742DFA" w:rsidRDefault="00000000">
            <w:r>
              <w:rPr>
                <w:sz w:val="16"/>
              </w:rPr>
              <w:t>Base and each specialist on preference + task metrics.</w:t>
            </w:r>
          </w:p>
        </w:tc>
      </w:tr>
      <w:tr w:rsidR="00742DFA" w14:paraId="674401E4" w14:textId="77777777">
        <w:trPr>
          <w:jc w:val="center"/>
        </w:trPr>
        <w:tc>
          <w:tcPr>
            <w:tcW w:w="3360" w:type="dxa"/>
            <w:vAlign w:val="center"/>
          </w:tcPr>
          <w:p w14:paraId="1C084AE3" w14:textId="77777777" w:rsidR="00742DFA" w:rsidRDefault="00000000">
            <w:r>
              <w:rPr>
                <w:sz w:val="16"/>
              </w:rPr>
              <w:t>Table 2</w:t>
            </w:r>
          </w:p>
        </w:tc>
        <w:tc>
          <w:tcPr>
            <w:tcW w:w="3360" w:type="dxa"/>
            <w:vAlign w:val="center"/>
          </w:tcPr>
          <w:p w14:paraId="052DB6DE" w14:textId="77777777" w:rsidR="00742DFA" w:rsidRDefault="00000000">
            <w:r>
              <w:rPr>
                <w:sz w:val="16"/>
              </w:rPr>
              <w:t>Main workflow comparison</w:t>
            </w:r>
          </w:p>
        </w:tc>
        <w:tc>
          <w:tcPr>
            <w:tcW w:w="3360" w:type="dxa"/>
            <w:vAlign w:val="center"/>
          </w:tcPr>
          <w:p w14:paraId="45CD124E" w14:textId="77777777" w:rsidR="00742DFA" w:rsidRDefault="00000000">
            <w:r>
              <w:rPr>
                <w:sz w:val="16"/>
              </w:rPr>
              <w:t>Align→merge vs merge→align vs alignment-anchor merge, matched budget.</w:t>
            </w:r>
          </w:p>
        </w:tc>
      </w:tr>
      <w:tr w:rsidR="00742DFA" w14:paraId="55D99C67" w14:textId="77777777">
        <w:trPr>
          <w:jc w:val="center"/>
        </w:trPr>
        <w:tc>
          <w:tcPr>
            <w:tcW w:w="3360" w:type="dxa"/>
            <w:vAlign w:val="center"/>
          </w:tcPr>
          <w:p w14:paraId="37097393" w14:textId="77777777" w:rsidR="00742DFA" w:rsidRDefault="00000000">
            <w:r>
              <w:rPr>
                <w:sz w:val="16"/>
              </w:rPr>
              <w:t>Table 3</w:t>
            </w:r>
          </w:p>
        </w:tc>
        <w:tc>
          <w:tcPr>
            <w:tcW w:w="3360" w:type="dxa"/>
            <w:vAlign w:val="center"/>
          </w:tcPr>
          <w:p w14:paraId="00A3AFE3" w14:textId="77777777" w:rsidR="00742DFA" w:rsidRDefault="00000000">
            <w:r>
              <w:rPr>
                <w:sz w:val="16"/>
              </w:rPr>
              <w:t>Merge algorithm ablation</w:t>
            </w:r>
          </w:p>
        </w:tc>
        <w:tc>
          <w:tcPr>
            <w:tcW w:w="3360" w:type="dxa"/>
            <w:vAlign w:val="center"/>
          </w:tcPr>
          <w:p w14:paraId="229F5702" w14:textId="77777777" w:rsidR="00742DFA" w:rsidRDefault="00000000">
            <w:r>
              <w:rPr>
                <w:sz w:val="16"/>
              </w:rPr>
              <w:t>Linear, task arithmetic, TIES, DARE-TIES.</w:t>
            </w:r>
          </w:p>
        </w:tc>
      </w:tr>
      <w:tr w:rsidR="00742DFA" w14:paraId="0060B221" w14:textId="77777777">
        <w:trPr>
          <w:jc w:val="center"/>
        </w:trPr>
        <w:tc>
          <w:tcPr>
            <w:tcW w:w="3360" w:type="dxa"/>
            <w:vAlign w:val="center"/>
          </w:tcPr>
          <w:p w14:paraId="1851F4FF" w14:textId="77777777" w:rsidR="00742DFA" w:rsidRDefault="00000000">
            <w:r>
              <w:rPr>
                <w:sz w:val="16"/>
              </w:rPr>
              <w:t>Table 4</w:t>
            </w:r>
          </w:p>
        </w:tc>
        <w:tc>
          <w:tcPr>
            <w:tcW w:w="3360" w:type="dxa"/>
            <w:vAlign w:val="center"/>
          </w:tcPr>
          <w:p w14:paraId="1B30A724" w14:textId="77777777" w:rsidR="00742DFA" w:rsidRDefault="00000000">
            <w:r>
              <w:rPr>
                <w:sz w:val="16"/>
              </w:rPr>
              <w:t>DPO vs GRPO</w:t>
            </w:r>
          </w:p>
        </w:tc>
        <w:tc>
          <w:tcPr>
            <w:tcW w:w="3360" w:type="dxa"/>
            <w:vAlign w:val="center"/>
          </w:tcPr>
          <w:p w14:paraId="3488D503" w14:textId="77777777" w:rsidR="00742DFA" w:rsidRDefault="00000000">
            <w:r>
              <w:rPr>
                <w:sz w:val="16"/>
              </w:rPr>
              <w:t>Central retention and repair numbers.</w:t>
            </w:r>
          </w:p>
        </w:tc>
      </w:tr>
      <w:tr w:rsidR="00742DFA" w14:paraId="4F535BDE" w14:textId="77777777">
        <w:trPr>
          <w:jc w:val="center"/>
        </w:trPr>
        <w:tc>
          <w:tcPr>
            <w:tcW w:w="3360" w:type="dxa"/>
            <w:vAlign w:val="center"/>
          </w:tcPr>
          <w:p w14:paraId="189E4DE5" w14:textId="77777777" w:rsidR="00742DFA" w:rsidRDefault="00000000">
            <w:r>
              <w:rPr>
                <w:sz w:val="16"/>
              </w:rPr>
              <w:t>Table 5</w:t>
            </w:r>
          </w:p>
        </w:tc>
        <w:tc>
          <w:tcPr>
            <w:tcW w:w="3360" w:type="dxa"/>
            <w:vAlign w:val="center"/>
          </w:tcPr>
          <w:p w14:paraId="0C1EFCA0" w14:textId="77777777" w:rsidR="00742DFA" w:rsidRDefault="00000000">
            <w:r>
              <w:rPr>
                <w:sz w:val="16"/>
              </w:rPr>
              <w:t>Scale replication</w:t>
            </w:r>
          </w:p>
        </w:tc>
        <w:tc>
          <w:tcPr>
            <w:tcW w:w="3360" w:type="dxa"/>
            <w:vAlign w:val="center"/>
          </w:tcPr>
          <w:p w14:paraId="1BCE2AF9" w14:textId="77777777" w:rsidR="00742DFA" w:rsidRDefault="00000000">
            <w:r>
              <w:rPr>
                <w:sz w:val="16"/>
              </w:rPr>
              <w:t>Primary results on the larger small model.</w:t>
            </w:r>
          </w:p>
        </w:tc>
      </w:tr>
    </w:tbl>
    <w:p w14:paraId="4BF835A7" w14:textId="77777777" w:rsidR="00742DFA" w:rsidRDefault="00000000">
      <w:pPr>
        <w:pStyle w:val="Heading1"/>
        <w:spacing w:after="80" w:line="252" w:lineRule="auto"/>
      </w:pPr>
      <w:r>
        <w:t>11. Recommended paper headings</w:t>
      </w:r>
    </w:p>
    <w:tbl>
      <w:tblPr>
        <w:tblStyle w:val="TableGrid"/>
        <w:tblW w:w="0" w:type="auto"/>
        <w:jc w:val="center"/>
        <w:tblLook w:val="04A0" w:firstRow="1" w:lastRow="0" w:firstColumn="1" w:lastColumn="0" w:noHBand="0" w:noVBand="1"/>
      </w:tblPr>
      <w:tblGrid>
        <w:gridCol w:w="5040"/>
        <w:gridCol w:w="5040"/>
      </w:tblGrid>
      <w:tr w:rsidR="00742DFA" w14:paraId="7714ED24" w14:textId="77777777">
        <w:trPr>
          <w:tblHeader/>
          <w:jc w:val="center"/>
        </w:trPr>
        <w:tc>
          <w:tcPr>
            <w:tcW w:w="5040" w:type="dxa"/>
            <w:shd w:val="clear" w:color="auto" w:fill="E2E8F0"/>
            <w:vAlign w:val="center"/>
          </w:tcPr>
          <w:p w14:paraId="0C2F37FD" w14:textId="77777777" w:rsidR="00742DFA" w:rsidRDefault="00000000">
            <w:r>
              <w:rPr>
                <w:b/>
                <w:sz w:val="18"/>
              </w:rPr>
              <w:t>Section</w:t>
            </w:r>
          </w:p>
        </w:tc>
        <w:tc>
          <w:tcPr>
            <w:tcW w:w="5040" w:type="dxa"/>
            <w:shd w:val="clear" w:color="auto" w:fill="E2E8F0"/>
            <w:vAlign w:val="center"/>
          </w:tcPr>
          <w:p w14:paraId="0A83A31B" w14:textId="77777777" w:rsidR="00742DFA" w:rsidRDefault="00000000">
            <w:r>
              <w:rPr>
                <w:b/>
                <w:sz w:val="18"/>
              </w:rPr>
              <w:t>Content</w:t>
            </w:r>
          </w:p>
        </w:tc>
      </w:tr>
      <w:tr w:rsidR="00742DFA" w14:paraId="61CBDA5D" w14:textId="77777777">
        <w:trPr>
          <w:jc w:val="center"/>
        </w:trPr>
        <w:tc>
          <w:tcPr>
            <w:tcW w:w="5040" w:type="dxa"/>
            <w:vAlign w:val="center"/>
          </w:tcPr>
          <w:p w14:paraId="78DA6FF7" w14:textId="77777777" w:rsidR="00742DFA" w:rsidRDefault="00000000">
            <w:r>
              <w:rPr>
                <w:sz w:val="17"/>
              </w:rPr>
              <w:t>Abstract</w:t>
            </w:r>
          </w:p>
        </w:tc>
        <w:tc>
          <w:tcPr>
            <w:tcW w:w="5040" w:type="dxa"/>
            <w:vAlign w:val="center"/>
          </w:tcPr>
          <w:p w14:paraId="6F065A87" w14:textId="77777777" w:rsidR="00742DFA" w:rsidRDefault="00000000">
            <w:r>
              <w:rPr>
                <w:sz w:val="17"/>
              </w:rPr>
              <w:t>One problem sentence, one gap sentence, method/benchmark sentence, 2–3 numerical findings, implication.</w:t>
            </w:r>
          </w:p>
        </w:tc>
      </w:tr>
      <w:tr w:rsidR="00742DFA" w14:paraId="3E968CA0" w14:textId="77777777">
        <w:trPr>
          <w:jc w:val="center"/>
        </w:trPr>
        <w:tc>
          <w:tcPr>
            <w:tcW w:w="5040" w:type="dxa"/>
            <w:vAlign w:val="center"/>
          </w:tcPr>
          <w:p w14:paraId="6484FC39" w14:textId="77777777" w:rsidR="00742DFA" w:rsidRDefault="00000000">
            <w:r>
              <w:rPr>
                <w:sz w:val="17"/>
              </w:rPr>
              <w:t>1 Introduction</w:t>
            </w:r>
          </w:p>
        </w:tc>
        <w:tc>
          <w:tcPr>
            <w:tcW w:w="5040" w:type="dxa"/>
            <w:vAlign w:val="center"/>
          </w:tcPr>
          <w:p w14:paraId="5CCCF9C3" w14:textId="77777777" w:rsidR="00742DFA" w:rsidRDefault="00000000">
            <w:r>
              <w:rPr>
                <w:sz w:val="17"/>
              </w:rPr>
              <w:t>Motivate consortium/federated model development; explain why merging may perturb alignment; state the exact research questions and contributions.</w:t>
            </w:r>
          </w:p>
        </w:tc>
      </w:tr>
      <w:tr w:rsidR="00742DFA" w14:paraId="7F347F61" w14:textId="77777777">
        <w:trPr>
          <w:jc w:val="center"/>
        </w:trPr>
        <w:tc>
          <w:tcPr>
            <w:tcW w:w="5040" w:type="dxa"/>
            <w:vAlign w:val="center"/>
          </w:tcPr>
          <w:p w14:paraId="309DA759" w14:textId="77777777" w:rsidR="00742DFA" w:rsidRDefault="00000000">
            <w:r>
              <w:rPr>
                <w:sz w:val="17"/>
              </w:rPr>
              <w:t>2 Related Work</w:t>
            </w:r>
          </w:p>
        </w:tc>
        <w:tc>
          <w:tcPr>
            <w:tcW w:w="5040" w:type="dxa"/>
            <w:vAlign w:val="center"/>
          </w:tcPr>
          <w:p w14:paraId="2B29D747" w14:textId="77777777" w:rsidR="00742DFA" w:rsidRDefault="00000000">
            <w:r>
              <w:rPr>
                <w:sz w:val="17"/>
              </w:rPr>
              <w:t>2.1 Model merging; 2.2 Preference optimization (DPO/GRPO); 2.3 Alignment and safety under model composition; 2.4 Post-merge adaptation.</w:t>
            </w:r>
          </w:p>
        </w:tc>
      </w:tr>
      <w:tr w:rsidR="00742DFA" w14:paraId="7786124D" w14:textId="77777777">
        <w:trPr>
          <w:jc w:val="center"/>
        </w:trPr>
        <w:tc>
          <w:tcPr>
            <w:tcW w:w="5040" w:type="dxa"/>
            <w:vAlign w:val="center"/>
          </w:tcPr>
          <w:p w14:paraId="1C079C1C" w14:textId="77777777" w:rsidR="00742DFA" w:rsidRDefault="00000000">
            <w:r>
              <w:rPr>
                <w:sz w:val="17"/>
              </w:rPr>
              <w:t>3 Problem Setup</w:t>
            </w:r>
          </w:p>
        </w:tc>
        <w:tc>
          <w:tcPr>
            <w:tcW w:w="5040" w:type="dxa"/>
            <w:vAlign w:val="center"/>
          </w:tcPr>
          <w:p w14:paraId="6AFC98FD" w14:textId="77777777" w:rsidR="00742DFA" w:rsidRDefault="00000000">
            <w:r>
              <w:rPr>
                <w:sz w:val="17"/>
              </w:rPr>
              <w:t>Common base, expert deltas, merge operator, preference objective, definitions of PRR and capability retention.</w:t>
            </w:r>
          </w:p>
        </w:tc>
      </w:tr>
      <w:tr w:rsidR="00742DFA" w14:paraId="38765354" w14:textId="77777777">
        <w:trPr>
          <w:jc w:val="center"/>
        </w:trPr>
        <w:tc>
          <w:tcPr>
            <w:tcW w:w="5040" w:type="dxa"/>
            <w:vAlign w:val="center"/>
          </w:tcPr>
          <w:p w14:paraId="6D78FF7E" w14:textId="77777777" w:rsidR="00742DFA" w:rsidRDefault="00000000">
            <w:r>
              <w:rPr>
                <w:sz w:val="17"/>
              </w:rPr>
              <w:t>4 Experimental Protocol</w:t>
            </w:r>
          </w:p>
        </w:tc>
        <w:tc>
          <w:tcPr>
            <w:tcW w:w="5040" w:type="dxa"/>
            <w:vAlign w:val="center"/>
          </w:tcPr>
          <w:p w14:paraId="55EE77CA" w14:textId="77777777" w:rsidR="00742DFA" w:rsidRDefault="00000000">
            <w:r>
              <w:rPr>
                <w:sz w:val="17"/>
              </w:rPr>
              <w:t>Models, datasets, expert training, merge methods, DPO/GRPO setup, evaluation, statistics, compute.</w:t>
            </w:r>
          </w:p>
        </w:tc>
      </w:tr>
      <w:tr w:rsidR="00742DFA" w14:paraId="4087B40F" w14:textId="77777777">
        <w:trPr>
          <w:jc w:val="center"/>
        </w:trPr>
        <w:tc>
          <w:tcPr>
            <w:tcW w:w="5040" w:type="dxa"/>
            <w:vAlign w:val="center"/>
          </w:tcPr>
          <w:p w14:paraId="2E679A47" w14:textId="77777777" w:rsidR="00742DFA" w:rsidRDefault="00000000">
            <w:r>
              <w:rPr>
                <w:sz w:val="17"/>
              </w:rPr>
              <w:t>5 Does Preference Tuning Survive Merging?</w:t>
            </w:r>
          </w:p>
        </w:tc>
        <w:tc>
          <w:tcPr>
            <w:tcW w:w="5040" w:type="dxa"/>
            <w:vAlign w:val="center"/>
          </w:tcPr>
          <w:p w14:paraId="57966AB0" w14:textId="77777777" w:rsidR="00742DFA" w:rsidRDefault="00000000">
            <w:r>
              <w:rPr>
                <w:sz w:val="17"/>
              </w:rPr>
              <w:t>Core retention curves and consortium-size results.</w:t>
            </w:r>
          </w:p>
        </w:tc>
      </w:tr>
      <w:tr w:rsidR="00742DFA" w14:paraId="68D8199A" w14:textId="77777777">
        <w:trPr>
          <w:jc w:val="center"/>
        </w:trPr>
        <w:tc>
          <w:tcPr>
            <w:tcW w:w="5040" w:type="dxa"/>
            <w:vAlign w:val="center"/>
          </w:tcPr>
          <w:p w14:paraId="31138049" w14:textId="77777777" w:rsidR="00742DFA" w:rsidRDefault="00000000">
            <w:r>
              <w:rPr>
                <w:sz w:val="17"/>
              </w:rPr>
              <w:t>6 Align Before or After Merging?</w:t>
            </w:r>
          </w:p>
        </w:tc>
        <w:tc>
          <w:tcPr>
            <w:tcW w:w="5040" w:type="dxa"/>
            <w:vAlign w:val="center"/>
          </w:tcPr>
          <w:p w14:paraId="542D4C61" w14:textId="77777777" w:rsidR="00742DFA" w:rsidRDefault="00000000">
            <w:r>
              <w:rPr>
                <w:sz w:val="17"/>
              </w:rPr>
              <w:t>Matched-budget workflow comparison.</w:t>
            </w:r>
          </w:p>
        </w:tc>
      </w:tr>
      <w:tr w:rsidR="00742DFA" w14:paraId="5EAFBEC5" w14:textId="77777777">
        <w:trPr>
          <w:jc w:val="center"/>
        </w:trPr>
        <w:tc>
          <w:tcPr>
            <w:tcW w:w="5040" w:type="dxa"/>
            <w:vAlign w:val="center"/>
          </w:tcPr>
          <w:p w14:paraId="455B0628" w14:textId="77777777" w:rsidR="00742DFA" w:rsidRDefault="00000000">
            <w:r>
              <w:rPr>
                <w:sz w:val="17"/>
              </w:rPr>
              <w:t>7 How Much Post-Merge Repair Is Needed?</w:t>
            </w:r>
          </w:p>
        </w:tc>
        <w:tc>
          <w:tcPr>
            <w:tcW w:w="5040" w:type="dxa"/>
            <w:vAlign w:val="center"/>
          </w:tcPr>
          <w:p w14:paraId="500804DF" w14:textId="77777777" w:rsidR="00742DFA" w:rsidRDefault="00000000">
            <w:r>
              <w:rPr>
                <w:sz w:val="17"/>
              </w:rPr>
              <w:t>Sample-efficiency / repair-budget experiments.</w:t>
            </w:r>
          </w:p>
        </w:tc>
      </w:tr>
      <w:tr w:rsidR="00742DFA" w14:paraId="1040E7E1" w14:textId="77777777">
        <w:trPr>
          <w:jc w:val="center"/>
        </w:trPr>
        <w:tc>
          <w:tcPr>
            <w:tcW w:w="5040" w:type="dxa"/>
            <w:vAlign w:val="center"/>
          </w:tcPr>
          <w:p w14:paraId="17366AA7" w14:textId="77777777" w:rsidR="00742DFA" w:rsidRDefault="00000000">
            <w:r>
              <w:rPr>
                <w:sz w:val="17"/>
              </w:rPr>
              <w:t>8 What Predicts Preference Loss?</w:t>
            </w:r>
          </w:p>
        </w:tc>
        <w:tc>
          <w:tcPr>
            <w:tcW w:w="5040" w:type="dxa"/>
            <w:vAlign w:val="center"/>
          </w:tcPr>
          <w:p w14:paraId="1DA64F67" w14:textId="77777777" w:rsidR="00742DFA" w:rsidRDefault="00000000">
            <w:r>
              <w:rPr>
                <w:sz w:val="17"/>
              </w:rPr>
              <w:t>Parameter-delta conflict and layer-wise analysis.</w:t>
            </w:r>
          </w:p>
        </w:tc>
      </w:tr>
      <w:tr w:rsidR="00742DFA" w14:paraId="6DD681BC" w14:textId="77777777">
        <w:trPr>
          <w:jc w:val="center"/>
        </w:trPr>
        <w:tc>
          <w:tcPr>
            <w:tcW w:w="5040" w:type="dxa"/>
            <w:vAlign w:val="center"/>
          </w:tcPr>
          <w:p w14:paraId="250C64D4" w14:textId="77777777" w:rsidR="00742DFA" w:rsidRDefault="00000000">
            <w:r>
              <w:rPr>
                <w:sz w:val="17"/>
              </w:rPr>
              <w:t>9 DPO vs GRPO and Scale Replication</w:t>
            </w:r>
          </w:p>
        </w:tc>
        <w:tc>
          <w:tcPr>
            <w:tcW w:w="5040" w:type="dxa"/>
            <w:vAlign w:val="center"/>
          </w:tcPr>
          <w:p w14:paraId="6784D46F" w14:textId="77777777" w:rsidR="00742DFA" w:rsidRDefault="00000000">
            <w:r>
              <w:rPr>
                <w:sz w:val="17"/>
              </w:rPr>
              <w:t>Secondary algorithm comparison and larger-model confirmation.</w:t>
            </w:r>
          </w:p>
        </w:tc>
      </w:tr>
      <w:tr w:rsidR="00742DFA" w14:paraId="6F62008C" w14:textId="77777777">
        <w:trPr>
          <w:jc w:val="center"/>
        </w:trPr>
        <w:tc>
          <w:tcPr>
            <w:tcW w:w="5040" w:type="dxa"/>
            <w:vAlign w:val="center"/>
          </w:tcPr>
          <w:p w14:paraId="593BFA36" w14:textId="77777777" w:rsidR="00742DFA" w:rsidRDefault="00000000">
            <w:r>
              <w:rPr>
                <w:sz w:val="17"/>
              </w:rPr>
              <w:t>10 Discussion and Limitations</w:t>
            </w:r>
          </w:p>
        </w:tc>
        <w:tc>
          <w:tcPr>
            <w:tcW w:w="5040" w:type="dxa"/>
            <w:vAlign w:val="center"/>
          </w:tcPr>
          <w:p w14:paraId="6CFADFA0" w14:textId="77777777" w:rsidR="00742DFA" w:rsidRDefault="00000000">
            <w:r>
              <w:rPr>
                <w:sz w:val="17"/>
              </w:rPr>
              <w:t>Scope, judge limitations, model-size limits, preference-data representativeness, implications for real consortium deployments.</w:t>
            </w:r>
          </w:p>
        </w:tc>
      </w:tr>
      <w:tr w:rsidR="00742DFA" w14:paraId="5B1126D4" w14:textId="77777777">
        <w:trPr>
          <w:jc w:val="center"/>
        </w:trPr>
        <w:tc>
          <w:tcPr>
            <w:tcW w:w="5040" w:type="dxa"/>
            <w:vAlign w:val="center"/>
          </w:tcPr>
          <w:p w14:paraId="1DBBEBA1" w14:textId="77777777" w:rsidR="00742DFA" w:rsidRDefault="00000000">
            <w:r>
              <w:rPr>
                <w:sz w:val="17"/>
              </w:rPr>
              <w:t>11 Conclusion</w:t>
            </w:r>
          </w:p>
        </w:tc>
        <w:tc>
          <w:tcPr>
            <w:tcW w:w="5040" w:type="dxa"/>
            <w:vAlign w:val="center"/>
          </w:tcPr>
          <w:p w14:paraId="4D4B4133" w14:textId="77777777" w:rsidR="00742DFA" w:rsidRDefault="00000000">
            <w:r>
              <w:rPr>
                <w:sz w:val="17"/>
              </w:rPr>
              <w:t>One concise answer to the title question plus practical recommendation conditioned on measured diagnostics.</w:t>
            </w:r>
          </w:p>
        </w:tc>
      </w:tr>
      <w:tr w:rsidR="00742DFA" w14:paraId="69FA2375" w14:textId="77777777">
        <w:trPr>
          <w:jc w:val="center"/>
        </w:trPr>
        <w:tc>
          <w:tcPr>
            <w:tcW w:w="5040" w:type="dxa"/>
            <w:vAlign w:val="center"/>
          </w:tcPr>
          <w:p w14:paraId="3C0B8309" w14:textId="77777777" w:rsidR="00742DFA" w:rsidRDefault="00000000">
            <w:r>
              <w:rPr>
                <w:sz w:val="17"/>
              </w:rPr>
              <w:t>Appendix</w:t>
            </w:r>
          </w:p>
        </w:tc>
        <w:tc>
          <w:tcPr>
            <w:tcW w:w="5040" w:type="dxa"/>
            <w:vAlign w:val="center"/>
          </w:tcPr>
          <w:p w14:paraId="20AEB8F4" w14:textId="77777777" w:rsidR="00742DFA" w:rsidRDefault="00000000">
            <w:r>
              <w:rPr>
                <w:sz w:val="17"/>
              </w:rPr>
              <w:t>Hyperparameters, data filtering, prompts, extra coefficients, all seeds, evaluator agreement, compute, licenses, examples.</w:t>
            </w:r>
          </w:p>
        </w:tc>
      </w:tr>
    </w:tbl>
    <w:p w14:paraId="3C2F2FE6" w14:textId="7B318A15" w:rsidR="00742DFA" w:rsidRDefault="00000000">
      <w:pPr>
        <w:pStyle w:val="Heading1"/>
        <w:spacing w:after="80" w:line="252" w:lineRule="auto"/>
      </w:pPr>
      <w:r>
        <w:t>12. execution plan</w:t>
      </w:r>
    </w:p>
    <w:tbl>
      <w:tblPr>
        <w:tblStyle w:val="TableGrid"/>
        <w:tblW w:w="0" w:type="auto"/>
        <w:jc w:val="center"/>
        <w:tblLook w:val="04A0" w:firstRow="1" w:lastRow="0" w:firstColumn="1" w:lastColumn="0" w:noHBand="0" w:noVBand="1"/>
      </w:tblPr>
      <w:tblGrid>
        <w:gridCol w:w="3360"/>
        <w:gridCol w:w="3360"/>
      </w:tblGrid>
      <w:tr w:rsidR="00094280" w14:paraId="1817A19D" w14:textId="77777777">
        <w:trPr>
          <w:tblHeader/>
          <w:jc w:val="center"/>
        </w:trPr>
        <w:tc>
          <w:tcPr>
            <w:tcW w:w="3360" w:type="dxa"/>
            <w:shd w:val="clear" w:color="auto" w:fill="DCE6F1"/>
            <w:vAlign w:val="center"/>
          </w:tcPr>
          <w:p w14:paraId="25F7EC0F" w14:textId="77777777" w:rsidR="00094280" w:rsidRDefault="00094280">
            <w:r>
              <w:rPr>
                <w:b/>
                <w:sz w:val="18"/>
              </w:rPr>
              <w:t>Milestone</w:t>
            </w:r>
          </w:p>
        </w:tc>
        <w:tc>
          <w:tcPr>
            <w:tcW w:w="3360" w:type="dxa"/>
            <w:shd w:val="clear" w:color="auto" w:fill="DCE6F1"/>
            <w:vAlign w:val="center"/>
          </w:tcPr>
          <w:p w14:paraId="3327C75A" w14:textId="77777777" w:rsidR="00094280" w:rsidRDefault="00094280">
            <w:r>
              <w:rPr>
                <w:b/>
                <w:sz w:val="18"/>
              </w:rPr>
              <w:t>Deliverable</w:t>
            </w:r>
          </w:p>
        </w:tc>
      </w:tr>
      <w:tr w:rsidR="00094280" w14:paraId="21DE25EB" w14:textId="77777777">
        <w:trPr>
          <w:jc w:val="center"/>
        </w:trPr>
        <w:tc>
          <w:tcPr>
            <w:tcW w:w="3360" w:type="dxa"/>
            <w:vAlign w:val="center"/>
          </w:tcPr>
          <w:p w14:paraId="5321F054" w14:textId="77777777" w:rsidR="00094280" w:rsidRDefault="00094280">
            <w:r>
              <w:rPr>
                <w:sz w:val="16"/>
              </w:rPr>
              <w:t>Lock scope and infrastructure</w:t>
            </w:r>
          </w:p>
        </w:tc>
        <w:tc>
          <w:tcPr>
            <w:tcW w:w="3360" w:type="dxa"/>
            <w:vAlign w:val="center"/>
          </w:tcPr>
          <w:p w14:paraId="580DBB7A" w14:textId="77777777" w:rsidR="00094280" w:rsidRDefault="00094280">
            <w:r>
              <w:rPr>
                <w:sz w:val="16"/>
              </w:rPr>
              <w:t>Freeze base models, datasets, evaluation scripts, merge library, seeds, metric definitions. Run 50-example smoke tests.</w:t>
            </w:r>
          </w:p>
        </w:tc>
      </w:tr>
      <w:tr w:rsidR="00094280" w14:paraId="5D30D961" w14:textId="77777777">
        <w:trPr>
          <w:jc w:val="center"/>
        </w:trPr>
        <w:tc>
          <w:tcPr>
            <w:tcW w:w="3360" w:type="dxa"/>
            <w:vAlign w:val="center"/>
          </w:tcPr>
          <w:p w14:paraId="4CA2DEC7" w14:textId="77777777" w:rsidR="00094280" w:rsidRDefault="00094280">
            <w:r>
              <w:rPr>
                <w:sz w:val="16"/>
              </w:rPr>
              <w:t>Train experts</w:t>
            </w:r>
          </w:p>
        </w:tc>
        <w:tc>
          <w:tcPr>
            <w:tcW w:w="3360" w:type="dxa"/>
            <w:vAlign w:val="center"/>
          </w:tcPr>
          <w:p w14:paraId="1F496192" w14:textId="77777777" w:rsidR="00094280" w:rsidRDefault="00094280">
            <w:r>
              <w:rPr>
                <w:sz w:val="16"/>
              </w:rPr>
              <w:t>Train three domain SFT experts and DPO preference expert at primary model scale. Validate gains.</w:t>
            </w:r>
          </w:p>
        </w:tc>
      </w:tr>
      <w:tr w:rsidR="00094280" w14:paraId="63F3CD35" w14:textId="77777777">
        <w:trPr>
          <w:jc w:val="center"/>
        </w:trPr>
        <w:tc>
          <w:tcPr>
            <w:tcW w:w="3360" w:type="dxa"/>
            <w:vAlign w:val="center"/>
          </w:tcPr>
          <w:p w14:paraId="2C34F009" w14:textId="77777777" w:rsidR="00094280" w:rsidRDefault="00094280">
            <w:r>
              <w:rPr>
                <w:sz w:val="16"/>
              </w:rPr>
              <w:lastRenderedPageBreak/>
              <w:t>Core two-model merges</w:t>
            </w:r>
          </w:p>
        </w:tc>
        <w:tc>
          <w:tcPr>
            <w:tcW w:w="3360" w:type="dxa"/>
            <w:vAlign w:val="center"/>
          </w:tcPr>
          <w:p w14:paraId="05E95879" w14:textId="77777777" w:rsidR="00094280" w:rsidRDefault="00094280">
            <w:r>
              <w:rPr>
                <w:sz w:val="16"/>
              </w:rPr>
              <w:t>Run α sweeps for linear + TIES + DARE-TIES. Generate first PRR curves.</w:t>
            </w:r>
          </w:p>
        </w:tc>
      </w:tr>
      <w:tr w:rsidR="00094280" w14:paraId="0B84294A" w14:textId="77777777">
        <w:trPr>
          <w:jc w:val="center"/>
        </w:trPr>
        <w:tc>
          <w:tcPr>
            <w:tcW w:w="3360" w:type="dxa"/>
            <w:vAlign w:val="center"/>
          </w:tcPr>
          <w:p w14:paraId="74E98E5A" w14:textId="77777777" w:rsidR="00094280" w:rsidRDefault="00094280">
            <w:r>
              <w:rPr>
                <w:sz w:val="16"/>
              </w:rPr>
              <w:t>Consortium and workflow order</w:t>
            </w:r>
          </w:p>
        </w:tc>
        <w:tc>
          <w:tcPr>
            <w:tcW w:w="3360" w:type="dxa"/>
            <w:vAlign w:val="center"/>
          </w:tcPr>
          <w:p w14:paraId="3F070629" w14:textId="77777777" w:rsidR="00094280" w:rsidRDefault="00094280">
            <w:r>
              <w:rPr>
                <w:sz w:val="16"/>
              </w:rPr>
              <w:t>Run N-way merges and W2/W3/W4 matched-budget comparison.</w:t>
            </w:r>
          </w:p>
        </w:tc>
      </w:tr>
      <w:tr w:rsidR="00094280" w14:paraId="19D5C536" w14:textId="77777777">
        <w:trPr>
          <w:jc w:val="center"/>
        </w:trPr>
        <w:tc>
          <w:tcPr>
            <w:tcW w:w="3360" w:type="dxa"/>
            <w:vAlign w:val="center"/>
          </w:tcPr>
          <w:p w14:paraId="313F7184" w14:textId="77777777" w:rsidR="00094280" w:rsidRDefault="00094280">
            <w:r>
              <w:rPr>
                <w:sz w:val="16"/>
              </w:rPr>
              <w:t>Repair-budget study</w:t>
            </w:r>
          </w:p>
        </w:tc>
        <w:tc>
          <w:tcPr>
            <w:tcW w:w="3360" w:type="dxa"/>
            <w:vAlign w:val="center"/>
          </w:tcPr>
          <w:p w14:paraId="69F291F1" w14:textId="77777777" w:rsidR="00094280" w:rsidRDefault="00094280">
            <w:r>
              <w:rPr>
                <w:sz w:val="16"/>
              </w:rPr>
              <w:t>Run post-merge DPO at 125/500/2k/8k examples. Lock main paper story.</w:t>
            </w:r>
          </w:p>
        </w:tc>
      </w:tr>
      <w:tr w:rsidR="00094280" w14:paraId="22943BF6" w14:textId="77777777">
        <w:trPr>
          <w:jc w:val="center"/>
        </w:trPr>
        <w:tc>
          <w:tcPr>
            <w:tcW w:w="3360" w:type="dxa"/>
            <w:vAlign w:val="center"/>
          </w:tcPr>
          <w:p w14:paraId="20059F81" w14:textId="77777777" w:rsidR="00094280" w:rsidRDefault="00094280">
            <w:r>
              <w:rPr>
                <w:sz w:val="16"/>
              </w:rPr>
              <w:t>Diagnostics and ablations</w:t>
            </w:r>
          </w:p>
        </w:tc>
        <w:tc>
          <w:tcPr>
            <w:tcW w:w="3360" w:type="dxa"/>
            <w:vAlign w:val="center"/>
          </w:tcPr>
          <w:p w14:paraId="12C4CA5E" w14:textId="77777777" w:rsidR="00094280" w:rsidRDefault="00094280">
            <w:r>
              <w:rPr>
                <w:sz w:val="16"/>
              </w:rPr>
              <w:t>Compute delta conflict metrics, data-size ablation, key hyperparameter checks.</w:t>
            </w:r>
          </w:p>
        </w:tc>
      </w:tr>
      <w:tr w:rsidR="00094280" w14:paraId="61D0B2C3" w14:textId="77777777">
        <w:trPr>
          <w:jc w:val="center"/>
        </w:trPr>
        <w:tc>
          <w:tcPr>
            <w:tcW w:w="3360" w:type="dxa"/>
            <w:vAlign w:val="center"/>
          </w:tcPr>
          <w:p w14:paraId="74B619A9" w14:textId="77777777" w:rsidR="00094280" w:rsidRDefault="00094280">
            <w:r>
              <w:rPr>
                <w:sz w:val="16"/>
              </w:rPr>
              <w:t>GRPO + larger-model replication</w:t>
            </w:r>
          </w:p>
        </w:tc>
        <w:tc>
          <w:tcPr>
            <w:tcW w:w="3360" w:type="dxa"/>
            <w:vAlign w:val="center"/>
          </w:tcPr>
          <w:p w14:paraId="090361EF" w14:textId="77777777" w:rsidR="00094280" w:rsidRDefault="00094280">
            <w:r>
              <w:rPr>
                <w:sz w:val="16"/>
              </w:rPr>
              <w:t>Run only the central conditions, not the full factorial grid.</w:t>
            </w:r>
          </w:p>
        </w:tc>
      </w:tr>
      <w:tr w:rsidR="00094280" w14:paraId="7BC4E3F9" w14:textId="77777777">
        <w:trPr>
          <w:jc w:val="center"/>
        </w:trPr>
        <w:tc>
          <w:tcPr>
            <w:tcW w:w="3360" w:type="dxa"/>
            <w:vAlign w:val="center"/>
          </w:tcPr>
          <w:p w14:paraId="6988EC8A" w14:textId="77777777" w:rsidR="00094280" w:rsidRDefault="00094280">
            <w:r>
              <w:rPr>
                <w:sz w:val="16"/>
              </w:rPr>
              <w:t>Statistics and figure freeze</w:t>
            </w:r>
          </w:p>
        </w:tc>
        <w:tc>
          <w:tcPr>
            <w:tcW w:w="3360" w:type="dxa"/>
            <w:vAlign w:val="center"/>
          </w:tcPr>
          <w:p w14:paraId="44E762C4" w14:textId="77777777" w:rsidR="00094280" w:rsidRDefault="00094280">
            <w:r>
              <w:rPr>
                <w:sz w:val="16"/>
              </w:rPr>
              <w:t>Bootstrap CIs, significance checks, evaluator agreement, final plots/tables.</w:t>
            </w:r>
          </w:p>
        </w:tc>
      </w:tr>
      <w:tr w:rsidR="00094280" w14:paraId="25CC2913" w14:textId="77777777">
        <w:trPr>
          <w:jc w:val="center"/>
        </w:trPr>
        <w:tc>
          <w:tcPr>
            <w:tcW w:w="3360" w:type="dxa"/>
            <w:vAlign w:val="center"/>
          </w:tcPr>
          <w:p w14:paraId="598BDACD" w14:textId="77777777" w:rsidR="00094280" w:rsidRDefault="00094280">
            <w:r>
              <w:rPr>
                <w:sz w:val="16"/>
              </w:rPr>
              <w:t>Write full draft</w:t>
            </w:r>
          </w:p>
        </w:tc>
        <w:tc>
          <w:tcPr>
            <w:tcW w:w="3360" w:type="dxa"/>
            <w:vAlign w:val="center"/>
          </w:tcPr>
          <w:p w14:paraId="6555C0A3" w14:textId="77777777" w:rsidR="00094280" w:rsidRDefault="00094280">
            <w:r>
              <w:rPr>
                <w:sz w:val="16"/>
              </w:rPr>
              <w:t>Methods first, then results, introduction, related work, limitations. Prepare appendix and reproducibility checklist.</w:t>
            </w:r>
          </w:p>
        </w:tc>
      </w:tr>
      <w:tr w:rsidR="00094280" w14:paraId="0CBAA4A8" w14:textId="77777777">
        <w:trPr>
          <w:jc w:val="center"/>
        </w:trPr>
        <w:tc>
          <w:tcPr>
            <w:tcW w:w="3360" w:type="dxa"/>
            <w:vAlign w:val="center"/>
          </w:tcPr>
          <w:p w14:paraId="3E8D373A" w14:textId="77777777" w:rsidR="00094280" w:rsidRDefault="00094280">
            <w:r>
              <w:rPr>
                <w:sz w:val="16"/>
              </w:rPr>
              <w:t>Internal review and submission</w:t>
            </w:r>
          </w:p>
        </w:tc>
        <w:tc>
          <w:tcPr>
            <w:tcW w:w="3360" w:type="dxa"/>
            <w:vAlign w:val="center"/>
          </w:tcPr>
          <w:p w14:paraId="4A8C8AEE" w14:textId="77777777" w:rsidR="00094280" w:rsidRDefault="00094280">
            <w:r>
              <w:rPr>
                <w:sz w:val="16"/>
              </w:rPr>
              <w:t>Run leakage/license checks, rerun any fragile result, polish abstract/title, format for target venue, archive code/configs.</w:t>
            </w:r>
          </w:p>
        </w:tc>
      </w:tr>
    </w:tbl>
    <w:p w14:paraId="6F4B6C7D" w14:textId="77777777" w:rsidR="00742DFA" w:rsidRDefault="00000000">
      <w:pPr>
        <w:pStyle w:val="Heading1"/>
        <w:spacing w:after="80" w:line="252" w:lineRule="auto"/>
      </w:pPr>
      <w:r>
        <w:t>13. Compute-conscious implementation plan</w:t>
      </w:r>
    </w:p>
    <w:p w14:paraId="3B8DDEBD" w14:textId="77777777" w:rsidR="00742DFA" w:rsidRDefault="00000000">
      <w:pPr>
        <w:pStyle w:val="ListBullet"/>
        <w:spacing w:after="40" w:line="252" w:lineRule="auto"/>
      </w:pPr>
      <w:r>
        <w:t>Use PEFT/LoRA for expert training and DPO; save adapters and bake them only when producing merge checkpoints.</w:t>
      </w:r>
    </w:p>
    <w:p w14:paraId="4CA6BEB8" w14:textId="77777777" w:rsidR="00742DFA" w:rsidRDefault="00000000">
      <w:pPr>
        <w:pStyle w:val="ListBullet"/>
        <w:spacing w:after="40" w:line="252" w:lineRule="auto"/>
      </w:pPr>
      <w:r>
        <w:t>Cache evaluation prompts, reference log-probabilities, and generated candidates when valid so coefficient sweeps do not repeat unnecessary work.</w:t>
      </w:r>
    </w:p>
    <w:p w14:paraId="33EF6C51" w14:textId="77777777" w:rsidR="00742DFA" w:rsidRDefault="00000000">
      <w:pPr>
        <w:pStyle w:val="ListBullet"/>
        <w:spacing w:after="40" w:line="252" w:lineRule="auto"/>
      </w:pPr>
      <w:r>
        <w:t>Run deterministic pairwise log-prob evaluation on every checkpoint; reserve generation-based judging for the reduced set of representative checkpoints.</w:t>
      </w:r>
    </w:p>
    <w:p w14:paraId="031B203E" w14:textId="77777777" w:rsidR="00742DFA" w:rsidRDefault="00000000">
      <w:pPr>
        <w:pStyle w:val="ListBullet"/>
        <w:spacing w:after="40" w:line="252" w:lineRule="auto"/>
      </w:pPr>
      <w:r>
        <w:t>Start with 0.5B factorial experiments. Do not start the larger-model replication until the main effect and plots are stable.</w:t>
      </w:r>
    </w:p>
    <w:p w14:paraId="42B0A292" w14:textId="77777777" w:rsidR="00742DFA" w:rsidRDefault="00000000">
      <w:pPr>
        <w:pStyle w:val="ListBullet"/>
        <w:spacing w:after="40" w:line="252" w:lineRule="auto"/>
      </w:pPr>
      <w:r>
        <w:t>Track every checkpoint with a manifest: base hash, dataset hash, seed, LoRA config, merge method/coefficients, preference method, and evaluation commit.</w:t>
      </w:r>
    </w:p>
    <w:p w14:paraId="0C4685F4" w14:textId="77777777" w:rsidR="00742DFA" w:rsidRDefault="00000000">
      <w:pPr>
        <w:pStyle w:val="Heading1"/>
        <w:spacing w:after="80" w:line="252" w:lineRule="auto"/>
      </w:pPr>
      <w:r>
        <w:t>15. Main risks and mitigation</w:t>
      </w:r>
    </w:p>
    <w:tbl>
      <w:tblPr>
        <w:tblStyle w:val="TableGrid"/>
        <w:tblW w:w="0" w:type="auto"/>
        <w:jc w:val="center"/>
        <w:tblLook w:val="04A0" w:firstRow="1" w:lastRow="0" w:firstColumn="1" w:lastColumn="0" w:noHBand="0" w:noVBand="1"/>
      </w:tblPr>
      <w:tblGrid>
        <w:gridCol w:w="3360"/>
        <w:gridCol w:w="3360"/>
        <w:gridCol w:w="3360"/>
      </w:tblGrid>
      <w:tr w:rsidR="00742DFA" w14:paraId="3BB1E225" w14:textId="77777777">
        <w:trPr>
          <w:tblHeader/>
          <w:jc w:val="center"/>
        </w:trPr>
        <w:tc>
          <w:tcPr>
            <w:tcW w:w="3360" w:type="dxa"/>
            <w:shd w:val="clear" w:color="auto" w:fill="FDECEC"/>
            <w:vAlign w:val="center"/>
          </w:tcPr>
          <w:p w14:paraId="088D93FF" w14:textId="77777777" w:rsidR="00742DFA" w:rsidRDefault="00000000">
            <w:r>
              <w:rPr>
                <w:b/>
                <w:sz w:val="18"/>
              </w:rPr>
              <w:t>Risk</w:t>
            </w:r>
          </w:p>
        </w:tc>
        <w:tc>
          <w:tcPr>
            <w:tcW w:w="3360" w:type="dxa"/>
            <w:shd w:val="clear" w:color="auto" w:fill="FDECEC"/>
            <w:vAlign w:val="center"/>
          </w:tcPr>
          <w:p w14:paraId="3A735383" w14:textId="77777777" w:rsidR="00742DFA" w:rsidRDefault="00000000">
            <w:r>
              <w:rPr>
                <w:b/>
                <w:sz w:val="18"/>
              </w:rPr>
              <w:t>Why it matters</w:t>
            </w:r>
          </w:p>
        </w:tc>
        <w:tc>
          <w:tcPr>
            <w:tcW w:w="3360" w:type="dxa"/>
            <w:shd w:val="clear" w:color="auto" w:fill="FDECEC"/>
            <w:vAlign w:val="center"/>
          </w:tcPr>
          <w:p w14:paraId="75579311" w14:textId="77777777" w:rsidR="00742DFA" w:rsidRDefault="00000000">
            <w:r>
              <w:rPr>
                <w:b/>
                <w:sz w:val="18"/>
              </w:rPr>
              <w:t>Mitigation</w:t>
            </w:r>
          </w:p>
        </w:tc>
      </w:tr>
      <w:tr w:rsidR="00742DFA" w14:paraId="38F2D94C" w14:textId="77777777">
        <w:trPr>
          <w:jc w:val="center"/>
        </w:trPr>
        <w:tc>
          <w:tcPr>
            <w:tcW w:w="3360" w:type="dxa"/>
            <w:vAlign w:val="center"/>
          </w:tcPr>
          <w:p w14:paraId="323D7FBB" w14:textId="77777777" w:rsidR="00742DFA" w:rsidRDefault="00000000">
            <w:r>
              <w:rPr>
                <w:sz w:val="16"/>
              </w:rPr>
              <w:t>Novelty collision</w:t>
            </w:r>
          </w:p>
        </w:tc>
        <w:tc>
          <w:tcPr>
            <w:tcW w:w="3360" w:type="dxa"/>
            <w:vAlign w:val="center"/>
          </w:tcPr>
          <w:p w14:paraId="7C59FE0C" w14:textId="77777777" w:rsidR="00742DFA" w:rsidRDefault="00000000">
            <w:r>
              <w:rPr>
                <w:sz w:val="16"/>
              </w:rPr>
              <w:t>Recent model-merging/alignment papers are appearing quickly.</w:t>
            </w:r>
          </w:p>
        </w:tc>
        <w:tc>
          <w:tcPr>
            <w:tcW w:w="3360" w:type="dxa"/>
            <w:vAlign w:val="center"/>
          </w:tcPr>
          <w:p w14:paraId="23741FC0" w14:textId="77777777" w:rsidR="00742DFA" w:rsidRDefault="00000000">
            <w:r>
              <w:rPr>
                <w:sz w:val="16"/>
              </w:rPr>
              <w:t>Keep the paper centered on PRR, controlled sweeps, repair sample efficiency, and predictors. Re-run literature search before submission.</w:t>
            </w:r>
          </w:p>
        </w:tc>
      </w:tr>
      <w:tr w:rsidR="00742DFA" w14:paraId="6841BB38" w14:textId="77777777">
        <w:trPr>
          <w:jc w:val="center"/>
        </w:trPr>
        <w:tc>
          <w:tcPr>
            <w:tcW w:w="3360" w:type="dxa"/>
            <w:vAlign w:val="center"/>
          </w:tcPr>
          <w:p w14:paraId="57871C90" w14:textId="77777777" w:rsidR="00742DFA" w:rsidRDefault="00000000">
            <w:r>
              <w:rPr>
                <w:sz w:val="16"/>
              </w:rPr>
              <w:t>Weak DPO signal at 0.5B</w:t>
            </w:r>
          </w:p>
        </w:tc>
        <w:tc>
          <w:tcPr>
            <w:tcW w:w="3360" w:type="dxa"/>
            <w:vAlign w:val="center"/>
          </w:tcPr>
          <w:p w14:paraId="755FA5FD" w14:textId="77777777" w:rsidR="00742DFA" w:rsidRDefault="00000000">
            <w:r>
              <w:rPr>
                <w:sz w:val="16"/>
              </w:rPr>
              <w:t>Small model may not learn preferences reliably.</w:t>
            </w:r>
          </w:p>
        </w:tc>
        <w:tc>
          <w:tcPr>
            <w:tcW w:w="3360" w:type="dxa"/>
            <w:vAlign w:val="center"/>
          </w:tcPr>
          <w:p w14:paraId="716FC767" w14:textId="77777777" w:rsidR="00742DFA" w:rsidRDefault="00000000">
            <w:r>
              <w:rPr>
                <w:sz w:val="16"/>
              </w:rPr>
              <w:t>Use 1.5B model earlier for the DPO sanity check, or choose a cleaner preference dataset; verify pairwise margin before merging.</w:t>
            </w:r>
          </w:p>
        </w:tc>
      </w:tr>
      <w:tr w:rsidR="00742DFA" w14:paraId="73C6AEA9" w14:textId="77777777">
        <w:trPr>
          <w:jc w:val="center"/>
        </w:trPr>
        <w:tc>
          <w:tcPr>
            <w:tcW w:w="3360" w:type="dxa"/>
            <w:vAlign w:val="center"/>
          </w:tcPr>
          <w:p w14:paraId="3CB83679" w14:textId="77777777" w:rsidR="00742DFA" w:rsidRDefault="00000000">
            <w:r>
              <w:rPr>
                <w:sz w:val="16"/>
              </w:rPr>
              <w:t>GRPO instability</w:t>
            </w:r>
          </w:p>
        </w:tc>
        <w:tc>
          <w:tcPr>
            <w:tcW w:w="3360" w:type="dxa"/>
            <w:vAlign w:val="center"/>
          </w:tcPr>
          <w:p w14:paraId="020EA5B7" w14:textId="77777777" w:rsidR="00742DFA" w:rsidRDefault="00000000">
            <w:r>
              <w:rPr>
                <w:sz w:val="16"/>
              </w:rPr>
              <w:t>Reward variance may obscure the merge effect.</w:t>
            </w:r>
          </w:p>
        </w:tc>
        <w:tc>
          <w:tcPr>
            <w:tcW w:w="3360" w:type="dxa"/>
            <w:vAlign w:val="center"/>
          </w:tcPr>
          <w:p w14:paraId="06F80439" w14:textId="77777777" w:rsidR="00742DFA" w:rsidRDefault="00000000">
            <w:r>
              <w:rPr>
                <w:sz w:val="16"/>
              </w:rPr>
              <w:t>Treat GRPO as replication, use a fixed compact reward/verifier, conservative KL, and fewer central conditions.</w:t>
            </w:r>
          </w:p>
        </w:tc>
      </w:tr>
      <w:tr w:rsidR="00742DFA" w14:paraId="1FD5623E" w14:textId="77777777">
        <w:trPr>
          <w:jc w:val="center"/>
        </w:trPr>
        <w:tc>
          <w:tcPr>
            <w:tcW w:w="3360" w:type="dxa"/>
            <w:vAlign w:val="center"/>
          </w:tcPr>
          <w:p w14:paraId="282783D2" w14:textId="77777777" w:rsidR="00742DFA" w:rsidRDefault="00000000">
            <w:r>
              <w:rPr>
                <w:sz w:val="16"/>
              </w:rPr>
              <w:t>Judge contamination</w:t>
            </w:r>
          </w:p>
        </w:tc>
        <w:tc>
          <w:tcPr>
            <w:tcW w:w="3360" w:type="dxa"/>
            <w:vAlign w:val="center"/>
          </w:tcPr>
          <w:p w14:paraId="0EF8D234" w14:textId="77777777" w:rsidR="00742DFA" w:rsidRDefault="00000000">
            <w:r>
              <w:rPr>
                <w:sz w:val="16"/>
              </w:rPr>
              <w:t>Training reward and evaluator overlap can inflate results.</w:t>
            </w:r>
          </w:p>
        </w:tc>
        <w:tc>
          <w:tcPr>
            <w:tcW w:w="3360" w:type="dxa"/>
            <w:vAlign w:val="center"/>
          </w:tcPr>
          <w:p w14:paraId="7AA4D03B" w14:textId="77777777" w:rsidR="00742DFA" w:rsidRDefault="00000000">
            <w:r>
              <w:rPr>
                <w:sz w:val="16"/>
              </w:rPr>
              <w:t>Separate training reward from final judge; include deterministic held-out preference margin and evaluator agreement.</w:t>
            </w:r>
          </w:p>
        </w:tc>
      </w:tr>
      <w:tr w:rsidR="00742DFA" w14:paraId="2E303D69" w14:textId="77777777">
        <w:trPr>
          <w:jc w:val="center"/>
        </w:trPr>
        <w:tc>
          <w:tcPr>
            <w:tcW w:w="3360" w:type="dxa"/>
            <w:vAlign w:val="center"/>
          </w:tcPr>
          <w:p w14:paraId="5826B346" w14:textId="77777777" w:rsidR="00742DFA" w:rsidRDefault="00000000">
            <w:r>
              <w:rPr>
                <w:sz w:val="16"/>
              </w:rPr>
              <w:t>Too many runs</w:t>
            </w:r>
          </w:p>
        </w:tc>
        <w:tc>
          <w:tcPr>
            <w:tcW w:w="3360" w:type="dxa"/>
            <w:vAlign w:val="center"/>
          </w:tcPr>
          <w:p w14:paraId="5FB85A98" w14:textId="77777777" w:rsidR="00742DFA" w:rsidRDefault="00000000">
            <w:r>
              <w:rPr>
                <w:sz w:val="16"/>
              </w:rPr>
              <w:t>Full grid can explode combinatorially.</w:t>
            </w:r>
          </w:p>
        </w:tc>
        <w:tc>
          <w:tcPr>
            <w:tcW w:w="3360" w:type="dxa"/>
            <w:vAlign w:val="center"/>
          </w:tcPr>
          <w:p w14:paraId="3E787513" w14:textId="77777777" w:rsidR="00742DFA" w:rsidRDefault="00000000">
            <w:r>
              <w:rPr>
                <w:sz w:val="16"/>
              </w:rPr>
              <w:t>Use staged gating: linear merge first, then only add TIES/DARE where the effect is clear; run larger scale only on central conditions.</w:t>
            </w:r>
          </w:p>
        </w:tc>
      </w:tr>
      <w:tr w:rsidR="00742DFA" w14:paraId="384C856B" w14:textId="77777777">
        <w:trPr>
          <w:jc w:val="center"/>
        </w:trPr>
        <w:tc>
          <w:tcPr>
            <w:tcW w:w="3360" w:type="dxa"/>
            <w:vAlign w:val="center"/>
          </w:tcPr>
          <w:p w14:paraId="0BB0A104" w14:textId="77777777" w:rsidR="00742DFA" w:rsidRDefault="00000000">
            <w:r>
              <w:rPr>
                <w:sz w:val="16"/>
              </w:rPr>
              <w:t>Capability trade-off</w:t>
            </w:r>
          </w:p>
        </w:tc>
        <w:tc>
          <w:tcPr>
            <w:tcW w:w="3360" w:type="dxa"/>
            <w:vAlign w:val="center"/>
          </w:tcPr>
          <w:p w14:paraId="121DCEF4" w14:textId="77777777" w:rsidR="00742DFA" w:rsidRDefault="00000000">
            <w:r>
              <w:rPr>
                <w:sz w:val="16"/>
              </w:rPr>
              <w:t>Post-merge DPO may recover alignment but damage expert skills.</w:t>
            </w:r>
          </w:p>
        </w:tc>
        <w:tc>
          <w:tcPr>
            <w:tcW w:w="3360" w:type="dxa"/>
            <w:vAlign w:val="center"/>
          </w:tcPr>
          <w:p w14:paraId="1C991878" w14:textId="77777777" w:rsidR="00742DFA" w:rsidRDefault="00000000">
            <w:r>
              <w:rPr>
                <w:sz w:val="16"/>
              </w:rPr>
              <w:t>Always report capability retention and Pareto plots, not preference score alone.</w:t>
            </w:r>
          </w:p>
        </w:tc>
      </w:tr>
    </w:tbl>
    <w:p w14:paraId="6BE16AD6" w14:textId="77777777" w:rsidR="00742DFA" w:rsidRDefault="00742DFA">
      <w:pPr>
        <w:spacing w:after="80" w:line="252" w:lineRule="auto"/>
      </w:pPr>
    </w:p>
    <w:p w14:paraId="41CC71C7" w14:textId="77777777" w:rsidR="00742DFA" w:rsidRDefault="00000000">
      <w:pPr>
        <w:pStyle w:val="Heading1"/>
        <w:spacing w:after="80" w:line="252" w:lineRule="auto"/>
      </w:pPr>
      <w:r>
        <w:lastRenderedPageBreak/>
        <w:t>17. Reproducible run checklist</w:t>
      </w:r>
    </w:p>
    <w:p w14:paraId="5B35B7A2" w14:textId="77777777" w:rsidR="00742DFA" w:rsidRDefault="00000000">
      <w:pPr>
        <w:pStyle w:val="ListNumber"/>
        <w:spacing w:after="40" w:line="252" w:lineRule="auto"/>
      </w:pPr>
      <w:r>
        <w:t>Freeze the base checkpoint and tokenizer hash.</w:t>
      </w:r>
    </w:p>
    <w:p w14:paraId="36D2A19C" w14:textId="77777777" w:rsidR="00742DFA" w:rsidRDefault="00000000">
      <w:pPr>
        <w:pStyle w:val="ListNumber"/>
        <w:spacing w:after="40" w:line="252" w:lineRule="auto"/>
      </w:pPr>
      <w:r>
        <w:t>Create train/validation/test splits for each domain and the preference data before training any model.</w:t>
      </w:r>
    </w:p>
    <w:p w14:paraId="498EBCC1" w14:textId="77777777" w:rsidR="00742DFA" w:rsidRDefault="00000000">
      <w:pPr>
        <w:pStyle w:val="ListNumber"/>
        <w:spacing w:after="40" w:line="252" w:lineRule="auto"/>
      </w:pPr>
      <w:r>
        <w:t>Train each domain expert independently from the base using identical PEFT structure where possible.</w:t>
      </w:r>
    </w:p>
    <w:p w14:paraId="03EC2536" w14:textId="77777777" w:rsidR="00742DFA" w:rsidRDefault="00000000">
      <w:pPr>
        <w:pStyle w:val="ListNumber"/>
        <w:spacing w:after="40" w:line="252" w:lineRule="auto"/>
      </w:pPr>
      <w:r>
        <w:t>Train DPO preference expert from the same base; verify held-out preference improvement.</w:t>
      </w:r>
    </w:p>
    <w:p w14:paraId="155C4E14" w14:textId="77777777" w:rsidR="00742DFA" w:rsidRDefault="00000000">
      <w:pPr>
        <w:pStyle w:val="ListNumber"/>
        <w:spacing w:after="40" w:line="252" w:lineRule="auto"/>
      </w:pPr>
      <w:r>
        <w:t>Bake adapters and compute expert deltas relative to the base.</w:t>
      </w:r>
    </w:p>
    <w:p w14:paraId="112C175B" w14:textId="77777777" w:rsidR="00742DFA" w:rsidRDefault="00000000">
      <w:pPr>
        <w:pStyle w:val="ListNumber"/>
        <w:spacing w:after="40" w:line="252" w:lineRule="auto"/>
      </w:pPr>
      <w:r>
        <w:t>Generate merge checkpoints for planned coefficients and algorithms.</w:t>
      </w:r>
    </w:p>
    <w:p w14:paraId="6388B97A" w14:textId="77777777" w:rsidR="00742DFA" w:rsidRDefault="00000000">
      <w:pPr>
        <w:pStyle w:val="ListNumber"/>
        <w:spacing w:after="40" w:line="252" w:lineRule="auto"/>
      </w:pPr>
      <w:r>
        <w:t>Evaluate deterministic held-out preference margin and domain benchmarks on every checkpoint.</w:t>
      </w:r>
    </w:p>
    <w:p w14:paraId="0F4058BC" w14:textId="77777777" w:rsidR="00742DFA" w:rsidRDefault="00000000">
      <w:pPr>
        <w:pStyle w:val="ListNumber"/>
        <w:spacing w:after="40" w:line="252" w:lineRule="auto"/>
      </w:pPr>
      <w:r>
        <w:t>Select representative checkpoints for generation-level evaluation.</w:t>
      </w:r>
    </w:p>
    <w:p w14:paraId="3298EEDA" w14:textId="77777777" w:rsidR="00742DFA" w:rsidRDefault="00000000">
      <w:pPr>
        <w:pStyle w:val="ListNumber"/>
        <w:spacing w:after="40" w:line="252" w:lineRule="auto"/>
      </w:pPr>
      <w:r>
        <w:t>Run matched-budget pre-merge/post-merge alignment conditions.</w:t>
      </w:r>
    </w:p>
    <w:p w14:paraId="300FF0C5" w14:textId="77777777" w:rsidR="00742DFA" w:rsidRDefault="00000000">
      <w:pPr>
        <w:pStyle w:val="ListNumber"/>
        <w:spacing w:after="40" w:line="252" w:lineRule="auto"/>
      </w:pPr>
      <w:r>
        <w:t>Run repair-budget sweep on the worst and median merge cases.</w:t>
      </w:r>
    </w:p>
    <w:p w14:paraId="6E948BA8" w14:textId="77777777" w:rsidR="00742DFA" w:rsidRDefault="00000000">
      <w:pPr>
        <w:pStyle w:val="ListNumber"/>
        <w:spacing w:after="40" w:line="252" w:lineRule="auto"/>
      </w:pPr>
      <w:r>
        <w:t>Compute parameter-conflict diagnostics and correlate them with PRR.</w:t>
      </w:r>
    </w:p>
    <w:p w14:paraId="53BEA0EB" w14:textId="77777777" w:rsidR="00742DFA" w:rsidRDefault="00000000">
      <w:pPr>
        <w:pStyle w:val="ListNumber"/>
        <w:spacing w:after="40" w:line="252" w:lineRule="auto"/>
      </w:pPr>
      <w:r>
        <w:t>Repeat central conditions with GRPO and then with the larger model.</w:t>
      </w:r>
    </w:p>
    <w:p w14:paraId="53303EFF" w14:textId="77777777" w:rsidR="00742DFA" w:rsidRDefault="00000000">
      <w:pPr>
        <w:pStyle w:val="ListNumber"/>
        <w:spacing w:after="40" w:line="252" w:lineRule="auto"/>
      </w:pPr>
      <w:r>
        <w:t>Freeze figures/tables only after seed and evaluator robustness checks.</w:t>
      </w:r>
    </w:p>
    <w:p w14:paraId="7CED9E7D" w14:textId="77777777" w:rsidR="00742DFA" w:rsidRDefault="00000000">
      <w:pPr>
        <w:pStyle w:val="Heading1"/>
        <w:spacing w:after="80" w:line="252" w:lineRule="auto"/>
      </w:pPr>
      <w:r>
        <w:t>18. Literature positioning checked for this plan</w:t>
      </w:r>
    </w:p>
    <w:p w14:paraId="42E62A28" w14:textId="77777777" w:rsidR="00742DFA" w:rsidRDefault="00000000">
      <w:pPr>
        <w:spacing w:after="80" w:line="252" w:lineRule="auto"/>
      </w:pPr>
      <w:r>
        <w:t>The following papers are particularly relevant. They should be cited in the eventual manuscript, and their exact relationship to the proposed contribution should be described explicitly.</w:t>
      </w:r>
    </w:p>
    <w:tbl>
      <w:tblPr>
        <w:tblStyle w:val="TableGrid"/>
        <w:tblW w:w="0" w:type="auto"/>
        <w:jc w:val="center"/>
        <w:tblLook w:val="04A0" w:firstRow="1" w:lastRow="0" w:firstColumn="1" w:lastColumn="0" w:noHBand="0" w:noVBand="1"/>
      </w:tblPr>
      <w:tblGrid>
        <w:gridCol w:w="2520"/>
        <w:gridCol w:w="2520"/>
        <w:gridCol w:w="2520"/>
        <w:gridCol w:w="2520"/>
      </w:tblGrid>
      <w:tr w:rsidR="00742DFA" w14:paraId="46F9020E" w14:textId="77777777">
        <w:trPr>
          <w:tblHeader/>
          <w:jc w:val="center"/>
        </w:trPr>
        <w:tc>
          <w:tcPr>
            <w:tcW w:w="2520" w:type="dxa"/>
            <w:shd w:val="clear" w:color="auto" w:fill="E2E8F0"/>
            <w:vAlign w:val="center"/>
          </w:tcPr>
          <w:p w14:paraId="12EC070B" w14:textId="77777777" w:rsidR="00742DFA" w:rsidRDefault="00000000">
            <w:r>
              <w:rPr>
                <w:b/>
                <w:sz w:val="17"/>
              </w:rPr>
              <w:t>Reference</w:t>
            </w:r>
          </w:p>
        </w:tc>
        <w:tc>
          <w:tcPr>
            <w:tcW w:w="2520" w:type="dxa"/>
            <w:shd w:val="clear" w:color="auto" w:fill="E2E8F0"/>
            <w:vAlign w:val="center"/>
          </w:tcPr>
          <w:p w14:paraId="03D6E18E" w14:textId="77777777" w:rsidR="00742DFA" w:rsidRDefault="00000000">
            <w:r>
              <w:rPr>
                <w:b/>
                <w:sz w:val="17"/>
              </w:rPr>
              <w:t>Paper</w:t>
            </w:r>
          </w:p>
        </w:tc>
        <w:tc>
          <w:tcPr>
            <w:tcW w:w="2520" w:type="dxa"/>
            <w:shd w:val="clear" w:color="auto" w:fill="E2E8F0"/>
            <w:vAlign w:val="center"/>
          </w:tcPr>
          <w:p w14:paraId="6597ACAC" w14:textId="77777777" w:rsidR="00742DFA" w:rsidRDefault="00000000">
            <w:r>
              <w:rPr>
                <w:b/>
                <w:sz w:val="17"/>
              </w:rPr>
              <w:t>Relevance</w:t>
            </w:r>
          </w:p>
        </w:tc>
        <w:tc>
          <w:tcPr>
            <w:tcW w:w="2520" w:type="dxa"/>
            <w:shd w:val="clear" w:color="auto" w:fill="E2E8F0"/>
            <w:vAlign w:val="center"/>
          </w:tcPr>
          <w:p w14:paraId="06C82325" w14:textId="77777777" w:rsidR="00742DFA" w:rsidRDefault="00000000">
            <w:r>
              <w:rPr>
                <w:b/>
                <w:sz w:val="17"/>
              </w:rPr>
              <w:t>Link</w:t>
            </w:r>
          </w:p>
        </w:tc>
      </w:tr>
      <w:tr w:rsidR="00742DFA" w14:paraId="07E08A69" w14:textId="77777777">
        <w:trPr>
          <w:jc w:val="center"/>
        </w:trPr>
        <w:tc>
          <w:tcPr>
            <w:tcW w:w="2520" w:type="dxa"/>
            <w:vAlign w:val="center"/>
          </w:tcPr>
          <w:p w14:paraId="59D0B517" w14:textId="77777777" w:rsidR="00742DFA" w:rsidRDefault="00000000">
            <w:r>
              <w:rPr>
                <w:sz w:val="15"/>
              </w:rPr>
              <w:t>Rafailov et al., 2023</w:t>
            </w:r>
          </w:p>
        </w:tc>
        <w:tc>
          <w:tcPr>
            <w:tcW w:w="2520" w:type="dxa"/>
            <w:vAlign w:val="center"/>
          </w:tcPr>
          <w:p w14:paraId="36C023AD" w14:textId="77777777" w:rsidR="00742DFA" w:rsidRDefault="00000000">
            <w:r>
              <w:rPr>
                <w:sz w:val="15"/>
              </w:rPr>
              <w:t>Direct Preference Optimization: Your Language Model is Secretly a Reward Model.</w:t>
            </w:r>
          </w:p>
        </w:tc>
        <w:tc>
          <w:tcPr>
            <w:tcW w:w="2520" w:type="dxa"/>
            <w:vAlign w:val="center"/>
          </w:tcPr>
          <w:p w14:paraId="0425620B" w14:textId="77777777" w:rsidR="00742DFA" w:rsidRDefault="00000000">
            <w:r>
              <w:rPr>
                <w:sz w:val="15"/>
              </w:rPr>
              <w:t>Foundation for DPO.</w:t>
            </w:r>
          </w:p>
        </w:tc>
        <w:tc>
          <w:tcPr>
            <w:tcW w:w="2520" w:type="dxa"/>
            <w:vAlign w:val="center"/>
          </w:tcPr>
          <w:p w14:paraId="292EEA55" w14:textId="77777777" w:rsidR="00742DFA" w:rsidRDefault="00000000">
            <w:r>
              <w:rPr>
                <w:sz w:val="15"/>
              </w:rPr>
              <w:t>https://arxiv.org/abs/2305.18290</w:t>
            </w:r>
          </w:p>
        </w:tc>
      </w:tr>
      <w:tr w:rsidR="00742DFA" w14:paraId="19348C39" w14:textId="77777777">
        <w:trPr>
          <w:jc w:val="center"/>
        </w:trPr>
        <w:tc>
          <w:tcPr>
            <w:tcW w:w="2520" w:type="dxa"/>
            <w:vAlign w:val="center"/>
          </w:tcPr>
          <w:p w14:paraId="4C2A9537" w14:textId="77777777" w:rsidR="00742DFA" w:rsidRDefault="00000000">
            <w:r>
              <w:rPr>
                <w:sz w:val="15"/>
              </w:rPr>
              <w:t>Yadav et al., 2023</w:t>
            </w:r>
          </w:p>
        </w:tc>
        <w:tc>
          <w:tcPr>
            <w:tcW w:w="2520" w:type="dxa"/>
            <w:vAlign w:val="center"/>
          </w:tcPr>
          <w:p w14:paraId="18AB4C3B" w14:textId="77777777" w:rsidR="00742DFA" w:rsidRDefault="00000000">
            <w:r>
              <w:rPr>
                <w:sz w:val="15"/>
              </w:rPr>
              <w:t>TIES-Merging: Resolving Interference When Merging Models.</w:t>
            </w:r>
          </w:p>
        </w:tc>
        <w:tc>
          <w:tcPr>
            <w:tcW w:w="2520" w:type="dxa"/>
            <w:vAlign w:val="center"/>
          </w:tcPr>
          <w:p w14:paraId="7E982076" w14:textId="77777777" w:rsidR="00742DFA" w:rsidRDefault="00000000">
            <w:r>
              <w:rPr>
                <w:sz w:val="15"/>
              </w:rPr>
              <w:t>Merge algorithm designed to resolve parameter interference.</w:t>
            </w:r>
          </w:p>
        </w:tc>
        <w:tc>
          <w:tcPr>
            <w:tcW w:w="2520" w:type="dxa"/>
            <w:vAlign w:val="center"/>
          </w:tcPr>
          <w:p w14:paraId="2D225571" w14:textId="77777777" w:rsidR="00742DFA" w:rsidRDefault="00000000">
            <w:r>
              <w:rPr>
                <w:sz w:val="15"/>
              </w:rPr>
              <w:t>https://arxiv.org/abs/2306.01708</w:t>
            </w:r>
          </w:p>
        </w:tc>
      </w:tr>
      <w:tr w:rsidR="00742DFA" w14:paraId="3EA92E22" w14:textId="77777777">
        <w:trPr>
          <w:jc w:val="center"/>
        </w:trPr>
        <w:tc>
          <w:tcPr>
            <w:tcW w:w="2520" w:type="dxa"/>
            <w:vAlign w:val="center"/>
          </w:tcPr>
          <w:p w14:paraId="0FF414B7" w14:textId="77777777" w:rsidR="00742DFA" w:rsidRDefault="00000000">
            <w:r>
              <w:rPr>
                <w:sz w:val="15"/>
              </w:rPr>
              <w:t>Yu et al., 2024</w:t>
            </w:r>
          </w:p>
        </w:tc>
        <w:tc>
          <w:tcPr>
            <w:tcW w:w="2520" w:type="dxa"/>
            <w:vAlign w:val="center"/>
          </w:tcPr>
          <w:p w14:paraId="21CB7830" w14:textId="77777777" w:rsidR="00742DFA" w:rsidRDefault="00000000">
            <w:r>
              <w:rPr>
                <w:sz w:val="15"/>
              </w:rPr>
              <w:t>Language Models are Super Mario: Absorbing Abilities from Homologous Models as a Free Lunch.</w:t>
            </w:r>
          </w:p>
        </w:tc>
        <w:tc>
          <w:tcPr>
            <w:tcW w:w="2520" w:type="dxa"/>
            <w:vAlign w:val="center"/>
          </w:tcPr>
          <w:p w14:paraId="15CE9CC3" w14:textId="77777777" w:rsidR="00742DFA" w:rsidRDefault="00000000">
            <w:r>
              <w:rPr>
                <w:sz w:val="15"/>
              </w:rPr>
              <w:t>DARE sparsification and merging of homologous fine-tuned models.</w:t>
            </w:r>
          </w:p>
        </w:tc>
        <w:tc>
          <w:tcPr>
            <w:tcW w:w="2520" w:type="dxa"/>
            <w:vAlign w:val="center"/>
          </w:tcPr>
          <w:p w14:paraId="326097B8" w14:textId="77777777" w:rsidR="00742DFA" w:rsidRDefault="00000000">
            <w:r>
              <w:rPr>
                <w:sz w:val="15"/>
              </w:rPr>
              <w:t>https://arxiv.org/abs/2311.03099</w:t>
            </w:r>
          </w:p>
        </w:tc>
      </w:tr>
      <w:tr w:rsidR="00742DFA" w14:paraId="6872B6EB" w14:textId="77777777">
        <w:trPr>
          <w:jc w:val="center"/>
        </w:trPr>
        <w:tc>
          <w:tcPr>
            <w:tcW w:w="2520" w:type="dxa"/>
            <w:vAlign w:val="center"/>
          </w:tcPr>
          <w:p w14:paraId="7B5BA258" w14:textId="77777777" w:rsidR="00742DFA" w:rsidRDefault="00000000">
            <w:r>
              <w:rPr>
                <w:sz w:val="15"/>
              </w:rPr>
              <w:t>Aakanksha et al., 2024</w:t>
            </w:r>
          </w:p>
        </w:tc>
        <w:tc>
          <w:tcPr>
            <w:tcW w:w="2520" w:type="dxa"/>
            <w:vAlign w:val="center"/>
          </w:tcPr>
          <w:p w14:paraId="056FFB90" w14:textId="77777777" w:rsidR="00742DFA" w:rsidRDefault="00000000">
            <w:r>
              <w:rPr>
                <w:sz w:val="15"/>
              </w:rPr>
              <w:t>Mix Data or Merge Models? Optimizing for Diverse Multi-Task Learning.</w:t>
            </w:r>
          </w:p>
        </w:tc>
        <w:tc>
          <w:tcPr>
            <w:tcW w:w="2520" w:type="dxa"/>
            <w:vAlign w:val="center"/>
          </w:tcPr>
          <w:p w14:paraId="341284E0" w14:textId="77777777" w:rsidR="00742DFA" w:rsidRDefault="00000000">
            <w:r>
              <w:rPr>
                <w:sz w:val="15"/>
              </w:rPr>
              <w:t>Directly relevant prior evidence: compares DPO before vs after merge in multilingual safety/general-purpose training.</w:t>
            </w:r>
          </w:p>
        </w:tc>
        <w:tc>
          <w:tcPr>
            <w:tcW w:w="2520" w:type="dxa"/>
            <w:vAlign w:val="center"/>
          </w:tcPr>
          <w:p w14:paraId="45805CBE" w14:textId="77777777" w:rsidR="00742DFA" w:rsidRDefault="00000000">
            <w:r>
              <w:rPr>
                <w:sz w:val="15"/>
              </w:rPr>
              <w:t>https://arxiv.org/abs/2410.10801</w:t>
            </w:r>
          </w:p>
        </w:tc>
      </w:tr>
      <w:tr w:rsidR="00742DFA" w14:paraId="309F3F85" w14:textId="77777777">
        <w:trPr>
          <w:jc w:val="center"/>
        </w:trPr>
        <w:tc>
          <w:tcPr>
            <w:tcW w:w="2520" w:type="dxa"/>
            <w:vAlign w:val="center"/>
          </w:tcPr>
          <w:p w14:paraId="13E043AB" w14:textId="77777777" w:rsidR="00742DFA" w:rsidRDefault="00000000">
            <w:r>
              <w:rPr>
                <w:sz w:val="15"/>
              </w:rPr>
              <w:t>Hammoud et al., 2024</w:t>
            </w:r>
          </w:p>
        </w:tc>
        <w:tc>
          <w:tcPr>
            <w:tcW w:w="2520" w:type="dxa"/>
            <w:vAlign w:val="center"/>
          </w:tcPr>
          <w:p w14:paraId="1D90B8FC" w14:textId="77777777" w:rsidR="00742DFA" w:rsidRDefault="00000000">
            <w:r>
              <w:rPr>
                <w:sz w:val="15"/>
              </w:rPr>
              <w:t>Model Merging and Safety Alignment: One Bad Model Spoils the Bunch.</w:t>
            </w:r>
          </w:p>
        </w:tc>
        <w:tc>
          <w:tcPr>
            <w:tcW w:w="2520" w:type="dxa"/>
            <w:vAlign w:val="center"/>
          </w:tcPr>
          <w:p w14:paraId="5415686C" w14:textId="77777777" w:rsidR="00742DFA" w:rsidRDefault="00000000">
            <w:r>
              <w:rPr>
                <w:sz w:val="15"/>
              </w:rPr>
              <w:t>Shows merging can propagate misalignment and studies alignment-aware merging.</w:t>
            </w:r>
          </w:p>
        </w:tc>
        <w:tc>
          <w:tcPr>
            <w:tcW w:w="2520" w:type="dxa"/>
            <w:vAlign w:val="center"/>
          </w:tcPr>
          <w:p w14:paraId="5453DF02" w14:textId="77777777" w:rsidR="00742DFA" w:rsidRDefault="00000000">
            <w:r>
              <w:rPr>
                <w:sz w:val="15"/>
              </w:rPr>
              <w:t>https://arxiv.org/abs/2406.14563</w:t>
            </w:r>
          </w:p>
        </w:tc>
      </w:tr>
      <w:tr w:rsidR="00742DFA" w14:paraId="31D47FD5" w14:textId="77777777">
        <w:trPr>
          <w:jc w:val="center"/>
        </w:trPr>
        <w:tc>
          <w:tcPr>
            <w:tcW w:w="2520" w:type="dxa"/>
            <w:vAlign w:val="center"/>
          </w:tcPr>
          <w:p w14:paraId="6854AB74" w14:textId="77777777" w:rsidR="00742DFA" w:rsidRDefault="00000000">
            <w:r>
              <w:rPr>
                <w:sz w:val="15"/>
              </w:rPr>
              <w:t>Lu et al., 2024</w:t>
            </w:r>
          </w:p>
        </w:tc>
        <w:tc>
          <w:tcPr>
            <w:tcW w:w="2520" w:type="dxa"/>
            <w:vAlign w:val="center"/>
          </w:tcPr>
          <w:p w14:paraId="13426EB0" w14:textId="77777777" w:rsidR="00742DFA" w:rsidRDefault="00000000">
            <w:r>
              <w:rPr>
                <w:sz w:val="15"/>
              </w:rPr>
              <w:t>Online Merging Optimizers for Boosting Rewards and Mitigating Tax in Alignment.</w:t>
            </w:r>
          </w:p>
        </w:tc>
        <w:tc>
          <w:tcPr>
            <w:tcW w:w="2520" w:type="dxa"/>
            <w:vAlign w:val="center"/>
          </w:tcPr>
          <w:p w14:paraId="769D1ED7" w14:textId="77777777" w:rsidR="00742DFA" w:rsidRDefault="00000000">
            <w:r>
              <w:rPr>
                <w:sz w:val="15"/>
              </w:rPr>
              <w:t>Connects merging operations with RLHF/DPO optimization dynamics.</w:t>
            </w:r>
          </w:p>
        </w:tc>
        <w:tc>
          <w:tcPr>
            <w:tcW w:w="2520" w:type="dxa"/>
            <w:vAlign w:val="center"/>
          </w:tcPr>
          <w:p w14:paraId="04B51432" w14:textId="77777777" w:rsidR="00742DFA" w:rsidRDefault="00000000">
            <w:r>
              <w:rPr>
                <w:sz w:val="15"/>
              </w:rPr>
              <w:t>https://arxiv.org/abs/2405.17931</w:t>
            </w:r>
          </w:p>
        </w:tc>
      </w:tr>
      <w:tr w:rsidR="00742DFA" w14:paraId="153CD91D" w14:textId="77777777">
        <w:trPr>
          <w:jc w:val="center"/>
        </w:trPr>
        <w:tc>
          <w:tcPr>
            <w:tcW w:w="2520" w:type="dxa"/>
            <w:vAlign w:val="center"/>
          </w:tcPr>
          <w:p w14:paraId="4038D4A9" w14:textId="77777777" w:rsidR="00742DFA" w:rsidRDefault="00000000">
            <w:r>
              <w:rPr>
                <w:sz w:val="15"/>
              </w:rPr>
              <w:t>Corrado et al., 2025</w:t>
            </w:r>
          </w:p>
        </w:tc>
        <w:tc>
          <w:tcPr>
            <w:tcW w:w="2520" w:type="dxa"/>
            <w:vAlign w:val="center"/>
          </w:tcPr>
          <w:p w14:paraId="5F433FC5" w14:textId="77777777" w:rsidR="00742DFA" w:rsidRDefault="00000000">
            <w:r>
              <w:rPr>
                <w:sz w:val="15"/>
              </w:rPr>
              <w:t>AutoMixAlign: Adaptive Data Mixing for Multi-Task Preference Optimization in LLMs.</w:t>
            </w:r>
          </w:p>
        </w:tc>
        <w:tc>
          <w:tcPr>
            <w:tcW w:w="2520" w:type="dxa"/>
            <w:vAlign w:val="center"/>
          </w:tcPr>
          <w:p w14:paraId="31F24361" w14:textId="77777777" w:rsidR="00742DFA" w:rsidRDefault="00000000">
            <w:r>
              <w:rPr>
                <w:sz w:val="15"/>
              </w:rPr>
              <w:t>Preference optimization across multiple tasks; compares against model-merging baselines.</w:t>
            </w:r>
          </w:p>
        </w:tc>
        <w:tc>
          <w:tcPr>
            <w:tcW w:w="2520" w:type="dxa"/>
            <w:vAlign w:val="center"/>
          </w:tcPr>
          <w:p w14:paraId="360FBFC6" w14:textId="77777777" w:rsidR="00742DFA" w:rsidRDefault="00000000">
            <w:r>
              <w:rPr>
                <w:sz w:val="15"/>
              </w:rPr>
              <w:t>https://aclanthology.org/2025.acl-long.990/</w:t>
            </w:r>
          </w:p>
        </w:tc>
      </w:tr>
      <w:tr w:rsidR="00742DFA" w14:paraId="611C5FCE" w14:textId="77777777">
        <w:trPr>
          <w:jc w:val="center"/>
        </w:trPr>
        <w:tc>
          <w:tcPr>
            <w:tcW w:w="2520" w:type="dxa"/>
            <w:vAlign w:val="center"/>
          </w:tcPr>
          <w:p w14:paraId="5A61DA44" w14:textId="77777777" w:rsidR="00742DFA" w:rsidRDefault="00000000">
            <w:r>
              <w:rPr>
                <w:sz w:val="15"/>
              </w:rPr>
              <w:t>Roy et al., 2025</w:t>
            </w:r>
          </w:p>
        </w:tc>
        <w:tc>
          <w:tcPr>
            <w:tcW w:w="2520" w:type="dxa"/>
            <w:vAlign w:val="center"/>
          </w:tcPr>
          <w:p w14:paraId="76FF4D66" w14:textId="77777777" w:rsidR="00742DFA" w:rsidRDefault="00000000">
            <w:r>
              <w:rPr>
                <w:sz w:val="15"/>
              </w:rPr>
              <w:t>AlignMerge: Alignment-Preserving Large Language Model Merging via Fisher-Guided Geometric Constraints.</w:t>
            </w:r>
          </w:p>
        </w:tc>
        <w:tc>
          <w:tcPr>
            <w:tcW w:w="2520" w:type="dxa"/>
            <w:vAlign w:val="center"/>
          </w:tcPr>
          <w:p w14:paraId="3B493512" w14:textId="77777777" w:rsidR="00742DFA" w:rsidRDefault="00000000">
            <w:r>
              <w:rPr>
                <w:sz w:val="15"/>
              </w:rPr>
              <w:t>Explicitly frames alignment preservation as a merging objective.</w:t>
            </w:r>
          </w:p>
        </w:tc>
        <w:tc>
          <w:tcPr>
            <w:tcW w:w="2520" w:type="dxa"/>
            <w:vAlign w:val="center"/>
          </w:tcPr>
          <w:p w14:paraId="0285C67D" w14:textId="77777777" w:rsidR="00742DFA" w:rsidRDefault="00000000">
            <w:r>
              <w:rPr>
                <w:sz w:val="15"/>
              </w:rPr>
              <w:t>https://arxiv.org/abs/2512.16245</w:t>
            </w:r>
          </w:p>
        </w:tc>
      </w:tr>
      <w:tr w:rsidR="00742DFA" w14:paraId="5A3706C2" w14:textId="77777777">
        <w:trPr>
          <w:jc w:val="center"/>
        </w:trPr>
        <w:tc>
          <w:tcPr>
            <w:tcW w:w="2520" w:type="dxa"/>
            <w:vAlign w:val="center"/>
          </w:tcPr>
          <w:p w14:paraId="18945D19" w14:textId="77777777" w:rsidR="00742DFA" w:rsidRDefault="00000000">
            <w:r>
              <w:rPr>
                <w:sz w:val="15"/>
              </w:rPr>
              <w:t>Fu &amp; Xu, 2026</w:t>
            </w:r>
          </w:p>
        </w:tc>
        <w:tc>
          <w:tcPr>
            <w:tcW w:w="2520" w:type="dxa"/>
            <w:vAlign w:val="center"/>
          </w:tcPr>
          <w:p w14:paraId="0EC44AD9" w14:textId="77777777" w:rsidR="00742DFA" w:rsidRDefault="00000000">
            <w:r>
              <w:rPr>
                <w:sz w:val="15"/>
              </w:rPr>
              <w:t>TPMM-DPO: Trajectory-aware Preference-guided Model Merging for Iterative Direct Preference Optimization.</w:t>
            </w:r>
          </w:p>
        </w:tc>
        <w:tc>
          <w:tcPr>
            <w:tcW w:w="2520" w:type="dxa"/>
            <w:vAlign w:val="center"/>
          </w:tcPr>
          <w:p w14:paraId="1B78143E" w14:textId="77777777" w:rsidR="00742DFA" w:rsidRDefault="00000000">
            <w:r>
              <w:rPr>
                <w:sz w:val="15"/>
              </w:rPr>
              <w:t>Uses model merging inside iterative DPO to stabilize reference-model trajectories.</w:t>
            </w:r>
          </w:p>
        </w:tc>
        <w:tc>
          <w:tcPr>
            <w:tcW w:w="2520" w:type="dxa"/>
            <w:vAlign w:val="center"/>
          </w:tcPr>
          <w:p w14:paraId="68AD44D8" w14:textId="77777777" w:rsidR="00742DFA" w:rsidRDefault="00000000">
            <w:r>
              <w:rPr>
                <w:sz w:val="15"/>
              </w:rPr>
              <w:t>https://arxiv.org/abs/2605.23398</w:t>
            </w:r>
          </w:p>
        </w:tc>
      </w:tr>
      <w:tr w:rsidR="00742DFA" w14:paraId="3973001E" w14:textId="77777777">
        <w:trPr>
          <w:jc w:val="center"/>
        </w:trPr>
        <w:tc>
          <w:tcPr>
            <w:tcW w:w="2520" w:type="dxa"/>
            <w:vAlign w:val="center"/>
          </w:tcPr>
          <w:p w14:paraId="0C0B16B9" w14:textId="77777777" w:rsidR="00742DFA" w:rsidRDefault="00000000">
            <w:r>
              <w:rPr>
                <w:sz w:val="15"/>
              </w:rPr>
              <w:t>Zheng et al., 2026</w:t>
            </w:r>
          </w:p>
        </w:tc>
        <w:tc>
          <w:tcPr>
            <w:tcW w:w="2520" w:type="dxa"/>
            <w:vAlign w:val="center"/>
          </w:tcPr>
          <w:p w14:paraId="20736D4F" w14:textId="77777777" w:rsidR="00742DFA" w:rsidRDefault="00000000">
            <w:r>
              <w:rPr>
                <w:sz w:val="15"/>
              </w:rPr>
              <w:t>CoMerge: Conflict-Driven Preference Optimization for Multi-Task Model Merging.</w:t>
            </w:r>
          </w:p>
        </w:tc>
        <w:tc>
          <w:tcPr>
            <w:tcW w:w="2520" w:type="dxa"/>
            <w:vAlign w:val="center"/>
          </w:tcPr>
          <w:p w14:paraId="073528B9" w14:textId="77777777" w:rsidR="00742DFA" w:rsidRDefault="00000000">
            <w:r>
              <w:rPr>
                <w:sz w:val="15"/>
              </w:rPr>
              <w:t>Uses preference optimization to learn/refine merge coefficients from conflict-induced preference pairs.</w:t>
            </w:r>
          </w:p>
        </w:tc>
        <w:tc>
          <w:tcPr>
            <w:tcW w:w="2520" w:type="dxa"/>
            <w:vAlign w:val="center"/>
          </w:tcPr>
          <w:p w14:paraId="1D67FD74" w14:textId="77777777" w:rsidR="00742DFA" w:rsidRDefault="00000000">
            <w:r>
              <w:rPr>
                <w:sz w:val="15"/>
              </w:rPr>
              <w:t>https://arxiv.org/abs/2609.02273</w:t>
            </w:r>
          </w:p>
        </w:tc>
      </w:tr>
    </w:tbl>
    <w:p w14:paraId="552F0669" w14:textId="5909F78D" w:rsidR="00742DFA" w:rsidRDefault="00742DFA" w:rsidP="00094280">
      <w:pPr>
        <w:pStyle w:val="Heading1"/>
        <w:spacing w:after="80" w:line="252" w:lineRule="auto"/>
      </w:pPr>
    </w:p>
    <w:sectPr w:rsidR="00742DFA"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C9E9C6" w14:textId="77777777" w:rsidR="002E0F49" w:rsidRDefault="002E0F49">
      <w:pPr>
        <w:spacing w:after="0" w:line="240" w:lineRule="auto"/>
      </w:pPr>
      <w:r>
        <w:separator/>
      </w:r>
    </w:p>
  </w:endnote>
  <w:endnote w:type="continuationSeparator" w:id="0">
    <w:p w14:paraId="6C7B8EB8" w14:textId="77777777" w:rsidR="002E0F49" w:rsidRDefault="002E0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2F765" w14:textId="2D6CB136" w:rsidR="00742DFA" w:rsidRDefault="00742DF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DB9C28" w14:textId="77777777" w:rsidR="002E0F49" w:rsidRDefault="002E0F49">
      <w:pPr>
        <w:spacing w:after="0" w:line="240" w:lineRule="auto"/>
      </w:pPr>
      <w:r>
        <w:separator/>
      </w:r>
    </w:p>
  </w:footnote>
  <w:footnote w:type="continuationSeparator" w:id="0">
    <w:p w14:paraId="68335502" w14:textId="77777777" w:rsidR="002E0F49" w:rsidRDefault="002E0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4802F" w14:textId="77777777" w:rsidR="00742DFA" w:rsidRDefault="00000000">
    <w:pPr>
      <w:pStyle w:val="Small"/>
      <w:jc w:val="right"/>
    </w:pPr>
    <w:r>
      <w:t>Research Project Plan | Preference Tuning After Model Merging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227080">
    <w:abstractNumId w:val="8"/>
  </w:num>
  <w:num w:numId="2" w16cid:durableId="331178045">
    <w:abstractNumId w:val="6"/>
  </w:num>
  <w:num w:numId="3" w16cid:durableId="469593996">
    <w:abstractNumId w:val="5"/>
  </w:num>
  <w:num w:numId="4" w16cid:durableId="1477995060">
    <w:abstractNumId w:val="4"/>
  </w:num>
  <w:num w:numId="5" w16cid:durableId="148450215">
    <w:abstractNumId w:val="7"/>
  </w:num>
  <w:num w:numId="6" w16cid:durableId="921648233">
    <w:abstractNumId w:val="3"/>
  </w:num>
  <w:num w:numId="7" w16cid:durableId="1923224179">
    <w:abstractNumId w:val="2"/>
  </w:num>
  <w:num w:numId="8" w16cid:durableId="1487935885">
    <w:abstractNumId w:val="1"/>
  </w:num>
  <w:num w:numId="9" w16cid:durableId="954630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280"/>
    <w:rsid w:val="0015074B"/>
    <w:rsid w:val="0029639D"/>
    <w:rsid w:val="002E0F49"/>
    <w:rsid w:val="00326F90"/>
    <w:rsid w:val="00737496"/>
    <w:rsid w:val="00742D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CC50F"/>
  <w14:defaultImageDpi w14:val="300"/>
  <w15:docId w15:val="{4D76E0D2-2C26-0944-9D81-DABB64B0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Aptos" w:hAnsi="Aptos"/>
      <w:color w:val="334155"/>
      <w:sz w:val="24"/>
    </w:rPr>
  </w:style>
  <w:style w:type="paragraph" w:customStyle="1" w:styleId="Small">
    <w:name w:val="Small"/>
    <w:rPr>
      <w:rFonts w:ascii="Aptos" w:hAnsi="Aptos"/>
      <w:color w:val="475569"/>
      <w:sz w:val="17"/>
    </w:rPr>
  </w:style>
  <w:style w:type="paragraph" w:customStyle="1" w:styleId="Callout">
    <w:name w:val="Callout"/>
    <w:rPr>
      <w:rFonts w:ascii="Aptos" w:hAnsi="Aptos"/>
      <w:color w:val="0F172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3492</Words>
  <Characters>19908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Mishra</cp:lastModifiedBy>
  <cp:revision>2</cp:revision>
  <dcterms:created xsi:type="dcterms:W3CDTF">2013-12-23T23:15:00Z</dcterms:created>
  <dcterms:modified xsi:type="dcterms:W3CDTF">2026-09-28T15:07:00Z</dcterms:modified>
  <cp:category/>
</cp:coreProperties>
</file>