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Cow-Dung → Compressed Biogas (CBG) in India</w:t>
      </w:r>
    </w:p>
    <w:p>
      <w:r>
        <w:rPr>
          <w:i/>
        </w:rPr>
        <w:t>A decision-grade techno-economic, policy and strategic evaluation for a North-India FMCG / beverage capital allocator (10–15 year horizon).</w:t>
      </w:r>
    </w:p>
    <w:p>
      <w:r>
        <w:rPr>
          <w:i w:val="0"/>
          <w:sz w:val="17"/>
        </w:rPr>
        <w:t xml:space="preserve">Prepared 2026-05-31. All material claims tagged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 / </w:t>
      </w:r>
      <w:r>
        <w:rPr>
          <w:b/>
          <w:color w:val="B76E00"/>
          <w:sz w:val="17"/>
        </w:rPr>
        <w:t>[INFERENCE]</w:t>
      </w:r>
      <w:r>
        <w:rPr>
          <w:i w:val="0"/>
        </w:rPr>
        <w:t xml:space="preserve"> / </w:t>
      </w:r>
      <w:r>
        <w:rPr>
          <w:b/>
          <w:color w:val="1565C0"/>
          <w:sz w:val="17"/>
        </w:rPr>
        <w:t>[OPINION]</w:t>
      </w:r>
      <w:r>
        <w:rPr>
          <w:i w:val="0"/>
        </w:rPr>
        <w:t>. Indian notation (₹, lakh, crore). Figures from the committed model engine (model/cbg_model.py) and research in sources/citations.md.</w:t>
      </w:r>
    </w:p>
    <w:p>
      <w:r>
        <w:rPr>
          <w:i w:val="0"/>
        </w:rPr>
        <w:t>CAVEAT ON RECENCY: policy and prices moved hard in the 18 months to this date. Web research indexes to ~early-mid 2026; items not re-confirmable for the current quarter are in the 'could-not-reconfirm' list. Verify live before committing capital.</w:t>
      </w:r>
    </w:p>
    <w:p>
      <w:pPr>
        <w:pStyle w:val="Heading1"/>
      </w:pPr>
      <w:r>
        <w:t>Executive Verdict</w:t>
      </w:r>
    </w:p>
    <w:p>
      <w:r>
        <w:rPr>
          <w:i w:val="0"/>
        </w:rPr>
        <w:t xml:space="preserve">A cow-dung→CBG plant built </w:t>
      </w:r>
      <w:r>
        <w:rPr>
          <w:b/>
        </w:rPr>
        <w:t>to sell gas</w:t>
      </w:r>
      <w:r>
        <w:rPr>
          <w:i w:val="0"/>
        </w:rPr>
        <w:t xml:space="preserve"> (SATAT injection or cylinder bottling) is a </w:t>
      </w:r>
      <w:r>
        <w:rPr>
          <w:b/>
        </w:rPr>
        <w:t>NO-GO / at best a narrow CONDITIONAL-GO</w:t>
      </w:r>
      <w:r>
        <w:rPr>
          <w:i w:val="0"/>
        </w:rPr>
        <w:t xml:space="preserve"> for this reader: subsidy-dependent, feedstock-squeezed, no contractual demand security, below the 20% hurdle even in the base case, with a </w:t>
      </w:r>
      <w:r>
        <w:rPr>
          <w:b/>
        </w:rPr>
        <w:t>~51% modelled probability of losing money</w:t>
      </w:r>
      <w:r>
        <w:rPr>
          <w:i w:val="0"/>
        </w:rPr>
        <w:t xml:space="preserve"> </w:t>
      </w:r>
      <w:r>
        <w:rPr>
          <w:b/>
          <w:color w:val="B76E00"/>
          <w:sz w:val="17"/>
        </w:rPr>
        <w:t>[INFERENCE]</w:t>
      </w:r>
      <w:r>
        <w:rPr>
          <w:i w:val="0"/>
        </w:rPr>
        <w:t xml:space="preserve">. The only version worth diligence is </w:t>
      </w:r>
      <w:r>
        <w:rPr>
          <w:b/>
        </w:rPr>
        <w:t>captive displacement (M3) at the reader's own beverage plant</w:t>
      </w:r>
      <w:r>
        <w:rPr>
          <w:i w:val="0"/>
        </w:rPr>
        <w:t xml:space="preserve"> — and that is an infrastructure / energy-cost-hedge, not a growth bet.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Base equity IRR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Core reason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 SATAT injection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NO-GO (cond. only ≥10–15 TPD w/ CGD take-or-pay)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12.6%, NPV≈0, DSCR 0.86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take-or-pay; CBO is aggregate not gate; dung-infeasible at scale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M2 bottled cascade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NO-GO (unconditional)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deeply negative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2–5× capex + 250-bar compression + cascade logistics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M3 captive displacement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CONDITIONAL-GO (investigate)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swings on real avoided-fuel price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avoids OMC monopsony, offtake risk, logistics</w:t>
            </w:r>
          </w:p>
        </w:tc>
      </w:tr>
    </w:tbl>
    <w:p/>
    <w:p>
      <w:r>
        <w:rPr>
          <w:b/>
        </w:rPr>
        <w:t>Single biggest reason to walk away:</w:t>
      </w:r>
      <w:r>
        <w:rPr>
          <w:i w:val="0"/>
        </w:rPr>
        <w:t xml:space="preserve"> no demand security + structurally squeezed margin. </w:t>
      </w:r>
      <w:r>
        <w:rPr>
          <w:b/>
        </w:rPr>
        <w:t>Single condition that flips it (M3 only):</w:t>
      </w:r>
      <w:r>
        <w:rPr>
          <w:i w:val="0"/>
        </w:rPr>
        <w:t xml:space="preserve"> the beverage plant's avoided PNG/LPG/furnace-oil spend is large enough that a right-sized captive digester on cheap (&lt;₹1,200/t, &lt;15 km) dung/co-substrate pays back in &lt; 5 years. </w:t>
      </w:r>
      <w:r>
        <w:rPr>
          <w:b/>
        </w:rPr>
        <w:t>Opportunity cost:</w:t>
      </w:r>
      <w:r>
        <w:rPr>
          <w:i w:val="0"/>
        </w:rPr>
        <w:t xml:space="preserve"> ~7% modelled chance of beating the reader's 20% hurdle — capital earns more, more safely, in the existing playbook.</w:t>
      </w:r>
    </w:p>
    <w:p>
      <w:pPr>
        <w:pStyle w:val="Heading1"/>
      </w:pPr>
      <w:r>
        <w:t>1. Scope &amp; framing — three businesses, not one</w:t>
      </w:r>
    </w:p>
    <w:p>
      <w:r>
        <w:rPr>
          <w:i w:val="0"/>
        </w:rPr>
        <w:t>"Bottling and sale" of biogas hides three structurally different businesses (see ADR-001). They are modelled and judged separately:</w:t>
      </w:r>
    </w:p>
    <w:p>
      <w:pPr>
        <w:pStyle w:val="ListBullet"/>
      </w:pPr>
      <w:r>
        <w:rPr>
          <w:b/>
        </w:rPr>
        <w:t>M1 — CGD pipeline injection (SATAT):</w:t>
      </w:r>
      <w:r>
        <w:rPr>
          <w:i w:val="0"/>
        </w:rPr>
        <w:t xml:space="preserve"> upgrade to &gt;90% CH₄, sell to OMC/CGD. Volume path; near-monopsony buyer; </w:t>
      </w:r>
      <w:r>
        <w:rPr>
          <w:b/>
        </w:rPr>
        <w:t>no take-or-pay</w:t>
      </w:r>
      <w:r>
        <w:rPr>
          <w:i w:val="0"/>
        </w:rPr>
        <w:t xml:space="preserve">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pPr>
        <w:pStyle w:val="ListBullet"/>
      </w:pPr>
      <w:r>
        <w:rPr>
          <w:b/>
        </w:rPr>
        <w:t>M2 — Bottled / cascade CBG:</w:t>
      </w:r>
      <w:r>
        <w:rPr>
          <w:i w:val="0"/>
        </w:rPr>
        <w:t xml:space="preserve"> fill high-pressure cascades, truck to off-grid users. Logistics-heavy; PESO-regulated; avoids OMC dependence.</w:t>
      </w:r>
    </w:p>
    <w:p>
      <w:pPr>
        <w:pStyle w:val="ListBullet"/>
      </w:pPr>
      <w:r>
        <w:rPr>
          <w:b/>
        </w:rPr>
        <w:t>M3 — Captive displacement:</w:t>
      </w:r>
      <w:r>
        <w:rPr>
          <w:i w:val="0"/>
        </w:rPr>
        <w:t xml:space="preserve"> burn CBG at the reader's beverage plant; value = avoided fuel cost, not a sale.</w:t>
      </w:r>
    </w:p>
    <w:p>
      <w:r>
        <w:rPr>
          <w:i w:val="0"/>
        </w:rPr>
        <w:t xml:space="preserve">Feedstock sub-axis kept explicit: </w:t>
      </w:r>
      <w:r>
        <w:rPr>
          <w:b/>
        </w:rPr>
        <w:t>dung-only</w:t>
      </w:r>
      <w:r>
        <w:rPr>
          <w:i w:val="0"/>
        </w:rPr>
        <w:t xml:space="preserve"> (low yield, ~15 kg CBG/t) vs </w:t>
      </w:r>
      <w:r>
        <w:rPr>
          <w:b/>
        </w:rPr>
        <w:t>dung-anchored co-digestion</w:t>
      </w:r>
      <w:r>
        <w:rPr>
          <w:i w:val="0"/>
        </w:rPr>
        <w:t xml:space="preserve"> (press mud / napier / mandi waste) — different risk profiles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pPr>
        <w:pStyle w:val="Heading1"/>
      </w:pPr>
      <w:r>
        <w:t>Lens 1 — Policy &amp; Regulatory</w:t>
      </w:r>
    </w:p>
    <w:p>
      <w:r>
        <w:rPr>
          <w:b/>
        </w:rPr>
        <w:t>SATAT</w:t>
      </w:r>
      <w:r>
        <w:rPr>
          <w:i w:val="0"/>
        </w:rPr>
        <w:t xml:space="preserve"> offtake agreements run </w:t>
      </w:r>
      <w:r>
        <w:rPr>
          <w:b/>
        </w:rPr>
        <w:t>15 years</w:t>
      </w:r>
      <w:r>
        <w:rPr>
          <w:i w:val="0"/>
        </w:rPr>
        <w:t xml:space="preserve"> (the '5-year' claim is a blog error) but carry </w:t>
      </w:r>
      <w:r>
        <w:rPr>
          <w:b/>
        </w:rPr>
        <w:t>no take-or-pay</w:t>
      </w:r>
      <w:r>
        <w:rPr>
          <w:i w:val="0"/>
        </w:rPr>
        <w:t xml:space="preserve">: OMCs 'shall try to off-take… actual off-take shall entirely depend on the actual quantity produced' [FACT, IOCL FAQ]. </w:t>
      </w:r>
      <w:r>
        <w:rPr>
          <w:b/>
        </w:rPr>
        <w:t>Price</w:t>
      </w:r>
      <w:r>
        <w:rPr>
          <w:i w:val="0"/>
        </w:rPr>
        <w:t xml:space="preserve"> is </w:t>
      </w:r>
      <w:r>
        <w:rPr>
          <w:b/>
        </w:rPr>
        <w:t>~₹77.4/kg ex-GST (₹1,478/MMBTU, Jun 2025)</w:t>
      </w:r>
      <w:r>
        <w:rPr>
          <w:i w:val="0"/>
        </w:rPr>
        <w:t xml:space="preserve">, set at </w:t>
      </w:r>
      <w:r>
        <w:rPr>
          <w:b/>
        </w:rPr>
        <w:t>85% of average CNG retail — CNG-linked, no floor</w:t>
      </w:r>
      <w:r>
        <w:rPr>
          <w:i w:val="0"/>
        </w:rPr>
        <w:t xml:space="preserve">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The industry is lobbying for a fixed ₹90/kg, itself a margin-stress signal </w:t>
      </w:r>
      <w:r>
        <w:rPr>
          <w:b/>
          <w:color w:val="1565C0"/>
          <w:sz w:val="17"/>
        </w:rPr>
        <w:t>[O]</w:t>
      </w:r>
      <w:r>
        <w:rPr>
          <w:i w:val="0"/>
        </w:rPr>
        <w:t>.</w:t>
      </w:r>
    </w:p>
    <w:p>
      <w:r>
        <w:rPr>
          <w:i w:val="0"/>
        </w:rPr>
        <w:t xml:space="preserve">The </w:t>
      </w:r>
      <w:r>
        <w:rPr>
          <w:b/>
        </w:rPr>
        <w:t>CBO mandatory blending mandate</w:t>
      </w:r>
      <w:r>
        <w:rPr>
          <w:i w:val="0"/>
        </w:rPr>
        <w:t xml:space="preserve"> (1%→3%→4%→5%, FY25-26→FY28-29) is an obligation on </w:t>
      </w:r>
      <w:r>
        <w:rPr>
          <w:b/>
        </w:rPr>
        <w:t>CGD entities at the national-aggregate level via a Central Repository Body — it does NOT convert into enforced offtake at an individual plant's gate</w:t>
      </w:r>
      <w:r>
        <w:rPr>
          <w:i w:val="0"/>
        </w:rPr>
        <w:t xml:space="preserve"> [FACT/INFERENCE]. This single distinction is the crux: the policy stack creates aggregate demand *pull* but </w:t>
      </w:r>
      <w:r>
        <w:rPr>
          <w:b/>
        </w:rPr>
        <w:t>zero contractual demand security</w:t>
      </w:r>
      <w:r>
        <w:rPr>
          <w:i w:val="0"/>
        </w:rPr>
        <w:t xml:space="preserve"> for one plant.</w:t>
      </w:r>
    </w:p>
    <w:p>
      <w:r>
        <w:rPr>
          <w:b/>
        </w:rPr>
        <w:t>Subsidy:</w:t>
      </w:r>
      <w:r>
        <w:rPr>
          <w:i w:val="0"/>
        </w:rPr>
        <w:t xml:space="preserve"> MNRE CFA up to ₹4 cr per 4,800 kg/day (cap ₹10 cr); the </w:t>
      </w:r>
      <w:r>
        <w:rPr>
          <w:b/>
        </w:rPr>
        <w:t>DPI pipeline scheme (₹994.5 cr)</w:t>
      </w:r>
      <w:r>
        <w:rPr>
          <w:i w:val="0"/>
        </w:rPr>
        <w:t xml:space="preserve"> funds CGD tie-in (~₹9.95 cr/project) </w:t>
      </w:r>
      <w:r>
        <w:rPr>
          <w:b/>
        </w:rPr>
        <w:t>but requires a Gas Supply Agreement with the CGD carrying ≥50% take-or-pay</w:t>
      </w:r>
      <w:r>
        <w:rPr>
          <w:i w:val="0"/>
        </w:rPr>
        <w:t xml:space="preserve"> — the *only* take-or-pay anywhere, and one you must negotiate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Punjab has </w:t>
      </w:r>
      <w:r>
        <w:rPr>
          <w:b/>
        </w:rPr>
        <w:t>no dedicated CBG policy</w:t>
      </w:r>
      <w:r>
        <w:rPr>
          <w:i w:val="0"/>
        </w:rPr>
        <w:t xml:space="preserve"> as of mid-2025; only generic IBDP-2022 incentives [FACT — verify PEDA].</w:t>
      </w:r>
    </w:p>
    <w:p>
      <w:r>
        <w:rPr>
          <w:b/>
        </w:rPr>
        <w:t>FOM/digestate:</w:t>
      </w:r>
      <w:r>
        <w:rPr>
          <w:i w:val="0"/>
        </w:rPr>
        <w:t xml:space="preserve"> MDA ₹1,500/t exists and FOM is now in the Fertiliser Control Order, but offtake is immature (~120 plants registered, ~44 MoUs as of Mar 2026)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</w:t>
      </w:r>
      <w:r>
        <w:rPr>
          <w:b/>
        </w:rPr>
        <w:t>Carbon (CCTS):</w:t>
      </w:r>
      <w:r>
        <w:rPr>
          <w:i w:val="0"/>
        </w:rPr>
        <w:t xml:space="preserve"> CBG is an approved sector but trading is not live (~late-2026 go-live); ₹600–900/tCO₂e is a forecast, not a cleared price — </w:t>
      </w:r>
      <w:r>
        <w:rPr>
          <w:b/>
        </w:rPr>
        <w:t>SPECULATIVE, exclude from base</w:t>
      </w:r>
      <w:r>
        <w:rPr>
          <w:i w:val="0"/>
        </w:rPr>
        <w:t xml:space="preserve"> </w:t>
      </w:r>
      <w:r>
        <w:rPr>
          <w:b/>
          <w:color w:val="1565C0"/>
          <w:sz w:val="17"/>
        </w:rPr>
        <w:t>[O]</w:t>
      </w:r>
      <w:r>
        <w:rPr>
          <w:i w:val="0"/>
        </w:rPr>
        <w:t>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Policy gives demand *pull*, not demand *security* — model offtake risk as real and uninsurable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>The only bankable take-or-pay is a CGD GSA you negotiate (M1, ≥2 TPD) — make it a precondition, not an assumption.</w:t>
      </w:r>
    </w:p>
    <w:p>
      <w:pPr>
        <w:pStyle w:val="ListBullet"/>
      </w:pPr>
      <w:r>
        <w:rPr>
          <w:i w:val="0"/>
        </w:rPr>
        <w:t>FOM is upside and carbon is optionality — neither belongs in the base case.</w:t>
      </w:r>
    </w:p>
    <w:p>
      <w:pPr>
        <w:pStyle w:val="Heading1"/>
      </w:pPr>
      <w:r>
        <w:t>Lens 2 — Feedstock economics (the make-or-break lens)</w:t>
      </w:r>
    </w:p>
    <w:p>
      <w:r>
        <w:rPr>
          <w:i w:val="0"/>
        </w:rPr>
        <w:t xml:space="preserve">Collectable dung is </w:t>
      </w:r>
      <w:r>
        <w:rPr>
          <w:b/>
        </w:rPr>
        <w:t>~5 kg/animal/day</w:t>
      </w:r>
      <w:r>
        <w:rPr>
          <w:i w:val="0"/>
        </w:rPr>
        <w:t xml:space="preserve"> in a dairy-anchored setting (gross output ~9–10 kg, but 30–60% is dropped grazing or used as cakes)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Wet dung's economical </w:t>
      </w:r>
      <w:r>
        <w:rPr>
          <w:b/>
        </w:rPr>
        <w:t>collection radius is &lt;10–15 km</w:t>
      </w:r>
      <w:r>
        <w:rPr>
          <w:i w:val="0"/>
        </w:rPr>
        <w:t xml:space="preserve">, with ~4× requirement needed in-radius for security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r>
        <w:rPr>
          <w:b/>
        </w:rPr>
        <w:t>The margin vise:</w:t>
      </w:r>
      <w:r>
        <w:rPr>
          <w:i w:val="0"/>
        </w:rPr>
        <w:t xml:space="preserve"> SATAT demand has bid feedstock up — press mud went </w:t>
      </w:r>
      <w:r>
        <w:rPr>
          <w:b/>
        </w:rPr>
        <w:t>₹100→₹500–600/t in ~2 years</w:t>
      </w:r>
      <w:r>
        <w:rPr>
          <w:i w:val="0"/>
        </w:rPr>
        <w:t xml:space="preserve">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; NDDB anchors dung at </w:t>
      </w:r>
      <w:r>
        <w:rPr>
          <w:b/>
        </w:rPr>
        <w:t>₹1/kg</w:t>
      </w:r>
      <w:r>
        <w:rPr>
          <w:i w:val="0"/>
        </w:rPr>
        <w:t xml:space="preserve">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After the ₹77/kg base rate, only </w:t>
      </w:r>
      <w:r>
        <w:rPr>
          <w:b/>
        </w:rPr>
        <w:t>~₹500–700 is left per tonne of dung</w:t>
      </w:r>
      <w:r>
        <w:rPr>
          <w:i w:val="0"/>
        </w:rPr>
        <w:t xml:space="preserve"> to cover feedstock + debt + profit, so </w:t>
      </w:r>
      <w:r>
        <w:rPr>
          <w:b/>
        </w:rPr>
        <w:t>dung past ~₹1,000–1,500/t erases viability</w:t>
      </w:r>
      <w:r>
        <w:rPr>
          <w:i w:val="0"/>
        </w:rPr>
        <w:t xml:space="preserve"> [FACT/INFERENCE]. Co-digestion (cheap press mud at ₹550/t, 40 kg CBG/t) lifts economics — but press mud is </w:t>
      </w:r>
      <w:r>
        <w:rPr>
          <w:b/>
        </w:rPr>
        <w:t>seasonal (sugar crush Oct–Apr)</w:t>
      </w:r>
      <w:r>
        <w:rPr>
          <w:i w:val="0"/>
        </w:rPr>
        <w:t xml:space="preserve"> and its own price is spiralling.</w:t>
      </w:r>
    </w:p>
    <w:p>
      <w:r>
        <w:rPr>
          <w:b/>
        </w:rPr>
        <w:t>Yield discipline:</w:t>
      </w:r>
      <w:r>
        <w:rPr>
          <w:i w:val="0"/>
        </w:rPr>
        <w:t xml:space="preserve"> dung gives ~25–40 m³ biogas/t, ~60% CH₄, reconciling to </w:t>
      </w:r>
      <w:r>
        <w:rPr>
          <w:b/>
        </w:rPr>
        <w:t>~15 kg CBG/t fresh</w:t>
      </w:r>
      <w:r>
        <w:rPr>
          <w:i w:val="0"/>
        </w:rPr>
        <w:t xml:space="preserve"> (the widely-cited '16–20 kg/MT per IS 16087' is industry shorthand — IS 16087 is a gas-quality spec, not a yield norm) </w:t>
      </w:r>
      <w:r>
        <w:rPr>
          <w:b/>
          <w:color w:val="B76E00"/>
          <w:sz w:val="17"/>
        </w:rPr>
        <w:t>[INFERENCE]</w:t>
      </w:r>
      <w:r>
        <w:rPr>
          <w:i w:val="0"/>
        </w:rPr>
        <w:t xml:space="preserve">. Promoter claims of 0.45 m³ CH₄/kg dung are ~10× too high on a fresh-weight basis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Feedstock price (D1) is the #1 sensitivity; the business must outbid dung's existing manure/cake value floor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Dung-only cannot reach viable scale (see Lens 3 infeasibility); co-digestion is mandatory, which dilutes the 'cow-dung business' premise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Logistics, not capex, is the binding constraint — site within a dairy cluster or don't build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Heading1"/>
      </w:pPr>
      <w:r>
        <w:t>Lens 3 — Techno-economic model</w:t>
      </w:r>
    </w:p>
    <w:p>
      <w:r>
        <w:rPr>
          <w:i w:val="0"/>
        </w:rPr>
        <w:t xml:space="preserve">A parameterised 15-year model (model/cbg_model.py; all assumptions in drivers.py) covers </w:t>
      </w:r>
      <w:r>
        <w:rPr>
          <w:b/>
        </w:rPr>
        <w:t>5 CBG scales × 3 models</w:t>
      </w:r>
      <w:r>
        <w:rPr>
          <w:i w:val="0"/>
        </w:rPr>
        <w:t xml:space="preserve">. Capex intensity ~₹40–50k/(kg·day) (5 TPD ≈ ₹22–25 cr — the prompt's ₹16 cr is ~30–45% low; a T1 parliamentary cross-check lands ~₹25 cr)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Upgrading default = </w:t>
      </w:r>
      <w:r>
        <w:rPr>
          <w:b/>
        </w:rPr>
        <w:t>membrane</w:t>
      </w:r>
      <w:r>
        <w:rPr>
          <w:i w:val="0"/>
        </w:rPr>
        <w:t xml:space="preserve"> (lowest capex/parasitic at small-mid scale)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Base PLF </w:t>
      </w:r>
      <w:r>
        <w:rPr>
          <w:b/>
        </w:rPr>
        <w:t>50%</w:t>
      </w:r>
      <w:r>
        <w:rPr>
          <w:i w:val="0"/>
        </w:rPr>
        <w:t xml:space="preserve"> (Indian plants run 20–60% vs 80%+ in Europe) </w:t>
      </w:r>
      <w:r>
        <w:rPr>
          <w:b/>
          <w:color w:val="2E7D32"/>
          <w:sz w:val="17"/>
        </w:rPr>
        <w:t>[FACT]</w:t>
      </w:r>
      <w:r>
        <w:rPr>
          <w:i w:val="0"/>
        </w:rPr>
        <w:t>. D:E 75:25, debt 10.5%, subsidy capped at 30% of gross (DPI off in base). Net-salary-style closure and unit checks pass the self-test.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Net capex ₹cr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Proj IRR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Eq IRR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NPV ₹cr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Min DSCR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Dung feasible?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0.4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 injection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1.92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0.3%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-0.63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0.58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0.4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 bottled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6.42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-23.1%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-53.2%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-6.79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0.4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 captive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1.92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-4.3%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-14.1%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-1.30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0.27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 injection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7.33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12.6%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-0.13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 bottled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-16.9%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-37.6%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-24.84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 captive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7.33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-5.2%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-3.46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 injection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18.33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12.6%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 bottled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63.33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-16.9%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-37.6%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-62.11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 captive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18.33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-5.2%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-8.66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10.0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 injection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36.67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12.6%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-0.66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10.0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 bottled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126.67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-16.9%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-37.6%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-124.22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10.0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 captive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36.67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-5.2%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-17.32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M1 injection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57.50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9.4%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11.0%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-3.18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M2 bottled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192.50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-16.8%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-37.7%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-188.51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15.0 TPD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M3 captive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57.50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-6.0%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-28.17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Dung-availability constraint</w:t>
      </w:r>
      <w:r>
        <w:rPr>
          <w:i w:val="0"/>
        </w:rPr>
        <w:t xml:space="preserve"> (default 50% dung mix): a 5 TPD plant needs ~73,000 cattle within a 15 km radius (≈57,000 available) — </w:t>
      </w:r>
      <w:r>
        <w:rPr>
          <w:b/>
        </w:rPr>
        <w:t>infeasible at ≥5 TPD</w:t>
      </w:r>
      <w:r>
        <w:rPr>
          <w:i w:val="0"/>
        </w:rPr>
        <w:t xml:space="preserve"> </w:t>
      </w:r>
      <w:r>
        <w:rPr>
          <w:b/>
          <w:color w:val="B76E00"/>
          <w:sz w:val="17"/>
        </w:rPr>
        <w:t>[INFERENCE]</w:t>
      </w:r>
      <w:r>
        <w:rPr>
          <w:i w:val="0"/>
        </w:rPr>
        <w:t>. The economics-need-scale vs can't-source-dung-at-scale vise is the model's central structural finding.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Feed/day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Dung/day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Cattle needed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Cattle in 15km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0.4 TPD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5,818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56,549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FEASIBLE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2.0 TPD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36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29,091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56,549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FEASIBLE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5.0 TPD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182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91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72,727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56,549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INFEASIBLE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10.0 TPD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364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182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145,455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56,549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INFEASIBLE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15.0 TPD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545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273 t/d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218,182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56,549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INFEASIBLE</w:t>
            </w:r>
          </w:p>
        </w:tc>
      </w:tr>
    </w:tbl>
    <w:p/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At base assumptions, M1 returns only ~10% project / 12.6% equity IRR with DSCR 0.86 — below WACC-NPV and below the bank's 1.2 DSCR floor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M2 (bottled) is deeply negative at every scale; M3 (captive) ~1% at generic avoided-fuel price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The only scales that are even marginally economic (≥5 TPD) are dung-infeasible — forcing co-digestion or import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Heading1"/>
      </w:pPr>
      <w:r>
        <w:t>Lens 4 — Sensitivity, scenario &amp; Monte-Carlo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Project IRR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Equity IRR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NPV ₹cr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Min DSCR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Tailwind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66.6%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22.02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10.1%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-0.33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Stress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-15.8%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-33.8%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-17.76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0.06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4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i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Tornado:</w:t>
      </w:r>
      <w:r>
        <w:rPr>
          <w:i w:val="0"/>
        </w:rPr>
        <w:t xml:space="preserve"> equity-IRR swing ranks </w:t>
      </w:r>
      <w:r>
        <w:rPr>
          <w:b/>
        </w:rPr>
        <w:t>PLF &gt; feedstock price &gt; CBG price &gt; capex &gt; FOM &gt; subsidy &gt; cost of debt</w:t>
      </w:r>
      <w:r>
        <w:rPr>
          <w:i w:val="0"/>
        </w:rPr>
        <w:t xml:space="preserve"> — confirming D6/D1/D4/D5 as the dominant drivers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i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Monte-Carlo (5,000 draws)</w:t>
      </w:r>
      <w:r>
        <w:rPr>
          <w:i w:val="0"/>
        </w:rPr>
        <w:t xml:space="preserve"> on the top drivers: </w:t>
      </w:r>
      <w:r>
        <w:rPr>
          <w:b/>
        </w:rPr>
        <w:t>P10 -15.8%, P50 -0.3%, P90 17.3%</w:t>
      </w:r>
      <w:r>
        <w:rPr>
          <w:i w:val="0"/>
        </w:rPr>
        <w:t xml:space="preserve">. </w:t>
      </w:r>
      <w:r>
        <w:rPr>
          <w:b/>
        </w:rPr>
        <w:t>P(IRR&gt;WACC)=21%, P(IRR&gt;20% hurdle)=7%, P(IRR&lt;0)=51%</w:t>
      </w:r>
      <w:r>
        <w:rPr>
          <w:i w:val="0"/>
        </w:rPr>
        <w:t xml:space="preserve"> </w:t>
      </w:r>
      <w:r>
        <w:rPr>
          <w:b/>
          <w:color w:val="B76E00"/>
          <w:sz w:val="17"/>
        </w:rPr>
        <w:t>[INFERENCE]</w:t>
      </w:r>
      <w:r>
        <w:rPr>
          <w:i w:val="0"/>
        </w:rPr>
        <w:t>. A coin-flip-to-lose-money proposition that clears the reader's hurdle 7% of the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carlo_i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Breakeven frontier:</w:t>
      </w:r>
      <w:r>
        <w:rPr>
          <w:i w:val="0"/>
        </w:rPr>
        <w:t xml:space="preserve"> even the favourable corner (cheap dung ₹800/t, high CBG ₹95/kg) only reaches ~21% project IRR; the base point (₹1,250/₹77) sits at WACC. Most of the plausible feedstock×price space is sub-WACC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2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even_fron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Only a full policy-tailwind stack (PLF .70 + DPI + FOM clears + ₹85 + cheap dung) clears 20%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The base case sits AT WACC with NPV≈0 — no margin of safety; the stress case is a wipeout (-34% equity IRR)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7% probability of beating the hurdle is the decisive number for a 20%-mandate allocator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Heading1"/>
      </w:pPr>
      <w:r>
        <w:t>Lens 5 — Competitive / strategic structure</w:t>
      </w:r>
    </w:p>
    <w:p>
      <w:r>
        <w:rPr>
          <w:i w:val="0"/>
        </w:rPr>
        <w:t xml:space="preserve">SATAT targeted 5,000 plants by 2023-24; </w:t>
      </w:r>
      <w:r>
        <w:rPr>
          <w:b/>
        </w:rPr>
        <w:t>~108–132 are commissioned — a ~97% shortfall</w:t>
      </w:r>
      <w:r>
        <w:rPr>
          <w:i w:val="0"/>
        </w:rPr>
        <w:t xml:space="preserve">, ~920 TPD output, with 1,094 LoIs that never became plants (~10% conversion) </w:t>
      </w:r>
      <w:r>
        <w:rPr>
          <w:b/>
          <w:color w:val="2E7D32"/>
          <w:sz w:val="17"/>
        </w:rPr>
        <w:t>[FACT]</w:t>
      </w:r>
      <w:r>
        <w:rPr>
          <w:i w:val="0"/>
        </w:rPr>
        <w:t>. Failure modes, ranked: feedstock-cost squeeze &gt; low PLF &gt; FOM non-clearance &gt; OMC offtake delays &gt; financing gaps [FACT/INFERENCE].</w:t>
      </w:r>
    </w:p>
    <w:p>
      <w:r>
        <w:rPr>
          <w:b/>
        </w:rPr>
        <w:t>Margin capture:</w:t>
      </w:r>
      <w:r>
        <w:rPr>
          <w:i w:val="0"/>
        </w:rPr>
        <w:t xml:space="preserve"> the plant operator is the </w:t>
      </w:r>
      <w:r>
        <w:rPr>
          <w:b/>
        </w:rPr>
        <w:t>squeezed middle</w:t>
      </w:r>
      <w:r>
        <w:rPr>
          <w:i w:val="0"/>
        </w:rPr>
        <w:t xml:space="preserve"> — between feedstock aggregators with pricing power in scarcity and an OMC monopsony paying an administered price. The clearer winners are feedstock aggregators and EPC/subsidy-capture players who earn on the build regardless of PLF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r>
        <w:rPr>
          <w:b/>
        </w:rPr>
        <w:t>Exit:</w:t>
      </w:r>
      <w:r>
        <w:rPr>
          <w:i w:val="0"/>
        </w:rPr>
        <w:t xml:space="preserve"> unlike a pure orphan asset, a live acquirer market exists — EverEnviro, GPS/ARYA ONE ($400M platform, Sojitz minority stake), Adani, Reliance, OMC JVs (IGRPL raised ₹836 cr) — </w:t>
      </w:r>
      <w:r>
        <w:rPr>
          <w:b/>
        </w:rPr>
        <w:t>but value concentrates in platforms, not single sub-scale plants</w:t>
      </w:r>
      <w:r>
        <w:rPr>
          <w:i w:val="0"/>
        </w:rPr>
        <w:t>, and no public plant EV/EBITDA multiple was disclosed [FACT/INFERENCE].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As a single sub-scale plant you are the squeezed middle and a price-taker to a monopsony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There is an exit, but only for platform-scale, high-PLF portfolios — not a one-off dung plant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Late entry into a 'mandated-demand' market that 97% of intended builders never entered is a warning, not an opportunity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Heading1"/>
      </w:pPr>
      <w:r>
        <w:t>Lens 6 — Long-term viability &amp; macro (10–15 yr)</w:t>
      </w:r>
    </w:p>
    <w:p>
      <w:r>
        <w:rPr>
          <w:i w:val="0"/>
        </w:rPr>
        <w:t xml:space="preserve">CNG-transport demand is still growing near-term (&gt;1M CNG cars FY26) but faces structural EV erosion in the 10–15 yr tail (EV target 30% of sales by 2030); </w:t>
      </w:r>
      <w:r>
        <w:rPr>
          <w:b/>
        </w:rPr>
        <w:t>PNG-domestic is the more durable CBG sink</w:t>
      </w:r>
      <w:r>
        <w:rPr>
          <w:i w:val="0"/>
        </w:rPr>
        <w:t xml:space="preserve"> [FACT/INFERENCE]. India's gas import dependence is high (LNG ≈ 50% of availability); the import-substitution thesis is directionally valid (IEEFA: ~US$29bn savings FY25–30)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r>
        <w:rPr>
          <w:b/>
        </w:rPr>
        <w:t>The price is administered (85% of CNG), not floating</w:t>
      </w:r>
      <w:r>
        <w:rPr>
          <w:i w:val="0"/>
        </w:rPr>
        <w:t xml:space="preserve"> — the operator captures no upside beyond the formula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The </w:t>
      </w:r>
      <w:r>
        <w:rPr>
          <w:b/>
        </w:rPr>
        <w:t>CBO 5% is a ceiling, not an ever-rising floor</w:t>
      </w:r>
      <w:r>
        <w:rPr>
          <w:i w:val="0"/>
        </w:rPr>
        <w:t xml:space="preserve">: the market is genuinely undersupplied vs the mandate for ~2–3 years, but post-saturation incremental plants compete for a fixed obligated volume at an administered price. 'Mandated demand forever' is marketing that conflates the 3-year window with the 10–15 yr horizon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Near-term (2–3 yr) demand cover is real; the 10–15 yr thesis the prompt asks about is not secured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Administered, capped pricing means you bear cost inflation without price upside </w:t>
      </w:r>
      <w:r>
        <w:rPr>
          <w:b/>
          <w:color w:val="2E7D32"/>
          <w:sz w:val="17"/>
        </w:rPr>
        <w:t>[FACT]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EV erosion + a 5% ceiling cap the terminal growth story — underwrite cashflow, not perpetual demand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Heading1"/>
      </w:pPr>
      <w:r>
        <w:t>Lens 7 — ESG, optics &amp; non-financial return</w:t>
      </w:r>
    </w:p>
    <w:p>
      <w:r>
        <w:rPr>
          <w:i w:val="0"/>
        </w:rPr>
        <w:t xml:space="preserve">Genuine methane-abatement and dairy/agri-waste-management value is real and strategically useful for an FMCG brand's sustainability narrative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Carbon credit economics (~$40–75/t CBG) are marginal, not a thesis-maker </w:t>
      </w:r>
      <w:r>
        <w:rPr>
          <w:b/>
          <w:color w:val="1565C0"/>
          <w:sz w:val="17"/>
        </w:rPr>
        <w:t>[O]</w:t>
      </w:r>
      <w:r>
        <w:rPr>
          <w:i w:val="0"/>
        </w:rPr>
        <w:t xml:space="preserve">. The credible risk is </w:t>
      </w:r>
      <w:r>
        <w:rPr>
          <w:b/>
        </w:rPr>
        <w:t>greenwashing optics</w:t>
      </w:r>
      <w:r>
        <w:rPr>
          <w:i w:val="0"/>
        </w:rPr>
        <w:t xml:space="preserve"> if the plant chases energy crops/subsidies rather than genuine waste utilisation.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The strongest non-financial case is for M3 (captive) as a credible 'cleaner manufacturing' story tied to the reader's own plant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ESG value does not rescue a sub-WACC sale-of-gas business; it is a reason to do M3 well, not to do M1/M2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Rural/dairy-cluster goodwill in Punjab is a real but unquantified side-benefit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Heading1"/>
      </w:pPr>
      <w:r>
        <w:t>Lens 8 — Execution &amp; operational risk</w:t>
      </w:r>
    </w:p>
    <w:p>
      <w:r>
        <w:rPr>
          <w:i w:val="0"/>
        </w:rPr>
        <w:t xml:space="preserve">Anaerobic digestion + gas upgrading is operationally intensive: digester souring/foaming, H₂S corrosion, grit abrasion from dung, upgrading downtime, and skilled-operator scarcity </w:t>
      </w:r>
      <w:r>
        <w:rPr>
          <w:b/>
          <w:color w:val="2E7D32"/>
          <w:sz w:val="17"/>
        </w:rPr>
        <w:t>[FACT]</w:t>
      </w:r>
      <w:r>
        <w:rPr>
          <w:i w:val="0"/>
        </w:rPr>
        <w:t xml:space="preserve">. Feedstock contracts with smallholders/dairies are hard to enforce. </w:t>
      </w:r>
      <w:r>
        <w:rPr>
          <w:b/>
        </w:rPr>
        <w:t>The reader is a solo technical/ops leader already stretched across many fronts</w:t>
      </w:r>
      <w:r>
        <w:rPr>
          <w:i w:val="0"/>
        </w:rPr>
        <w:t xml:space="preserve"> — a feedstock-logistics-heavy biological process plant is a major, sustained bandwidth commitment, not a passive asset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r>
        <w:rPr>
          <w:b/>
          <w:i w:val="0"/>
        </w:rPr>
        <w:t>So-what for the verdict:</w:t>
      </w:r>
    </w:p>
    <w:p>
      <w:pPr>
        <w:pStyle w:val="ListBullet"/>
      </w:pPr>
      <w:r>
        <w:rPr>
          <w:i w:val="0"/>
        </w:rPr>
        <w:t xml:space="preserve">This is a hands-on operating business, not capital-light — it competes for the reader's scarcest resource (attention)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PLF (the #1 driver) is precisely what weak operations destroy — the ops risk and the financial risk are the same risk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If pursued, M3 at the existing plant at least co-locates with existing operations and staff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Heading1"/>
      </w:pPr>
      <w:r>
        <w:t>Red-team: value trap vs steel-man</w:t>
      </w:r>
    </w:p>
    <w:p>
      <w:r>
        <w:rPr>
          <w:b/>
        </w:rPr>
        <w:t>The bear case (this is a value trap):</w:t>
      </w:r>
      <w:r>
        <w:rPr>
          <w:i w:val="0"/>
        </w:rPr>
        <w:t xml:space="preserve"> subsidy-dependent; no take-or-pay; CBO is aggregate not gate; feedstock prices are spiralling toward the viability cliff; PLF chronically 20–60%; FOM revenue often doesn't clear (a real Surat plant runs at 2.9% capacity); &gt;70% of early plants missed forecasts; base-case IRR is sub-hurdle with DSCR &lt;1.2; 51% modelled chance of loss; no exit for a single sub-scale plant; and it consumes a stretched operator's bandwidth. For a 20%-mandate, capital-light allocator this is the opposite of the brief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r>
        <w:rPr>
          <w:b/>
        </w:rPr>
        <w:t>The steel-man (the case to proceed):</w:t>
      </w:r>
      <w:r>
        <w:rPr>
          <w:i w:val="0"/>
        </w:rPr>
        <w:t xml:space="preserve"> the sector is genuinely undersupplied vs a legislated CBO for the next 2–3 years; co-digestion with cheap press mud materially improves the math; a signed CGD GSA with ≥50% take-or-pay (DPI precondition) removes the central offtake risk and unlocks pipeline subsidy; at ≥10–15 TPD with secured feedstock the asset can reach low-teens IRR and is acquirable by a platform; and </w:t>
      </w:r>
      <w:r>
        <w:rPr>
          <w:b/>
        </w:rPr>
        <w:t>for M3, displacing dear furnace-oil/LPG at the reader's own plant can pay back fast while delivering a real ESG story</w:t>
      </w:r>
      <w:r>
        <w:rPr>
          <w:i w:val="0"/>
        </w:rPr>
        <w:t xml:space="preserve"> </w:t>
      </w:r>
      <w:r>
        <w:rPr>
          <w:b/>
          <w:color w:val="B76E00"/>
          <w:sz w:val="17"/>
        </w:rPr>
        <w:t>[INFERENCE]</w:t>
      </w:r>
      <w:r>
        <w:rPr>
          <w:i w:val="0"/>
        </w:rPr>
        <w:t>. The steel-man is strongest for M3 and weakest for M2.</w:t>
      </w:r>
    </w:p>
    <w:p>
      <w:pPr>
        <w:pStyle w:val="Heading1"/>
      </w:pPr>
      <w:r>
        <w:t>Verdict &amp; decision tree</w:t>
      </w:r>
    </w:p>
    <w:p>
      <w:r>
        <w:rPr>
          <w:b/>
        </w:rPr>
        <w:t>M1 (SATAT injection): NO-GO</w:t>
      </w:r>
      <w:r>
        <w:rPr>
          <w:i w:val="0"/>
        </w:rPr>
        <w:t xml:space="preserve"> for this reader as a growth investment; </w:t>
      </w:r>
      <w:r>
        <w:rPr>
          <w:b/>
        </w:rPr>
        <w:t>CONDITIONAL-GO</w:t>
      </w:r>
      <w:r>
        <w:rPr>
          <w:i w:val="0"/>
        </w:rPr>
        <w:t xml:space="preserve"> only if ALL hold: ≥10–15 TPD scale; a signed CGD gas-supply agreement with </w:t>
      </w:r>
      <w:r>
        <w:rPr>
          <w:b/>
        </w:rPr>
        <w:t>≥50% take-or-pay</w:t>
      </w:r>
      <w:r>
        <w:rPr>
          <w:i w:val="0"/>
        </w:rPr>
        <w:t xml:space="preserve"> (also unlocks DPI subsidy); co-digestion feedstock locked at </w:t>
      </w:r>
      <w:r>
        <w:rPr>
          <w:b/>
        </w:rPr>
        <w:t>&lt;₹1,200/t</w:t>
      </w:r>
      <w:r>
        <w:rPr>
          <w:i w:val="0"/>
        </w:rPr>
        <w:t xml:space="preserve"> within 15 km; PLF underwritten ≥60%. Even then it is a low-teens-IRR infrastructure asset </w:t>
      </w:r>
      <w:r>
        <w:rPr>
          <w:b/>
        </w:rPr>
        <w:t>below the 20% hurdle</w:t>
      </w:r>
      <w:r>
        <w:rPr>
          <w:i w:val="0"/>
        </w:rPr>
        <w:t xml:space="preserve">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r>
        <w:rPr>
          <w:b/>
        </w:rPr>
        <w:t>M2 (bottled cascade): NO-GO (unconditional)</w:t>
      </w:r>
      <w:r>
        <w:rPr>
          <w:i w:val="0"/>
        </w:rPr>
        <w:t xml:space="preserve"> — the 2–5× capex penalty, 250-bar compression and cascade logistics make it negative-IRR; keep it only as an emergency fallback channel if an OMC stops lifting </w:t>
      </w:r>
      <w:r>
        <w:rPr>
          <w:b/>
          <w:color w:val="B76E00"/>
          <w:sz w:val="17"/>
        </w:rPr>
        <w:t>[INFERENCE]</w:t>
      </w:r>
      <w:r>
        <w:rPr>
          <w:i w:val="0"/>
        </w:rPr>
        <w:t>.</w:t>
      </w:r>
    </w:p>
    <w:p>
      <w:r>
        <w:rPr>
          <w:b/>
        </w:rPr>
        <w:t>M3 (captive displacement): CONDITIONAL-GO — the only model to investigate.</w:t>
      </w:r>
      <w:r>
        <w:rPr>
          <w:i w:val="0"/>
        </w:rPr>
        <w:t xml:space="preserve"> Precondition: the beverage plant's annual PNG/LPG/furnace-oil spend, divided by a right-sized captive digester fed on &lt;₹1,200/t dung/co-substrate within 15 km, yields </w:t>
      </w:r>
      <w:r>
        <w:rPr>
          <w:b/>
        </w:rPr>
        <w:t>payback &lt; 5 years</w:t>
      </w:r>
      <w:r>
        <w:rPr>
          <w:i w:val="0"/>
        </w:rPr>
        <w:t xml:space="preserve"> on avoided fuel. Underwrite as a sustainability/energy-cost hedge, not against the 20% hurdle. </w:t>
      </w:r>
      <w:r>
        <w:rPr>
          <w:b/>
        </w:rPr>
        <w:t>This needs one input: driver D13 — your plant's fuel spend (₹/yr) and unit fuel price.</w:t>
      </w:r>
      <w:r>
        <w:rPr>
          <w:i w:val="0"/>
        </w:rPr>
        <w:t xml:space="preserve"> Flex the live model/cbg_model.xlsx with your real numbers.</w:t>
      </w:r>
    </w:p>
    <w:p>
      <w:r>
        <w:rPr>
          <w:b/>
        </w:rPr>
        <w:t>Single biggest walk-away reason:</w:t>
      </w:r>
      <w:r>
        <w:rPr>
          <w:i w:val="0"/>
        </w:rPr>
        <w:t xml:space="preserve"> no demand security (no take-or-pay; CBO is aggregate, not plant-gate) combined with a feedstock price spiral → 51% modelled probability of loss, 7% of clearing the hurdle. </w:t>
      </w:r>
      <w:r>
        <w:rPr>
          <w:b/>
        </w:rPr>
        <w:t>Single condition that flips to buy:</w:t>
      </w:r>
      <w:r>
        <w:rPr>
          <w:i w:val="0"/>
        </w:rPr>
        <w:t xml:space="preserve"> M3 with payback &lt; 5 yr on avoided fuel at the reader's own plant.</w:t>
      </w:r>
    </w:p>
    <w:p>
      <w:r>
        <w:rPr>
          <w:b/>
        </w:rPr>
        <w:t>Opportunity cost:</w:t>
      </w:r>
      <w:r>
        <w:rPr>
          <w:i w:val="0"/>
        </w:rPr>
        <w:t xml:space="preserve"> against a 20%+ CAGR mandate met by capital-light, liquid, high-conviction bets, a CBG plant is capital-heavy (₹20–25 cr at 5 TPD), illiquid, operationally punishing, and sub-WACC in the base case. Unless the ESG/strategic value to the FMCG brand is itself the objective (M3), the capital is better deployed in the existing playbook </w:t>
      </w:r>
      <w:r>
        <w:rPr>
          <w:b/>
          <w:color w:val="1565C0"/>
          <w:sz w:val="17"/>
        </w:rPr>
        <w:t>[OPINION]</w:t>
      </w:r>
      <w:r>
        <w:rPr>
          <w:i w:val="0"/>
        </w:rPr>
        <w:t>.</w:t>
      </w:r>
    </w:p>
    <w:p>
      <w:pPr>
        <w:pStyle w:val="ListBullet"/>
      </w:pPr>
      <w:r>
        <w:rPr>
          <w:b/>
        </w:rPr>
        <w:t>Want to SELL gas (M1/M2)?</w:t>
      </w:r>
      <w:r>
        <w:rPr>
          <w:i w:val="0"/>
        </w:rPr>
        <w:t xml:space="preserve"> → Walk away unless you can sign a CGD ≥50%-ToP GSA AND lock feedstock &lt;₹1,200/t at ≥10 TPD — then a sub-hurdle infrastructure asset.</w:t>
      </w:r>
    </w:p>
    <w:p>
      <w:pPr>
        <w:pStyle w:val="ListBullet"/>
      </w:pPr>
      <w:r>
        <w:rPr>
          <w:b/>
        </w:rPr>
        <w:t>Want to cut the plant's fuel bill / build an ESG story (M3)?</w:t>
      </w:r>
      <w:r>
        <w:rPr>
          <w:i w:val="0"/>
        </w:rPr>
        <w:t xml:space="preserve"> → Investigate. Get D13, right-size to your gas demand + local dung, accept it only if payback &lt; 5 yr.</w:t>
      </w:r>
    </w:p>
    <w:p>
      <w:pPr>
        <w:pStyle w:val="ListBullet"/>
      </w:pPr>
      <w:r>
        <w:rPr>
          <w:b/>
        </w:rPr>
        <w:t>Neither?</w:t>
      </w:r>
      <w:r>
        <w:rPr>
          <w:i w:val="0"/>
        </w:rPr>
        <w:t xml:space="preserve"> → Deploy the capital in your existing 20%+ playbook.</w:t>
      </w:r>
    </w:p>
    <w:p>
      <w:pPr>
        <w:pStyle w:val="Heading1"/>
      </w:pPr>
      <w:r>
        <w:t>Sources &amp; methods</w:t>
      </w:r>
    </w:p>
    <w:p>
      <w:r>
        <w:rPr>
          <w:i w:val="0"/>
        </w:rPr>
        <w:t xml:space="preserve">Full dated citations with source tiers (T1 govt/peer-reviewed · T2 trade/consultancy · T3 promoter) and the complete 'could-not-reconfirm' list are in </w:t>
      </w:r>
      <w:r>
        <w:rPr>
          <w:b/>
        </w:rPr>
        <w:t>sources/citations.md</w:t>
      </w:r>
      <w:r>
        <w:rPr>
          <w:i w:val="0"/>
        </w:rPr>
        <w:t>. Load-bearing T1/T2 sources include: IOCL CBG FAQ; PIB CBO notifications (PRID 1979705/1989226); MoPNG/MNRE/GOBARdhan/PNGRB scheme docs; Standing Committee on Petroleum &amp; NG (2022-23); MDPI Energies 18(24):6506 (2025); SBI Caps / Renewable Watch financing analyses; REGlobal; Down To Earth; IEEFA; PPAC; CSE; Indian Biogas Association.</w:t>
      </w:r>
    </w:p>
    <w:p>
      <w:r>
        <w:rPr>
          <w:b/>
        </w:rPr>
        <w:t>Method &amp; limitations:</w:t>
      </w:r>
      <w:r>
        <w:rPr>
          <w:i w:val="0"/>
        </w:rPr>
        <w:t xml:space="preserve"> outputs come from a transparent 15-year model (drivers.py → cbg_model.py) cross-checked against published plant economics and the SBI Caps IRR-by-scale ladder; it passes a self-test on unit-chain reconciliation, mass-balance closure, and driver→output propagation. </w:t>
      </w:r>
      <w:r>
        <w:rPr>
          <w:b/>
        </w:rPr>
        <w:t>Known limitations:</w:t>
      </w:r>
      <w:r>
        <w:rPr>
          <w:i w:val="0"/>
        </w:rPr>
        <w:t xml:space="preserve"> capex intensity is held flat across scale (conservative — understates large-plant scale economics); cascade logistics (M2) and the M3 avoided-fuel price (D13) are under-sourced placeholders; FOM, carbon and PLF carry wide uncertainty (reflected in the Monte-Carlo). Several primary PDFs were fetch-blocked and rest on search extraction. </w:t>
      </w:r>
      <w:r>
        <w:rPr>
          <w:b/>
        </w:rPr>
        <w:t>Verify all policy and prices live before committing capital.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