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CC72" w14:textId="26D07175" w:rsidR="00277B5F" w:rsidRPr="00E97760" w:rsidRDefault="00000000">
      <w:pPr>
        <w:pStyle w:val="Heading1"/>
        <w:rPr>
          <w:rFonts w:ascii="Inter Display" w:hAnsi="Inter Display"/>
          <w:sz w:val="32"/>
          <w:szCs w:val="32"/>
        </w:rPr>
      </w:pPr>
      <w:r w:rsidRPr="00E97760">
        <w:rPr>
          <w:rFonts w:ascii="Inter Display" w:hAnsi="Inter Display"/>
          <w:sz w:val="32"/>
          <w:szCs w:val="32"/>
        </w:rPr>
        <w:t>Bibliometric Overview</w:t>
      </w: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4620"/>
        <w:gridCol w:w="4620"/>
      </w:tblGrid>
      <w:tr w:rsidR="00277B5F" w:rsidRPr="00806CB6" w14:paraId="1FB89DB1" w14:textId="77777777" w:rsidTr="00E97760">
        <w:trPr>
          <w:trHeight w:val="272"/>
        </w:trPr>
        <w:tc>
          <w:tcPr>
            <w:tcW w:w="4620" w:type="dxa"/>
          </w:tcPr>
          <w:p w14:paraId="4B3FEA82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Metric</w:t>
            </w:r>
          </w:p>
        </w:tc>
        <w:tc>
          <w:tcPr>
            <w:tcW w:w="4620" w:type="dxa"/>
          </w:tcPr>
          <w:p w14:paraId="6E1466CC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Value</w:t>
            </w:r>
          </w:p>
        </w:tc>
      </w:tr>
      <w:tr w:rsidR="00277B5F" w:rsidRPr="00806CB6" w14:paraId="2087E611" w14:textId="77777777" w:rsidTr="00E97760">
        <w:trPr>
          <w:trHeight w:val="272"/>
        </w:trPr>
        <w:tc>
          <w:tcPr>
            <w:tcW w:w="4620" w:type="dxa"/>
          </w:tcPr>
          <w:p w14:paraId="08865344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Total papers analyzed</w:t>
            </w:r>
          </w:p>
        </w:tc>
        <w:tc>
          <w:tcPr>
            <w:tcW w:w="4620" w:type="dxa"/>
          </w:tcPr>
          <w:p w14:paraId="24350184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20 (Physically downloaded and verified)</w:t>
            </w:r>
          </w:p>
        </w:tc>
      </w:tr>
      <w:tr w:rsidR="00277B5F" w:rsidRPr="00806CB6" w14:paraId="7CD56AA6" w14:textId="77777777" w:rsidTr="00E97760">
        <w:trPr>
          <w:trHeight w:val="272"/>
        </w:trPr>
        <w:tc>
          <w:tcPr>
            <w:tcW w:w="4620" w:type="dxa"/>
          </w:tcPr>
          <w:p w14:paraId="1891EE19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Publication year range</w:t>
            </w:r>
          </w:p>
        </w:tc>
        <w:tc>
          <w:tcPr>
            <w:tcW w:w="4620" w:type="dxa"/>
          </w:tcPr>
          <w:p w14:paraId="3167F958" w14:textId="1531808B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2025 (recent)</w:t>
            </w:r>
          </w:p>
        </w:tc>
      </w:tr>
      <w:tr w:rsidR="00277B5F" w:rsidRPr="00806CB6" w14:paraId="52DA06F8" w14:textId="77777777" w:rsidTr="00E97760">
        <w:trPr>
          <w:trHeight w:val="1091"/>
        </w:trPr>
        <w:tc>
          <w:tcPr>
            <w:tcW w:w="4620" w:type="dxa"/>
          </w:tcPr>
          <w:p w14:paraId="22695FA9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Primary venues</w:t>
            </w:r>
          </w:p>
        </w:tc>
        <w:tc>
          <w:tcPr>
            <w:tcW w:w="4620" w:type="dxa"/>
          </w:tcPr>
          <w:p w14:paraId="3F87ABE3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IEEE Access, PLOS ONE, Sensors (MDPI), PeerJ Computer Science, Applied Sciences (MDPI), Scientific Reports, etc. (High Scopus/Elsevier presence)</w:t>
            </w:r>
          </w:p>
        </w:tc>
      </w:tr>
      <w:tr w:rsidR="00277B5F" w:rsidRPr="00806CB6" w14:paraId="5B128847" w14:textId="77777777" w:rsidTr="00E97760">
        <w:trPr>
          <w:trHeight w:val="545"/>
        </w:trPr>
        <w:tc>
          <w:tcPr>
            <w:tcW w:w="4620" w:type="dxa"/>
          </w:tcPr>
          <w:p w14:paraId="114A3A54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Dominant methodology</w:t>
            </w:r>
          </w:p>
        </w:tc>
        <w:tc>
          <w:tcPr>
            <w:tcW w:w="4620" w:type="dxa"/>
          </w:tcPr>
          <w:p w14:paraId="67AC6102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Lightweight YOLO families (YOLOv8, v10, v11, v12) &amp; Transformers / ViT</w:t>
            </w:r>
          </w:p>
        </w:tc>
      </w:tr>
      <w:tr w:rsidR="00277B5F" w:rsidRPr="00806CB6" w14:paraId="27E6F8DD" w14:textId="77777777" w:rsidTr="00E97760">
        <w:trPr>
          <w:trHeight w:val="272"/>
        </w:trPr>
        <w:tc>
          <w:tcPr>
            <w:tcW w:w="4620" w:type="dxa"/>
          </w:tcPr>
          <w:p w14:paraId="710303FA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Datasets most used</w:t>
            </w:r>
          </w:p>
        </w:tc>
        <w:tc>
          <w:tcPr>
            <w:tcW w:w="4620" w:type="dxa"/>
          </w:tcPr>
          <w:p w14:paraId="1BBC7526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DsPCBSD+, DeepPCB, PKU-PCB, HRIPCB</w:t>
            </w:r>
          </w:p>
        </w:tc>
      </w:tr>
      <w:tr w:rsidR="00277B5F" w:rsidRPr="00806CB6" w14:paraId="60DDAD4A" w14:textId="77777777" w:rsidTr="00E97760">
        <w:trPr>
          <w:trHeight w:val="272"/>
        </w:trPr>
        <w:tc>
          <w:tcPr>
            <w:tcW w:w="4620" w:type="dxa"/>
          </w:tcPr>
          <w:p w14:paraId="6A4099E0" w14:textId="47BC17F5" w:rsidR="00E97760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 xml:space="preserve">Average reported </w:t>
            </w:r>
            <w:proofErr w:type="spellStart"/>
            <w:r w:rsidRPr="00806CB6">
              <w:rPr>
                <w:rFonts w:ascii="Inter Display" w:hAnsi="Inter Display"/>
                <w:sz w:val="24"/>
                <w:szCs w:val="32"/>
              </w:rPr>
              <w:t>mAP</w:t>
            </w:r>
            <w:proofErr w:type="spellEnd"/>
            <w:r w:rsidR="00E97760" w:rsidRPr="00806CB6">
              <w:rPr>
                <w:rFonts w:ascii="Inter Display" w:hAnsi="Inter Display"/>
                <w:sz w:val="24"/>
                <w:szCs w:val="32"/>
              </w:rPr>
              <w:t xml:space="preserve">* (Mean Average </w:t>
            </w:r>
          </w:p>
          <w:p w14:paraId="62E609C1" w14:textId="1997A924" w:rsidR="00277B5F" w:rsidRPr="00806CB6" w:rsidRDefault="00E9776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Precision)</w:t>
            </w:r>
          </w:p>
        </w:tc>
        <w:tc>
          <w:tcPr>
            <w:tcW w:w="4620" w:type="dxa"/>
          </w:tcPr>
          <w:p w14:paraId="2E11184A" w14:textId="77777777" w:rsidR="00277B5F" w:rsidRPr="00806CB6" w:rsidRDefault="00000000">
            <w:pPr>
              <w:rPr>
                <w:rFonts w:ascii="Inter Display" w:hAnsi="Inter Display"/>
                <w:sz w:val="24"/>
                <w:szCs w:val="32"/>
              </w:rPr>
            </w:pPr>
            <w:r w:rsidRPr="00806CB6">
              <w:rPr>
                <w:rFonts w:ascii="Inter Display" w:hAnsi="Inter Display"/>
                <w:sz w:val="24"/>
                <w:szCs w:val="32"/>
              </w:rPr>
              <w:t>~96% (range 90-99%)</w:t>
            </w:r>
          </w:p>
        </w:tc>
      </w:tr>
    </w:tbl>
    <w:p w14:paraId="28EA834E" w14:textId="77777777" w:rsidR="00E97760" w:rsidRDefault="00E97760" w:rsidP="00E97760"/>
    <w:p w14:paraId="70E9871E" w14:textId="15EFFCEE" w:rsidR="00E97760" w:rsidRPr="00E97760" w:rsidRDefault="00E97760" w:rsidP="00E97760">
      <w:pPr>
        <w:rPr>
          <w:rFonts w:ascii="Inter Display" w:hAnsi="Inter Display"/>
          <w:sz w:val="24"/>
          <w:szCs w:val="32"/>
        </w:rPr>
      </w:pPr>
      <w:r>
        <w:rPr>
          <w:rFonts w:ascii="Inter Display" w:hAnsi="Inter Display"/>
          <w:sz w:val="24"/>
          <w:szCs w:val="32"/>
        </w:rPr>
        <w:t>*</w:t>
      </w:r>
      <w:proofErr w:type="spellStart"/>
      <w:r w:rsidRPr="00E97760">
        <w:rPr>
          <w:rFonts w:ascii="Inter Display" w:hAnsi="Inter Display"/>
          <w:sz w:val="24"/>
          <w:szCs w:val="32"/>
        </w:rPr>
        <w:t>mAP</w:t>
      </w:r>
      <w:proofErr w:type="spellEnd"/>
      <w:r w:rsidRPr="00E97760">
        <w:rPr>
          <w:rFonts w:ascii="Inter Display" w:hAnsi="Inter Display"/>
          <w:sz w:val="24"/>
          <w:szCs w:val="32"/>
        </w:rPr>
        <w:t xml:space="preserve"> is the standard metric used to evaluate object detection models. It measures how accurately the model identifies and locates defects or components on a Printed Circuit Board (PCB).</w:t>
      </w:r>
    </w:p>
    <w:p w14:paraId="334DEAFE" w14:textId="23063C24" w:rsidR="00277B5F" w:rsidRPr="00E97760" w:rsidRDefault="00000000">
      <w:pPr>
        <w:pStyle w:val="Heading1"/>
        <w:rPr>
          <w:rFonts w:ascii="Inter Display" w:hAnsi="Inter Display"/>
          <w:sz w:val="32"/>
          <w:szCs w:val="32"/>
        </w:rPr>
      </w:pPr>
      <w:r w:rsidRPr="00E97760">
        <w:rPr>
          <w:rFonts w:ascii="Inter Display" w:hAnsi="Inter Display"/>
          <w:sz w:val="32"/>
          <w:szCs w:val="32"/>
        </w:rPr>
        <w:t>Paper-by-Paper Summary (Year, Publisher, Dataset, Limitations, Future Work)</w:t>
      </w:r>
    </w:p>
    <w:p w14:paraId="4F3CD675" w14:textId="214AACA2" w:rsidR="00277B5F" w:rsidRPr="00E97760" w:rsidRDefault="00000000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t>All papers have been downloaded locally for reference.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1448"/>
        <w:gridCol w:w="1292"/>
        <w:gridCol w:w="1283"/>
        <w:gridCol w:w="1745"/>
        <w:gridCol w:w="2199"/>
      </w:tblGrid>
      <w:tr w:rsidR="00277B5F" w:rsidRPr="00E97760" w14:paraId="1D9A4803" w14:textId="77777777" w:rsidTr="00E97760">
        <w:tc>
          <w:tcPr>
            <w:tcW w:w="1440" w:type="dxa"/>
            <w:shd w:val="clear" w:color="auto" w:fill="92CDDC" w:themeFill="accent5" w:themeFillTint="99"/>
          </w:tcPr>
          <w:p w14:paraId="6BFC2B94" w14:textId="77777777" w:rsidR="00277B5F" w:rsidRPr="00E97760" w:rsidRDefault="00000000">
            <w:pPr>
              <w:rPr>
                <w:rFonts w:ascii="Inter Display" w:hAnsi="Inter Display"/>
                <w:b/>
                <w:bCs/>
                <w:sz w:val="22"/>
                <w:szCs w:val="28"/>
              </w:rPr>
            </w:pPr>
            <w:proofErr w:type="gramStart"/>
            <w:r w:rsidRPr="00E97760">
              <w:rPr>
                <w:rFonts w:ascii="Inter Display" w:hAnsi="Inter Display"/>
                <w:b/>
                <w:bCs/>
                <w:sz w:val="22"/>
                <w:szCs w:val="28"/>
              </w:rPr>
              <w:t>S.No</w:t>
            </w:r>
            <w:proofErr w:type="gramEnd"/>
          </w:p>
        </w:tc>
        <w:tc>
          <w:tcPr>
            <w:tcW w:w="1440" w:type="dxa"/>
            <w:shd w:val="clear" w:color="auto" w:fill="92CDDC" w:themeFill="accent5" w:themeFillTint="99"/>
          </w:tcPr>
          <w:p w14:paraId="4420CE3E" w14:textId="77777777" w:rsidR="00277B5F" w:rsidRPr="00E97760" w:rsidRDefault="00000000">
            <w:pPr>
              <w:rPr>
                <w:rFonts w:ascii="Inter Display" w:hAnsi="Inter Display"/>
                <w:b/>
                <w:bCs/>
                <w:sz w:val="22"/>
                <w:szCs w:val="28"/>
              </w:rPr>
            </w:pPr>
            <w:r w:rsidRPr="00E97760">
              <w:rPr>
                <w:rFonts w:ascii="Inter Display" w:hAnsi="Inter Display"/>
                <w:b/>
                <w:bCs/>
                <w:sz w:val="22"/>
                <w:szCs w:val="28"/>
              </w:rPr>
              <w:t>Paper Title</w:t>
            </w:r>
          </w:p>
        </w:tc>
        <w:tc>
          <w:tcPr>
            <w:tcW w:w="1440" w:type="dxa"/>
            <w:shd w:val="clear" w:color="auto" w:fill="92CDDC" w:themeFill="accent5" w:themeFillTint="99"/>
          </w:tcPr>
          <w:p w14:paraId="3994F591" w14:textId="77777777" w:rsidR="00277B5F" w:rsidRPr="00E97760" w:rsidRDefault="00000000">
            <w:pPr>
              <w:rPr>
                <w:rFonts w:ascii="Inter Display" w:hAnsi="Inter Display"/>
                <w:b/>
                <w:bCs/>
                <w:sz w:val="22"/>
                <w:szCs w:val="28"/>
              </w:rPr>
            </w:pPr>
            <w:r w:rsidRPr="00E97760">
              <w:rPr>
                <w:rFonts w:ascii="Inter Display" w:hAnsi="Inter Display"/>
                <w:b/>
                <w:bCs/>
                <w:sz w:val="22"/>
                <w:szCs w:val="28"/>
              </w:rPr>
              <w:t>Year &amp; Publisher</w:t>
            </w:r>
          </w:p>
        </w:tc>
        <w:tc>
          <w:tcPr>
            <w:tcW w:w="1440" w:type="dxa"/>
            <w:shd w:val="clear" w:color="auto" w:fill="92CDDC" w:themeFill="accent5" w:themeFillTint="99"/>
          </w:tcPr>
          <w:p w14:paraId="229D9BBC" w14:textId="77777777" w:rsidR="00277B5F" w:rsidRPr="00E97760" w:rsidRDefault="00000000">
            <w:pPr>
              <w:rPr>
                <w:rFonts w:ascii="Inter Display" w:hAnsi="Inter Display"/>
                <w:b/>
                <w:bCs/>
                <w:sz w:val="22"/>
                <w:szCs w:val="28"/>
              </w:rPr>
            </w:pPr>
            <w:r w:rsidRPr="00E97760">
              <w:rPr>
                <w:rFonts w:ascii="Inter Display" w:hAnsi="Inter Display"/>
                <w:b/>
                <w:bCs/>
                <w:sz w:val="22"/>
                <w:szCs w:val="28"/>
              </w:rPr>
              <w:t>Dataset</w:t>
            </w:r>
          </w:p>
        </w:tc>
        <w:tc>
          <w:tcPr>
            <w:tcW w:w="1440" w:type="dxa"/>
            <w:shd w:val="clear" w:color="auto" w:fill="92CDDC" w:themeFill="accent5" w:themeFillTint="99"/>
          </w:tcPr>
          <w:p w14:paraId="136C4FE5" w14:textId="77777777" w:rsidR="00277B5F" w:rsidRPr="00E97760" w:rsidRDefault="00000000">
            <w:pPr>
              <w:rPr>
                <w:rFonts w:ascii="Inter Display" w:hAnsi="Inter Display"/>
                <w:b/>
                <w:bCs/>
                <w:sz w:val="22"/>
                <w:szCs w:val="28"/>
              </w:rPr>
            </w:pPr>
            <w:r w:rsidRPr="00E97760">
              <w:rPr>
                <w:rFonts w:ascii="Inter Display" w:hAnsi="Inter Display"/>
                <w:b/>
                <w:bCs/>
                <w:sz w:val="22"/>
                <w:szCs w:val="28"/>
              </w:rPr>
              <w:t>Limitations / Drawbacks</w:t>
            </w:r>
          </w:p>
        </w:tc>
        <w:tc>
          <w:tcPr>
            <w:tcW w:w="1440" w:type="dxa"/>
            <w:shd w:val="clear" w:color="auto" w:fill="92CDDC" w:themeFill="accent5" w:themeFillTint="99"/>
          </w:tcPr>
          <w:p w14:paraId="3D41BA71" w14:textId="77777777" w:rsidR="00277B5F" w:rsidRPr="00E97760" w:rsidRDefault="00000000">
            <w:pPr>
              <w:rPr>
                <w:rFonts w:ascii="Inter Display" w:hAnsi="Inter Display"/>
                <w:b/>
                <w:bCs/>
                <w:sz w:val="22"/>
                <w:szCs w:val="28"/>
              </w:rPr>
            </w:pPr>
            <w:r w:rsidRPr="00E97760">
              <w:rPr>
                <w:rFonts w:ascii="Inter Display" w:hAnsi="Inter Display"/>
                <w:b/>
                <w:bCs/>
                <w:sz w:val="22"/>
                <w:szCs w:val="28"/>
              </w:rPr>
              <w:t>Future Work</w:t>
            </w:r>
          </w:p>
        </w:tc>
      </w:tr>
      <w:tr w:rsidR="00277B5F" w:rsidRPr="00E97760" w14:paraId="7C37C57C" w14:textId="77777777">
        <w:tc>
          <w:tcPr>
            <w:tcW w:w="1440" w:type="dxa"/>
          </w:tcPr>
          <w:p w14:paraId="42C94F1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</w:t>
            </w:r>
          </w:p>
        </w:tc>
        <w:tc>
          <w:tcPr>
            <w:tcW w:w="1440" w:type="dxa"/>
          </w:tcPr>
          <w:p w14:paraId="3FEC0171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 Lightweight PCB Defect Detection Algorithm Based on an Improved YOLOv11s</w:t>
            </w:r>
          </w:p>
        </w:tc>
        <w:tc>
          <w:tcPr>
            <w:tcW w:w="1440" w:type="dxa"/>
          </w:tcPr>
          <w:p w14:paraId="5C002EF4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IEEE Access</w:t>
            </w:r>
          </w:p>
        </w:tc>
        <w:tc>
          <w:tcPr>
            <w:tcW w:w="1440" w:type="dxa"/>
          </w:tcPr>
          <w:p w14:paraId="0E163DDB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DsPCBSD+ / DeepPCB</w:t>
            </w:r>
          </w:p>
        </w:tc>
        <w:tc>
          <w:tcPr>
            <w:tcW w:w="1440" w:type="dxa"/>
          </w:tcPr>
          <w:p w14:paraId="064FADA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Limited evaluation on only synthetic defects; no real-world noise analysis; model size still larger than ultra-edge devices.</w:t>
            </w:r>
          </w:p>
        </w:tc>
        <w:tc>
          <w:tcPr>
            <w:tcW w:w="1440" w:type="dxa"/>
          </w:tcPr>
          <w:p w14:paraId="39C6019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Expand to multi-scale training, incorporate domain adaptation for varied lighting.</w:t>
            </w:r>
          </w:p>
        </w:tc>
      </w:tr>
      <w:tr w:rsidR="00277B5F" w:rsidRPr="00E97760" w14:paraId="1E1E1A00" w14:textId="77777777">
        <w:tc>
          <w:tcPr>
            <w:tcW w:w="1440" w:type="dxa"/>
          </w:tcPr>
          <w:p w14:paraId="02A018C4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</w:t>
            </w:r>
          </w:p>
        </w:tc>
        <w:tc>
          <w:tcPr>
            <w:tcW w:w="1440" w:type="dxa"/>
          </w:tcPr>
          <w:p w14:paraId="52E2CE4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Lightweight PCB Defect Detection Method Based on SCF-YOLO</w:t>
            </w:r>
          </w:p>
        </w:tc>
        <w:tc>
          <w:tcPr>
            <w:tcW w:w="1440" w:type="dxa"/>
          </w:tcPr>
          <w:p w14:paraId="621040A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PLOS ONE</w:t>
            </w:r>
          </w:p>
        </w:tc>
        <w:tc>
          <w:tcPr>
            <w:tcW w:w="1440" w:type="dxa"/>
          </w:tcPr>
          <w:p w14:paraId="248E173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PKU-PCB</w:t>
            </w:r>
          </w:p>
        </w:tc>
        <w:tc>
          <w:tcPr>
            <w:tcW w:w="1440" w:type="dxa"/>
          </w:tcPr>
          <w:p w14:paraId="7A1EA30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Dataset lacks defect diversity; knowledge-distillation from a large teacher may bias performance.</w:t>
            </w:r>
          </w:p>
        </w:tc>
        <w:tc>
          <w:tcPr>
            <w:tcW w:w="1440" w:type="dxa"/>
          </w:tcPr>
          <w:p w14:paraId="046126E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Explore self-supervised pre-training and larger defect taxonomies.</w:t>
            </w:r>
          </w:p>
        </w:tc>
      </w:tr>
      <w:tr w:rsidR="00277B5F" w:rsidRPr="00E97760" w14:paraId="6130494D" w14:textId="77777777">
        <w:tc>
          <w:tcPr>
            <w:tcW w:w="1440" w:type="dxa"/>
          </w:tcPr>
          <w:p w14:paraId="03D840A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3</w:t>
            </w:r>
          </w:p>
        </w:tc>
        <w:tc>
          <w:tcPr>
            <w:tcW w:w="1440" w:type="dxa"/>
          </w:tcPr>
          <w:p w14:paraId="1A35FC0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 xml:space="preserve">GESC-YOLO: </w:t>
            </w: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>Improved Lightweight PCB Defect Detection</w:t>
            </w:r>
          </w:p>
        </w:tc>
        <w:tc>
          <w:tcPr>
            <w:tcW w:w="1440" w:type="dxa"/>
          </w:tcPr>
          <w:p w14:paraId="241331F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 xml:space="preserve">2025, </w:t>
            </w: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>Sensors (MDPI)</w:t>
            </w:r>
          </w:p>
        </w:tc>
        <w:tc>
          <w:tcPr>
            <w:tcW w:w="1440" w:type="dxa"/>
          </w:tcPr>
          <w:p w14:paraId="0F71009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 xml:space="preserve">PCB </w:t>
            </w: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>dataset</w:t>
            </w:r>
          </w:p>
        </w:tc>
        <w:tc>
          <w:tcPr>
            <w:tcW w:w="1440" w:type="dxa"/>
          </w:tcPr>
          <w:p w14:paraId="7D30603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 xml:space="preserve">99% mAP </w:t>
            </w: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>reported on a tiny validation set; no runtime benchmark on embedded hardware.</w:t>
            </w:r>
          </w:p>
        </w:tc>
        <w:tc>
          <w:tcPr>
            <w:tcW w:w="1440" w:type="dxa"/>
          </w:tcPr>
          <w:p w14:paraId="43E91DF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 xml:space="preserve">Real-time profiling on </w:t>
            </w: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>edge MCU, validation on larger public datasets.</w:t>
            </w:r>
          </w:p>
        </w:tc>
      </w:tr>
      <w:tr w:rsidR="00277B5F" w:rsidRPr="00E97760" w14:paraId="5783F77B" w14:textId="77777777">
        <w:tc>
          <w:tcPr>
            <w:tcW w:w="1440" w:type="dxa"/>
          </w:tcPr>
          <w:p w14:paraId="1478F960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lastRenderedPageBreak/>
              <w:t>4</w:t>
            </w:r>
          </w:p>
        </w:tc>
        <w:tc>
          <w:tcPr>
            <w:tcW w:w="1440" w:type="dxa"/>
          </w:tcPr>
          <w:p w14:paraId="000388A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 Lightweight PCB Defect Detection Method Based on Group Convolution and Adaptive Pruning</w:t>
            </w:r>
          </w:p>
        </w:tc>
        <w:tc>
          <w:tcPr>
            <w:tcW w:w="1440" w:type="dxa"/>
          </w:tcPr>
          <w:p w14:paraId="229E520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PeerJ Computer Science</w:t>
            </w:r>
          </w:p>
        </w:tc>
        <w:tc>
          <w:tcPr>
            <w:tcW w:w="1440" w:type="dxa"/>
          </w:tcPr>
          <w:p w14:paraId="2EBD847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PKU-Market-PCB</w:t>
            </w:r>
          </w:p>
        </w:tc>
        <w:tc>
          <w:tcPr>
            <w:tcW w:w="1440" w:type="dxa"/>
          </w:tcPr>
          <w:p w14:paraId="37900AE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Aggressive pruning harms detection of tiny defects; limited ablation.</w:t>
            </w:r>
          </w:p>
        </w:tc>
        <w:tc>
          <w:tcPr>
            <w:tcW w:w="1440" w:type="dxa"/>
          </w:tcPr>
          <w:p w14:paraId="2BFE580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Adaptive pruning thresholds per defect size, hybrid pruning-quantization.</w:t>
            </w:r>
          </w:p>
        </w:tc>
      </w:tr>
      <w:tr w:rsidR="00277B5F" w:rsidRPr="00E97760" w14:paraId="55E7D28E" w14:textId="77777777">
        <w:tc>
          <w:tcPr>
            <w:tcW w:w="1440" w:type="dxa"/>
          </w:tcPr>
          <w:p w14:paraId="7CBA1BF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5</w:t>
            </w:r>
          </w:p>
        </w:tc>
        <w:tc>
          <w:tcPr>
            <w:tcW w:w="1440" w:type="dxa"/>
          </w:tcPr>
          <w:p w14:paraId="0ACF133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MAS-YOLO: Lightweight Detection Based on Improved YOLOv12</w:t>
            </w:r>
          </w:p>
        </w:tc>
        <w:tc>
          <w:tcPr>
            <w:tcW w:w="1440" w:type="dxa"/>
          </w:tcPr>
          <w:p w14:paraId="45201771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Applied Sciences (MDPI)</w:t>
            </w:r>
          </w:p>
        </w:tc>
        <w:tc>
          <w:tcPr>
            <w:tcW w:w="1440" w:type="dxa"/>
          </w:tcPr>
          <w:p w14:paraId="7B301F51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DeepPCB / PKU-PCB</w:t>
            </w:r>
          </w:p>
        </w:tc>
        <w:tc>
          <w:tcPr>
            <w:tcW w:w="1440" w:type="dxa"/>
          </w:tcPr>
          <w:p w14:paraId="002E5B65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Attention modules increase inference latency on low-power boards.</w:t>
            </w:r>
          </w:p>
        </w:tc>
        <w:tc>
          <w:tcPr>
            <w:tcW w:w="1440" w:type="dxa"/>
          </w:tcPr>
          <w:p w14:paraId="0D74D3A3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Replace attention with efficient channel-shuffle, test on FPGA.</w:t>
            </w:r>
          </w:p>
        </w:tc>
      </w:tr>
      <w:tr w:rsidR="00277B5F" w:rsidRPr="00E97760" w14:paraId="131F0803" w14:textId="77777777">
        <w:tc>
          <w:tcPr>
            <w:tcW w:w="1440" w:type="dxa"/>
          </w:tcPr>
          <w:p w14:paraId="39857E9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6</w:t>
            </w:r>
          </w:p>
        </w:tc>
        <w:tc>
          <w:tcPr>
            <w:tcW w:w="1440" w:type="dxa"/>
          </w:tcPr>
          <w:p w14:paraId="51562D3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YOLO-DefXpert: Advanced Defect Detection Using Improved YOLOv11</w:t>
            </w:r>
          </w:p>
        </w:tc>
        <w:tc>
          <w:tcPr>
            <w:tcW w:w="1440" w:type="dxa"/>
          </w:tcPr>
          <w:p w14:paraId="72115FF5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IEEE Access</w:t>
            </w:r>
          </w:p>
        </w:tc>
        <w:tc>
          <w:tcPr>
            <w:tcW w:w="1440" w:type="dxa"/>
          </w:tcPr>
          <w:p w14:paraId="1F9B3710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HRIPCB</w:t>
            </w:r>
          </w:p>
        </w:tc>
        <w:tc>
          <w:tcPr>
            <w:tcW w:w="1440" w:type="dxa"/>
          </w:tcPr>
          <w:p w14:paraId="209C1A6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Heavy reliance on Swin Transformer slows down FPS significantly.</w:t>
            </w:r>
          </w:p>
        </w:tc>
        <w:tc>
          <w:tcPr>
            <w:tcW w:w="1440" w:type="dxa"/>
          </w:tcPr>
          <w:p w14:paraId="1FAEE1F4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Optimize transformer blocks for real-time edge processing.</w:t>
            </w:r>
          </w:p>
        </w:tc>
      </w:tr>
      <w:tr w:rsidR="00277B5F" w:rsidRPr="00E97760" w14:paraId="41BC15AF" w14:textId="77777777">
        <w:tc>
          <w:tcPr>
            <w:tcW w:w="1440" w:type="dxa"/>
          </w:tcPr>
          <w:p w14:paraId="288321A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7</w:t>
            </w:r>
          </w:p>
        </w:tc>
        <w:tc>
          <w:tcPr>
            <w:tcW w:w="1440" w:type="dxa"/>
          </w:tcPr>
          <w:p w14:paraId="49AFA15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 High-Accuracy PCB Defect Detection Algorithm Based on Improved YOLOv12</w:t>
            </w:r>
          </w:p>
        </w:tc>
        <w:tc>
          <w:tcPr>
            <w:tcW w:w="1440" w:type="dxa"/>
          </w:tcPr>
          <w:p w14:paraId="71CE83D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Symmetry</w:t>
            </w:r>
          </w:p>
        </w:tc>
        <w:tc>
          <w:tcPr>
            <w:tcW w:w="1440" w:type="dxa"/>
          </w:tcPr>
          <w:p w14:paraId="1AA4B024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PKU-PCB / DeepPCB</w:t>
            </w:r>
          </w:p>
        </w:tc>
        <w:tc>
          <w:tcPr>
            <w:tcW w:w="1440" w:type="dxa"/>
          </w:tcPr>
          <w:p w14:paraId="3B06113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PPA head introduces computational overhead; struggles with heavily occluded defects.</w:t>
            </w:r>
          </w:p>
        </w:tc>
        <w:tc>
          <w:tcPr>
            <w:tcW w:w="1440" w:type="dxa"/>
          </w:tcPr>
          <w:p w14:paraId="72D07241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Streamline detection head and augment data for occlusion.</w:t>
            </w:r>
          </w:p>
        </w:tc>
      </w:tr>
      <w:tr w:rsidR="00277B5F" w:rsidRPr="00E97760" w14:paraId="366C3951" w14:textId="77777777">
        <w:tc>
          <w:tcPr>
            <w:tcW w:w="1440" w:type="dxa"/>
          </w:tcPr>
          <w:p w14:paraId="6798ADF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8</w:t>
            </w:r>
          </w:p>
        </w:tc>
        <w:tc>
          <w:tcPr>
            <w:tcW w:w="1440" w:type="dxa"/>
          </w:tcPr>
          <w:p w14:paraId="6756E34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Small Defect Detection in PCBs Based on Multiscale Edge Strengthening and Improved YOLOv10</w:t>
            </w:r>
          </w:p>
        </w:tc>
        <w:tc>
          <w:tcPr>
            <w:tcW w:w="1440" w:type="dxa"/>
          </w:tcPr>
          <w:p w14:paraId="0B5AE38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Scientific Reports</w:t>
            </w:r>
          </w:p>
        </w:tc>
        <w:tc>
          <w:tcPr>
            <w:tcW w:w="1440" w:type="dxa"/>
          </w:tcPr>
          <w:p w14:paraId="38D6A03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DeepPCB / PKU-PCB</w:t>
            </w:r>
          </w:p>
        </w:tc>
        <w:tc>
          <w:tcPr>
            <w:tcW w:w="1440" w:type="dxa"/>
          </w:tcPr>
          <w:p w14:paraId="1CCDE581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Dual-distillation process is highly resource-intensive to train.</w:t>
            </w:r>
          </w:p>
        </w:tc>
        <w:tc>
          <w:tcPr>
            <w:tcW w:w="1440" w:type="dxa"/>
          </w:tcPr>
          <w:p w14:paraId="21EA5930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Develop single-stage lightweight distillation techniques.</w:t>
            </w:r>
          </w:p>
        </w:tc>
      </w:tr>
      <w:tr w:rsidR="00277B5F" w:rsidRPr="00E97760" w14:paraId="53D39396" w14:textId="77777777">
        <w:tc>
          <w:tcPr>
            <w:tcW w:w="1440" w:type="dxa"/>
          </w:tcPr>
          <w:p w14:paraId="70DF98B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9</w:t>
            </w:r>
          </w:p>
        </w:tc>
        <w:tc>
          <w:tcPr>
            <w:tcW w:w="1440" w:type="dxa"/>
          </w:tcPr>
          <w:p w14:paraId="4CF2787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Defect Detection Based on Improved YOLOv8n</w:t>
            </w:r>
          </w:p>
        </w:tc>
        <w:tc>
          <w:tcPr>
            <w:tcW w:w="1440" w:type="dxa"/>
          </w:tcPr>
          <w:p w14:paraId="0D04ABA0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AICIT Conference</w:t>
            </w:r>
          </w:p>
        </w:tc>
        <w:tc>
          <w:tcPr>
            <w:tcW w:w="1440" w:type="dxa"/>
          </w:tcPr>
          <w:p w14:paraId="0738E1A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HRIPCB / PKU-PCB</w:t>
            </w:r>
          </w:p>
        </w:tc>
        <w:tc>
          <w:tcPr>
            <w:tcW w:w="1440" w:type="dxa"/>
          </w:tcPr>
          <w:p w14:paraId="2C35BD4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Does not address variations in PCB background colors (e.g., green vs blue boards).</w:t>
            </w:r>
          </w:p>
        </w:tc>
        <w:tc>
          <w:tcPr>
            <w:tcW w:w="1440" w:type="dxa"/>
          </w:tcPr>
          <w:p w14:paraId="24AB1F11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Color-agnostic feature learning.</w:t>
            </w:r>
          </w:p>
        </w:tc>
      </w:tr>
      <w:tr w:rsidR="00277B5F" w:rsidRPr="00E97760" w14:paraId="5C92EE18" w14:textId="77777777">
        <w:tc>
          <w:tcPr>
            <w:tcW w:w="1440" w:type="dxa"/>
          </w:tcPr>
          <w:p w14:paraId="76D1B51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10</w:t>
            </w:r>
          </w:p>
        </w:tc>
        <w:tc>
          <w:tcPr>
            <w:tcW w:w="1440" w:type="dxa"/>
          </w:tcPr>
          <w:p w14:paraId="661DE84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Board Defect Detection Algorithm Based on Improved YOLOv8</w:t>
            </w:r>
          </w:p>
        </w:tc>
        <w:tc>
          <w:tcPr>
            <w:tcW w:w="1440" w:type="dxa"/>
          </w:tcPr>
          <w:p w14:paraId="24650EC4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ISAEECE</w:t>
            </w:r>
          </w:p>
        </w:tc>
        <w:tc>
          <w:tcPr>
            <w:tcW w:w="1440" w:type="dxa"/>
          </w:tcPr>
          <w:p w14:paraId="53F42B4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592E085B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Lacks cross-dataset validation; PConv implementation limits batch processing speed.</w:t>
            </w:r>
          </w:p>
        </w:tc>
        <w:tc>
          <w:tcPr>
            <w:tcW w:w="1440" w:type="dxa"/>
          </w:tcPr>
          <w:p w14:paraId="56036DA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Enhance PConv parallelism; test on DsPCBSD+.</w:t>
            </w:r>
          </w:p>
        </w:tc>
      </w:tr>
      <w:tr w:rsidR="00277B5F" w:rsidRPr="00E97760" w14:paraId="73BA4F6A" w14:textId="77777777">
        <w:tc>
          <w:tcPr>
            <w:tcW w:w="1440" w:type="dxa"/>
          </w:tcPr>
          <w:p w14:paraId="0BC4F8A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11</w:t>
            </w:r>
          </w:p>
        </w:tc>
        <w:tc>
          <w:tcPr>
            <w:tcW w:w="1440" w:type="dxa"/>
          </w:tcPr>
          <w:p w14:paraId="1E848BD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NeoPCB-YOLO: Next-generation Enhanced Optimization YOLO</w:t>
            </w:r>
          </w:p>
        </w:tc>
        <w:tc>
          <w:tcPr>
            <w:tcW w:w="1440" w:type="dxa"/>
          </w:tcPr>
          <w:p w14:paraId="5DF4A6A4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EIECS</w:t>
            </w:r>
          </w:p>
        </w:tc>
        <w:tc>
          <w:tcPr>
            <w:tcW w:w="1440" w:type="dxa"/>
          </w:tcPr>
          <w:p w14:paraId="0DA9D9F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DeepPCB</w:t>
            </w:r>
          </w:p>
        </w:tc>
        <w:tc>
          <w:tcPr>
            <w:tcW w:w="1440" w:type="dxa"/>
          </w:tcPr>
          <w:p w14:paraId="481C94C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Frequency Domain Convolution introduces conversion latency.</w:t>
            </w:r>
          </w:p>
        </w:tc>
        <w:tc>
          <w:tcPr>
            <w:tcW w:w="1440" w:type="dxa"/>
          </w:tcPr>
          <w:p w14:paraId="0B84764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Optimize FFT algorithms for faster runtime operations.</w:t>
            </w:r>
          </w:p>
        </w:tc>
      </w:tr>
      <w:tr w:rsidR="00277B5F" w:rsidRPr="00E97760" w14:paraId="1AEBD823" w14:textId="77777777">
        <w:tc>
          <w:tcPr>
            <w:tcW w:w="1440" w:type="dxa"/>
          </w:tcPr>
          <w:p w14:paraId="4D859C9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12</w:t>
            </w:r>
          </w:p>
        </w:tc>
        <w:tc>
          <w:tcPr>
            <w:tcW w:w="1440" w:type="dxa"/>
          </w:tcPr>
          <w:p w14:paraId="19D5ACF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RF-YOLO: Enhanced YOLOv8 Combining RFCAConv and FDPN</w:t>
            </w:r>
          </w:p>
        </w:tc>
        <w:tc>
          <w:tcPr>
            <w:tcW w:w="1440" w:type="dxa"/>
          </w:tcPr>
          <w:p w14:paraId="3559649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ICICML</w:t>
            </w:r>
          </w:p>
        </w:tc>
        <w:tc>
          <w:tcPr>
            <w:tcW w:w="1440" w:type="dxa"/>
          </w:tcPr>
          <w:p w14:paraId="417494B3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PKU-PCB</w:t>
            </w:r>
          </w:p>
        </w:tc>
        <w:tc>
          <w:tcPr>
            <w:tcW w:w="1440" w:type="dxa"/>
          </w:tcPr>
          <w:p w14:paraId="3079786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Lower baseline mAP (91.6%) compared to state-of-the-art models.</w:t>
            </w:r>
          </w:p>
        </w:tc>
        <w:tc>
          <w:tcPr>
            <w:tcW w:w="1440" w:type="dxa"/>
          </w:tcPr>
          <w:p w14:paraId="3F0E194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Incorporate richer feature pyramids without parameter bloat.</w:t>
            </w:r>
          </w:p>
        </w:tc>
      </w:tr>
      <w:tr w:rsidR="00277B5F" w:rsidRPr="00E97760" w14:paraId="082FED18" w14:textId="77777777">
        <w:tc>
          <w:tcPr>
            <w:tcW w:w="1440" w:type="dxa"/>
          </w:tcPr>
          <w:p w14:paraId="64CF846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13</w:t>
            </w:r>
          </w:p>
        </w:tc>
        <w:tc>
          <w:tcPr>
            <w:tcW w:w="1440" w:type="dxa"/>
          </w:tcPr>
          <w:p w14:paraId="0817BE3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ABF-YOLO: Fine-Grained PCB Defect Detection with Axial Attention</w:t>
            </w:r>
          </w:p>
        </w:tc>
        <w:tc>
          <w:tcPr>
            <w:tcW w:w="1440" w:type="dxa"/>
          </w:tcPr>
          <w:p w14:paraId="11E8E015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IEEE TCE</w:t>
            </w:r>
          </w:p>
        </w:tc>
        <w:tc>
          <w:tcPr>
            <w:tcW w:w="1440" w:type="dxa"/>
          </w:tcPr>
          <w:p w14:paraId="2DE93D8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DeepPCB</w:t>
            </w:r>
          </w:p>
        </w:tc>
        <w:tc>
          <w:tcPr>
            <w:tcW w:w="1440" w:type="dxa"/>
          </w:tcPr>
          <w:p w14:paraId="67EA2AD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Axial attention focuses narrowly; struggles with large-scale spatial defects.</w:t>
            </w:r>
          </w:p>
        </w:tc>
        <w:tc>
          <w:tcPr>
            <w:tcW w:w="1440" w:type="dxa"/>
          </w:tcPr>
          <w:p w14:paraId="1D7AB9A0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Combine axial with global self-attention mechanisms.</w:t>
            </w:r>
          </w:p>
        </w:tc>
      </w:tr>
      <w:tr w:rsidR="00277B5F" w:rsidRPr="00E97760" w14:paraId="505DDB46" w14:textId="77777777">
        <w:tc>
          <w:tcPr>
            <w:tcW w:w="1440" w:type="dxa"/>
          </w:tcPr>
          <w:p w14:paraId="31A76D83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14</w:t>
            </w:r>
          </w:p>
        </w:tc>
        <w:tc>
          <w:tcPr>
            <w:tcW w:w="1440" w:type="dxa"/>
          </w:tcPr>
          <w:p w14:paraId="7F21127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YOLOv8x-HICAUps: Attention Based Approach for PCB Defect Detection</w:t>
            </w:r>
          </w:p>
        </w:tc>
        <w:tc>
          <w:tcPr>
            <w:tcW w:w="1440" w:type="dxa"/>
          </w:tcPr>
          <w:p w14:paraId="32CED4F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IJEAST</w:t>
            </w:r>
          </w:p>
        </w:tc>
        <w:tc>
          <w:tcPr>
            <w:tcW w:w="1440" w:type="dxa"/>
          </w:tcPr>
          <w:p w14:paraId="43CE0C15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52B26C7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YOLOv8x backbone is too massive (68M params) for any practical edge deployment.</w:t>
            </w:r>
          </w:p>
        </w:tc>
        <w:tc>
          <w:tcPr>
            <w:tcW w:w="1440" w:type="dxa"/>
          </w:tcPr>
          <w:p w14:paraId="21F85EE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Scale down to nano/small architectures retaining HICAUps.</w:t>
            </w:r>
          </w:p>
        </w:tc>
      </w:tr>
      <w:tr w:rsidR="00277B5F" w:rsidRPr="00E97760" w14:paraId="01956E10" w14:textId="77777777">
        <w:tc>
          <w:tcPr>
            <w:tcW w:w="1440" w:type="dxa"/>
          </w:tcPr>
          <w:p w14:paraId="3BB1E2F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15</w:t>
            </w:r>
          </w:p>
        </w:tc>
        <w:tc>
          <w:tcPr>
            <w:tcW w:w="1440" w:type="dxa"/>
          </w:tcPr>
          <w:p w14:paraId="325D3C6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Defect Detection Network in PCB Circuit Devices Based on GAN Enhanced YOLOv11</w:t>
            </w:r>
          </w:p>
        </w:tc>
        <w:tc>
          <w:tcPr>
            <w:tcW w:w="1440" w:type="dxa"/>
          </w:tcPr>
          <w:p w14:paraId="3DE416D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Applied &amp; Comp. Eng.</w:t>
            </w:r>
          </w:p>
        </w:tc>
        <w:tc>
          <w:tcPr>
            <w:tcW w:w="1440" w:type="dxa"/>
          </w:tcPr>
          <w:p w14:paraId="724DDA0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Custom PCB</w:t>
            </w:r>
          </w:p>
        </w:tc>
        <w:tc>
          <w:tcPr>
            <w:tcW w:w="1440" w:type="dxa"/>
          </w:tcPr>
          <w:p w14:paraId="2FB20BC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Custom dataset prevents fair benchmarking against standard models.</w:t>
            </w:r>
          </w:p>
        </w:tc>
        <w:tc>
          <w:tcPr>
            <w:tcW w:w="1440" w:type="dxa"/>
          </w:tcPr>
          <w:p w14:paraId="5C7B4F13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Open-source the dataset and evaluate on DeepPCB/DsPCBSD+.</w:t>
            </w:r>
          </w:p>
        </w:tc>
      </w:tr>
      <w:tr w:rsidR="00277B5F" w:rsidRPr="00E97760" w14:paraId="6483D9E9" w14:textId="77777777">
        <w:tc>
          <w:tcPr>
            <w:tcW w:w="1440" w:type="dxa"/>
          </w:tcPr>
          <w:p w14:paraId="5CAC0D5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16</w:t>
            </w:r>
          </w:p>
        </w:tc>
        <w:tc>
          <w:tcPr>
            <w:tcW w:w="1440" w:type="dxa"/>
          </w:tcPr>
          <w:p w14:paraId="4F889EEB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Enhanced YOLOv11 Framework for High Precision PCB Defect Detection</w:t>
            </w:r>
          </w:p>
        </w:tc>
        <w:tc>
          <w:tcPr>
            <w:tcW w:w="1440" w:type="dxa"/>
          </w:tcPr>
          <w:p w14:paraId="47457A4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Scientific Reports</w:t>
            </w:r>
          </w:p>
        </w:tc>
        <w:tc>
          <w:tcPr>
            <w:tcW w:w="1440" w:type="dxa"/>
          </w:tcPr>
          <w:p w14:paraId="4F70FEF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3CF2F9C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EMA and CARAFE modules spike memory footprint during inference.</w:t>
            </w:r>
          </w:p>
        </w:tc>
        <w:tc>
          <w:tcPr>
            <w:tcW w:w="1440" w:type="dxa"/>
          </w:tcPr>
          <w:p w14:paraId="506597F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Investigate in-place memory optimization for EMA/CARAFE.</w:t>
            </w:r>
          </w:p>
        </w:tc>
      </w:tr>
      <w:tr w:rsidR="00277B5F" w:rsidRPr="00E97760" w14:paraId="63F2F629" w14:textId="77777777">
        <w:tc>
          <w:tcPr>
            <w:tcW w:w="1440" w:type="dxa"/>
          </w:tcPr>
          <w:p w14:paraId="314BB12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17</w:t>
            </w:r>
          </w:p>
        </w:tc>
        <w:tc>
          <w:tcPr>
            <w:tcW w:w="1440" w:type="dxa"/>
          </w:tcPr>
          <w:p w14:paraId="3FD852D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PCB-YOLO: Coordinate Attention and Multi-Scale Feature Fusion</w:t>
            </w:r>
          </w:p>
        </w:tc>
        <w:tc>
          <w:tcPr>
            <w:tcW w:w="1440" w:type="dxa"/>
          </w:tcPr>
          <w:p w14:paraId="68EF50A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PLOS ONE</w:t>
            </w:r>
          </w:p>
        </w:tc>
        <w:tc>
          <w:tcPr>
            <w:tcW w:w="1440" w:type="dxa"/>
          </w:tcPr>
          <w:p w14:paraId="3FF71B1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05D7598A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Loss function (WIPIoU) converges slowly during the first 100 epochs.</w:t>
            </w:r>
          </w:p>
        </w:tc>
        <w:tc>
          <w:tcPr>
            <w:tcW w:w="1440" w:type="dxa"/>
          </w:tcPr>
          <w:p w14:paraId="3192B33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Design dynamically scaling loss weighting schemes.</w:t>
            </w:r>
          </w:p>
        </w:tc>
      </w:tr>
      <w:tr w:rsidR="00277B5F" w:rsidRPr="00E97760" w14:paraId="03EBBD64" w14:textId="77777777">
        <w:tc>
          <w:tcPr>
            <w:tcW w:w="1440" w:type="dxa"/>
          </w:tcPr>
          <w:p w14:paraId="7ADA7C4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18</w:t>
            </w:r>
          </w:p>
        </w:tc>
        <w:tc>
          <w:tcPr>
            <w:tcW w:w="1440" w:type="dxa"/>
          </w:tcPr>
          <w:p w14:paraId="2ADE9386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YOLO-HDEW: An Efficient PCB Defect Detection Model</w:t>
            </w:r>
          </w:p>
        </w:tc>
        <w:tc>
          <w:tcPr>
            <w:tcW w:w="1440" w:type="dxa"/>
          </w:tcPr>
          <w:p w14:paraId="37CE4C8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Electronics</w:t>
            </w:r>
          </w:p>
        </w:tc>
        <w:tc>
          <w:tcPr>
            <w:tcW w:w="1440" w:type="dxa"/>
          </w:tcPr>
          <w:p w14:paraId="005AB083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3232406C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High-res P2 level processing bottlenecks overall throughput.</w:t>
            </w:r>
          </w:p>
        </w:tc>
        <w:tc>
          <w:tcPr>
            <w:tcW w:w="1440" w:type="dxa"/>
          </w:tcPr>
          <w:p w14:paraId="4CDE36D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Apply adaptive resolution processing based on defect sparsity.</w:t>
            </w:r>
          </w:p>
        </w:tc>
      </w:tr>
      <w:tr w:rsidR="00277B5F" w:rsidRPr="00E97760" w14:paraId="21F3D2A2" w14:textId="77777777">
        <w:tc>
          <w:tcPr>
            <w:tcW w:w="1440" w:type="dxa"/>
          </w:tcPr>
          <w:p w14:paraId="05CD578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19</w:t>
            </w:r>
          </w:p>
        </w:tc>
        <w:tc>
          <w:tcPr>
            <w:tcW w:w="1440" w:type="dxa"/>
          </w:tcPr>
          <w:p w14:paraId="31A3CAB5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Research on Lightweight PCB Defect Detection (YOLOv11-CGL)</w:t>
            </w:r>
          </w:p>
        </w:tc>
        <w:tc>
          <w:tcPr>
            <w:tcW w:w="1440" w:type="dxa"/>
          </w:tcPr>
          <w:p w14:paraId="73A45479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IJCATR</w:t>
            </w:r>
          </w:p>
        </w:tc>
        <w:tc>
          <w:tcPr>
            <w:tcW w:w="1440" w:type="dxa"/>
          </w:tcPr>
          <w:p w14:paraId="0249942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5BC663AE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Knowledge distillation setup requires tuning of multiple fragile hyperparameters.</w:t>
            </w:r>
          </w:p>
        </w:tc>
        <w:tc>
          <w:tcPr>
            <w:tcW w:w="1440" w:type="dxa"/>
          </w:tcPr>
          <w:p w14:paraId="64EAE22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Automate hyperparameter search for teacher-student pairs.</w:t>
            </w:r>
          </w:p>
        </w:tc>
      </w:tr>
      <w:tr w:rsidR="00277B5F" w:rsidRPr="00E97760" w14:paraId="1470F6EC" w14:textId="77777777">
        <w:tc>
          <w:tcPr>
            <w:tcW w:w="1440" w:type="dxa"/>
          </w:tcPr>
          <w:p w14:paraId="21E4551D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</w:t>
            </w:r>
          </w:p>
        </w:tc>
        <w:tc>
          <w:tcPr>
            <w:tcW w:w="1440" w:type="dxa"/>
          </w:tcPr>
          <w:p w14:paraId="4FA1FF3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Vision Transformer and Mamba-Attention Fusion for PCB Defect Detection</w:t>
            </w:r>
          </w:p>
        </w:tc>
        <w:tc>
          <w:tcPr>
            <w:tcW w:w="1440" w:type="dxa"/>
          </w:tcPr>
          <w:p w14:paraId="14C8DE57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2025, PLOS ONE</w:t>
            </w:r>
          </w:p>
        </w:tc>
        <w:tc>
          <w:tcPr>
            <w:tcW w:w="1440" w:type="dxa"/>
          </w:tcPr>
          <w:p w14:paraId="79065EA8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PCB dataset</w:t>
            </w:r>
          </w:p>
        </w:tc>
        <w:tc>
          <w:tcPr>
            <w:tcW w:w="1440" w:type="dxa"/>
          </w:tcPr>
          <w:p w14:paraId="046A55EF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Mamba-attention lacks native support on standard edge hardware accelerators.</w:t>
            </w:r>
          </w:p>
        </w:tc>
        <w:tc>
          <w:tcPr>
            <w:tcW w:w="1440" w:type="dxa"/>
          </w:tcPr>
          <w:p w14:paraId="7E6F71E2" w14:textId="77777777" w:rsidR="00277B5F" w:rsidRPr="00E97760" w:rsidRDefault="00000000">
            <w:pPr>
              <w:rPr>
                <w:rFonts w:ascii="Inter Display" w:hAnsi="Inter Display"/>
                <w:sz w:val="20"/>
                <w:szCs w:val="24"/>
              </w:rPr>
            </w:pPr>
            <w:r w:rsidRPr="00E97760">
              <w:rPr>
                <w:rFonts w:ascii="Inter Display" w:hAnsi="Inter Display"/>
                <w:sz w:val="20"/>
                <w:szCs w:val="24"/>
              </w:rPr>
              <w:t>Develop custom TensorRT plugins for Mamba-attention layers.</w:t>
            </w:r>
          </w:p>
        </w:tc>
      </w:tr>
    </w:tbl>
    <w:p w14:paraId="4CBD6D1D" w14:textId="77777777" w:rsidR="00277B5F" w:rsidRPr="00E97760" w:rsidRDefault="00000000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br w:type="page"/>
      </w:r>
    </w:p>
    <w:p w14:paraId="1A0FBFEA" w14:textId="00B40C72" w:rsidR="00277B5F" w:rsidRPr="00E97760" w:rsidRDefault="00000000">
      <w:pPr>
        <w:pStyle w:val="Heading1"/>
        <w:rPr>
          <w:rFonts w:ascii="Inter Display" w:hAnsi="Inter Display"/>
          <w:sz w:val="32"/>
          <w:szCs w:val="32"/>
        </w:rPr>
      </w:pPr>
      <w:r w:rsidRPr="00E97760">
        <w:rPr>
          <w:rFonts w:ascii="Inter Display" w:hAnsi="Inter Display"/>
          <w:sz w:val="32"/>
          <w:szCs w:val="32"/>
        </w:rPr>
        <w:t>Workflow &amp; Block Diagram</w:t>
      </w:r>
    </w:p>
    <w:p w14:paraId="7B229E10" w14:textId="1D4CDA32" w:rsidR="00E05F0E" w:rsidRDefault="00000000" w:rsidP="00E05F0E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t>The following block diagram outlines the systematic research methodology proposed for this project. This addresses the requirement for a complete, structured workflow.</w:t>
      </w:r>
    </w:p>
    <w:p w14:paraId="58463701" w14:textId="2BE095DF" w:rsidR="00E05F0E" w:rsidRPr="00E05F0E" w:rsidRDefault="00E05F0E" w:rsidP="00E05F0E">
      <w:pPr>
        <w:jc w:val="center"/>
        <w:rPr>
          <w:rFonts w:ascii="Inter Display" w:hAnsi="Inter Display"/>
          <w:sz w:val="20"/>
          <w:szCs w:val="24"/>
        </w:rPr>
      </w:pPr>
      <w:r w:rsidRPr="00E05F0E">
        <w:rPr>
          <w:rFonts w:ascii="Inter Display" w:hAnsi="Inter Display"/>
          <w:noProof/>
          <w:sz w:val="20"/>
          <w:szCs w:val="24"/>
        </w:rPr>
        <w:drawing>
          <wp:inline distT="0" distB="0" distL="0" distR="0" wp14:anchorId="61E24CAC" wp14:editId="03E34585">
            <wp:extent cx="3579636" cy="7416800"/>
            <wp:effectExtent l="0" t="0" r="0" b="0"/>
            <wp:docPr id="179261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6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405" cy="745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4573" w14:textId="2311B036" w:rsidR="00277B5F" w:rsidRPr="00E97760" w:rsidRDefault="00000000">
      <w:pPr>
        <w:pStyle w:val="Heading1"/>
        <w:rPr>
          <w:rFonts w:ascii="Inter Display" w:hAnsi="Inter Display"/>
          <w:sz w:val="32"/>
          <w:szCs w:val="32"/>
        </w:rPr>
      </w:pPr>
      <w:r w:rsidRPr="00E97760">
        <w:rPr>
          <w:rFonts w:ascii="Inter Display" w:hAnsi="Inter Display"/>
          <w:sz w:val="32"/>
          <w:szCs w:val="32"/>
        </w:rPr>
        <w:t>Dataset Decision</w:t>
      </w:r>
    </w:p>
    <w:p w14:paraId="67EC409D" w14:textId="063952B8" w:rsidR="00277B5F" w:rsidRPr="00E97760" w:rsidRDefault="00000000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t>Primary Candidate: DsPCBSD+</w:t>
      </w:r>
      <w:r w:rsidRPr="00E97760">
        <w:rPr>
          <w:rFonts w:ascii="Inter Display" w:hAnsi="Inter Display"/>
          <w:sz w:val="20"/>
          <w:szCs w:val="24"/>
        </w:rPr>
        <w:br/>
      </w:r>
      <w:r w:rsidRPr="00E97760">
        <w:rPr>
          <w:rFonts w:ascii="Inter Display" w:hAnsi="Inter Display"/>
          <w:sz w:val="20"/>
          <w:szCs w:val="24"/>
        </w:rPr>
        <w:br/>
        <w:t>Rationale:</w:t>
      </w:r>
      <w:r w:rsidRPr="00E97760">
        <w:rPr>
          <w:rFonts w:ascii="Inter Display" w:hAnsi="Inter Display"/>
          <w:sz w:val="20"/>
          <w:szCs w:val="24"/>
        </w:rPr>
        <w:br/>
        <w:t>• Pros: Publicly available, contains a wide variety of surface-defect types, provides high-resolution images, and serves as a benchmark standard in many of the top reviewed Scopus/Elsevier papers.</w:t>
      </w:r>
      <w:r w:rsidRPr="00E97760">
        <w:rPr>
          <w:rFonts w:ascii="Inter Display" w:hAnsi="Inter Display"/>
          <w:sz w:val="20"/>
          <w:szCs w:val="24"/>
        </w:rPr>
        <w:br/>
        <w:t>• Cons / Mitigation: Some papers report that it relies on synthetic augmentations. We will mitigate this by potentially supplementing with a small subset of manually captured PCB images from the lab to ensure real-world robustness.</w:t>
      </w:r>
      <w:r w:rsidRPr="00E97760">
        <w:rPr>
          <w:rFonts w:ascii="Inter Display" w:hAnsi="Inter Display"/>
          <w:sz w:val="20"/>
          <w:szCs w:val="24"/>
        </w:rPr>
        <w:br/>
      </w:r>
      <w:r w:rsidRPr="00E97760">
        <w:rPr>
          <w:rFonts w:ascii="Inter Display" w:hAnsi="Inter Display"/>
          <w:sz w:val="20"/>
          <w:szCs w:val="24"/>
        </w:rPr>
        <w:br/>
        <w:t>Action Items:</w:t>
      </w:r>
      <w:r w:rsidRPr="00E97760">
        <w:rPr>
          <w:rFonts w:ascii="Inter Display" w:hAnsi="Inter Display"/>
          <w:sz w:val="20"/>
          <w:szCs w:val="24"/>
        </w:rPr>
        <w:br/>
        <w:t>1. Verify file counts and image formats.</w:t>
      </w:r>
      <w:r w:rsidRPr="00E97760">
        <w:rPr>
          <w:rFonts w:ascii="Inter Display" w:hAnsi="Inter Display"/>
          <w:sz w:val="20"/>
          <w:szCs w:val="24"/>
        </w:rPr>
        <w:br/>
        <w:t>2. Perform a statistical class-balance analysis.</w:t>
      </w:r>
      <w:r w:rsidRPr="00E97760">
        <w:rPr>
          <w:rFonts w:ascii="Inter Display" w:hAnsi="Inter Display"/>
          <w:sz w:val="20"/>
          <w:szCs w:val="24"/>
        </w:rPr>
        <w:br/>
        <w:t>3. Apply target augmentations to improve domain robustness.</w:t>
      </w:r>
    </w:p>
    <w:p w14:paraId="6D77C031" w14:textId="169ED0D3" w:rsidR="00277B5F" w:rsidRPr="00E97760" w:rsidRDefault="00000000">
      <w:pPr>
        <w:pStyle w:val="Heading1"/>
        <w:rPr>
          <w:rFonts w:ascii="Inter Display" w:hAnsi="Inter Display"/>
          <w:sz w:val="32"/>
          <w:szCs w:val="32"/>
        </w:rPr>
      </w:pPr>
      <w:r w:rsidRPr="00E97760">
        <w:rPr>
          <w:rFonts w:ascii="Inter Display" w:hAnsi="Inter Display"/>
          <w:sz w:val="32"/>
          <w:szCs w:val="32"/>
        </w:rPr>
        <w:t>Model / Architecture Recommendations</w:t>
      </w:r>
    </w:p>
    <w:p w14:paraId="26150CFE" w14:textId="77777777" w:rsidR="00277B5F" w:rsidRDefault="00000000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t>Based on the literature gaps identified in the paper analysis, we propose a two-track approach addressing both extreme lightweight edge-deployment and high-accuracy context-aware detection.</w:t>
      </w:r>
    </w:p>
    <w:p w14:paraId="57304A22" w14:textId="1025173E" w:rsidR="00E05F0E" w:rsidRPr="00E05F0E" w:rsidRDefault="00E05F0E">
      <w:pPr>
        <w:rPr>
          <w:rFonts w:ascii="Inter Display" w:hAnsi="Inter Display"/>
          <w:i/>
          <w:iCs/>
          <w:sz w:val="20"/>
          <w:szCs w:val="24"/>
        </w:rPr>
      </w:pPr>
      <w:r w:rsidRPr="00E05F0E">
        <w:rPr>
          <w:rFonts w:ascii="Inter Display" w:hAnsi="Inter Display"/>
          <w:i/>
          <w:iCs/>
          <w:sz w:val="20"/>
          <w:szCs w:val="24"/>
        </w:rPr>
        <w:t xml:space="preserve">But each will have a specific use case only – Lightweight for edge machines, High-Accuracy with </w:t>
      </w:r>
      <w:proofErr w:type="gramStart"/>
      <w:r w:rsidRPr="00E05F0E">
        <w:rPr>
          <w:rFonts w:ascii="Inter Display" w:hAnsi="Inter Display"/>
          <w:i/>
          <w:iCs/>
          <w:sz w:val="20"/>
          <w:szCs w:val="24"/>
        </w:rPr>
        <w:t>more bulky</w:t>
      </w:r>
      <w:proofErr w:type="gramEnd"/>
      <w:r w:rsidRPr="00E05F0E">
        <w:rPr>
          <w:rFonts w:ascii="Inter Display" w:hAnsi="Inter Display"/>
          <w:i/>
          <w:iCs/>
          <w:sz w:val="20"/>
          <w:szCs w:val="24"/>
        </w:rPr>
        <w:t xml:space="preserve">, centralized </w:t>
      </w:r>
      <w:r>
        <w:rPr>
          <w:rFonts w:ascii="Inter Display" w:hAnsi="Inter Display"/>
          <w:i/>
          <w:iCs/>
          <w:sz w:val="20"/>
          <w:szCs w:val="24"/>
        </w:rPr>
        <w:t>super-</w:t>
      </w:r>
      <w:r w:rsidRPr="00E05F0E">
        <w:rPr>
          <w:rFonts w:ascii="Inter Display" w:hAnsi="Inter Display"/>
          <w:i/>
          <w:iCs/>
          <w:sz w:val="20"/>
          <w:szCs w:val="24"/>
        </w:rPr>
        <w:t>machines</w:t>
      </w:r>
      <w:r>
        <w:rPr>
          <w:rFonts w:ascii="Inter Display" w:hAnsi="Inter Display"/>
          <w:i/>
          <w:iCs/>
          <w:sz w:val="20"/>
          <w:szCs w:val="24"/>
        </w:rPr>
        <w:t>.</w:t>
      </w:r>
    </w:p>
    <w:p w14:paraId="10A0230D" w14:textId="77777777" w:rsidR="00277B5F" w:rsidRPr="00E97760" w:rsidRDefault="00000000">
      <w:pPr>
        <w:pStyle w:val="Heading2"/>
        <w:rPr>
          <w:rFonts w:ascii="Inter Display" w:hAnsi="Inter Display"/>
          <w:sz w:val="28"/>
          <w:szCs w:val="28"/>
        </w:rPr>
      </w:pPr>
      <w:r w:rsidRPr="00E97760">
        <w:rPr>
          <w:rFonts w:ascii="Inter Display" w:hAnsi="Inter Display"/>
          <w:sz w:val="28"/>
          <w:szCs w:val="28"/>
        </w:rPr>
        <w:t>Track 1: Lightweight YOLO</w:t>
      </w:r>
    </w:p>
    <w:p w14:paraId="6A6D54BB" w14:textId="0DC609C8" w:rsidR="00277B5F" w:rsidRPr="00E97760" w:rsidRDefault="00000000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t>• Candidate: YOLOv11-s (Custom Pruned) or YOLOv8-n with Hybrid Feature Pyramid Module (HFPM).</w:t>
      </w:r>
      <w:r w:rsidR="00E05F0E">
        <w:rPr>
          <w:rFonts w:ascii="Inter Display" w:hAnsi="Inter Display"/>
          <w:sz w:val="20"/>
          <w:szCs w:val="24"/>
        </w:rPr>
        <w:br/>
        <w:t>* s=small, n=nano</w:t>
      </w:r>
      <w:r w:rsidRPr="00E97760">
        <w:rPr>
          <w:rFonts w:ascii="Inter Display" w:hAnsi="Inter Display"/>
          <w:sz w:val="20"/>
          <w:szCs w:val="24"/>
        </w:rPr>
        <w:br/>
        <w:t>• Reason: Identified as highly efficient. By pruning and applying quantization-aware training, we target sub-30ms inference on edge devices like the Nvidia Jetson Nano while maintaining ~94-96% mAP.</w:t>
      </w:r>
    </w:p>
    <w:p w14:paraId="7F586DCF" w14:textId="77777777" w:rsidR="00277B5F" w:rsidRPr="00E97760" w:rsidRDefault="00000000">
      <w:pPr>
        <w:pStyle w:val="Heading2"/>
        <w:rPr>
          <w:rFonts w:ascii="Inter Display" w:hAnsi="Inter Display"/>
          <w:sz w:val="28"/>
          <w:szCs w:val="28"/>
        </w:rPr>
      </w:pPr>
      <w:r w:rsidRPr="00E97760">
        <w:rPr>
          <w:rFonts w:ascii="Inter Display" w:hAnsi="Inter Display"/>
          <w:sz w:val="28"/>
          <w:szCs w:val="28"/>
        </w:rPr>
        <w:t>Track 2: Transformer / Hybrid Model</w:t>
      </w:r>
    </w:p>
    <w:p w14:paraId="7E79A345" w14:textId="256D5C25" w:rsidR="00277B5F" w:rsidRDefault="00000000">
      <w:pPr>
        <w:rPr>
          <w:rFonts w:ascii="Inter Display" w:hAnsi="Inter Display"/>
          <w:sz w:val="20"/>
          <w:szCs w:val="24"/>
        </w:rPr>
      </w:pPr>
      <w:r w:rsidRPr="00E97760">
        <w:rPr>
          <w:rFonts w:ascii="Inter Display" w:hAnsi="Inter Display"/>
          <w:sz w:val="20"/>
          <w:szCs w:val="24"/>
        </w:rPr>
        <w:t>• Candidate: ViT-Tiny with Light-CNN Feature Fusion or Lightweight RT-DETR.</w:t>
      </w:r>
      <w:r w:rsidR="00E05F0E">
        <w:rPr>
          <w:rFonts w:ascii="Inter Display" w:hAnsi="Inter Display"/>
          <w:sz w:val="20"/>
          <w:szCs w:val="24"/>
        </w:rPr>
        <w:br/>
        <w:t xml:space="preserve">* </w:t>
      </w:r>
      <w:proofErr w:type="spellStart"/>
      <w:r w:rsidR="00E05F0E">
        <w:rPr>
          <w:rFonts w:ascii="Inter Display" w:hAnsi="Inter Display"/>
          <w:sz w:val="20"/>
          <w:szCs w:val="24"/>
        </w:rPr>
        <w:t>ViT</w:t>
      </w:r>
      <w:proofErr w:type="spellEnd"/>
      <w:r w:rsidR="00E05F0E">
        <w:rPr>
          <w:rFonts w:ascii="Inter Display" w:hAnsi="Inter Display"/>
          <w:sz w:val="20"/>
          <w:szCs w:val="24"/>
        </w:rPr>
        <w:t>=Vision Transformer, DETR=Detection Transformer, RT=Real Time</w:t>
      </w:r>
      <w:r w:rsidRPr="00E97760">
        <w:rPr>
          <w:rFonts w:ascii="Inter Display" w:hAnsi="Inter Display"/>
          <w:sz w:val="20"/>
          <w:szCs w:val="24"/>
        </w:rPr>
        <w:br/>
        <w:t>• Reason: Highlighted that transformers handle dense, overlapping defects better. This serves as a secondary, highly robust baseline.</w:t>
      </w:r>
    </w:p>
    <w:p w14:paraId="03DDB83F" w14:textId="3AE76A6D" w:rsidR="009A36E1" w:rsidRDefault="009A36E1" w:rsidP="00DE57F1">
      <w:pPr>
        <w:spacing w:before="100" w:beforeAutospacing="1" w:after="100" w:afterAutospacing="1" w:line="240" w:lineRule="auto"/>
        <w:outlineLvl w:val="0"/>
        <w:rPr>
          <w:rFonts w:ascii="Inter Display" w:hAnsi="Inter Display"/>
          <w:sz w:val="20"/>
          <w:szCs w:val="24"/>
        </w:rPr>
      </w:pPr>
    </w:p>
    <w:p w14:paraId="78F663BC" w14:textId="77777777" w:rsidR="009A36E1" w:rsidRDefault="009A36E1" w:rsidP="00DE57F1">
      <w:pPr>
        <w:spacing w:before="100" w:beforeAutospacing="1" w:after="100" w:afterAutospacing="1" w:line="240" w:lineRule="auto"/>
        <w:outlineLvl w:val="0"/>
        <w:rPr>
          <w:rFonts w:ascii="SF Pro Display" w:eastAsia="Times New Roman" w:hAnsi="SF Pro Display" w:cs="Times New Roman"/>
          <w:b/>
          <w:bCs/>
          <w:color w:val="1F497D" w:themeColor="text2"/>
          <w:kern w:val="36"/>
          <w:sz w:val="40"/>
          <w:szCs w:val="40"/>
          <w:lang w:val="en-IN" w:eastAsia="en-IN"/>
        </w:rPr>
      </w:pPr>
    </w:p>
    <w:p w14:paraId="53E445CA" w14:textId="31938839" w:rsidR="00DE57F1" w:rsidRPr="009E3E9C" w:rsidRDefault="00DE57F1" w:rsidP="00DE57F1">
      <w:pPr>
        <w:spacing w:before="100" w:beforeAutospacing="1" w:after="100" w:afterAutospacing="1" w:line="240" w:lineRule="auto"/>
        <w:outlineLvl w:val="0"/>
        <w:rPr>
          <w:rFonts w:ascii="Inter Display" w:eastAsia="Times New Roman" w:hAnsi="Inter Display" w:cs="Times New Roman"/>
          <w:b/>
          <w:bCs/>
          <w:color w:val="1F497D" w:themeColor="text2"/>
          <w:kern w:val="36"/>
          <w:sz w:val="40"/>
          <w:szCs w:val="40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color w:val="1F497D" w:themeColor="text2"/>
          <w:kern w:val="36"/>
          <w:sz w:val="40"/>
          <w:szCs w:val="40"/>
          <w:lang w:val="en-IN" w:eastAsia="en-IN"/>
        </w:rPr>
        <w:t>Exploratory Data Analysis (EDA) Report</w:t>
      </w:r>
    </w:p>
    <w:p w14:paraId="3FD85424" w14:textId="77777777" w:rsidR="00DE57F1" w:rsidRPr="009E3E9C" w:rsidRDefault="00DE57F1" w:rsidP="00DE57F1">
      <w:pPr>
        <w:spacing w:before="100" w:beforeAutospacing="1" w:after="100" w:afterAutospacing="1" w:line="240" w:lineRule="auto"/>
        <w:outlineLvl w:val="1"/>
        <w:rPr>
          <w:rFonts w:ascii="Inter Display" w:eastAsia="Times New Roman" w:hAnsi="Inter Display" w:cs="Times New Roman"/>
          <w:b/>
          <w:bCs/>
          <w:sz w:val="36"/>
          <w:szCs w:val="36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sz w:val="36"/>
          <w:szCs w:val="36"/>
          <w:lang w:val="en-IN" w:eastAsia="en-IN"/>
        </w:rPr>
        <w:t>1. Bounding Box Integrity</w:t>
      </w:r>
    </w:p>
    <w:p w14:paraId="6920AD56" w14:textId="77777777" w:rsidR="00DE57F1" w:rsidRPr="009E3E9C" w:rsidRDefault="00DE57F1" w:rsidP="00DE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 Display" w:eastAsia="Times New Roman" w:hAnsi="Inter Display" w:cs="Times New Roman"/>
          <w:sz w:val="21"/>
          <w:szCs w:val="21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sz w:val="21"/>
          <w:szCs w:val="21"/>
          <w:lang w:val="en-IN" w:eastAsia="en-IN"/>
        </w:rPr>
        <w:t>Total Bounding Boxes Evaluated:</w:t>
      </w:r>
      <w:r w:rsidRPr="009E3E9C">
        <w:rPr>
          <w:rFonts w:ascii="Inter Display" w:eastAsia="Times New Roman" w:hAnsi="Inter Display" w:cs="Times New Roman"/>
          <w:sz w:val="21"/>
          <w:szCs w:val="21"/>
          <w:lang w:val="en-IN" w:eastAsia="en-IN"/>
        </w:rPr>
        <w:t> 20,276</w:t>
      </w:r>
    </w:p>
    <w:p w14:paraId="25A6A84A" w14:textId="77777777" w:rsidR="00DE57F1" w:rsidRPr="009E3E9C" w:rsidRDefault="00DE57F1" w:rsidP="00DE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 Display" w:eastAsia="Times New Roman" w:hAnsi="Inter Display" w:cs="Times New Roman"/>
          <w:sz w:val="21"/>
          <w:szCs w:val="21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sz w:val="21"/>
          <w:szCs w:val="21"/>
          <w:lang w:val="en-IN" w:eastAsia="en-IN"/>
        </w:rPr>
        <w:t>Invalid Bounding Boxes:</w:t>
      </w:r>
      <w:r w:rsidRPr="009E3E9C">
        <w:rPr>
          <w:rFonts w:ascii="Inter Display" w:eastAsia="Times New Roman" w:hAnsi="Inter Display" w:cs="Times New Roman"/>
          <w:sz w:val="21"/>
          <w:szCs w:val="21"/>
          <w:lang w:val="en-IN" w:eastAsia="en-IN"/>
        </w:rPr>
        <w:t> 0</w:t>
      </w:r>
    </w:p>
    <w:p w14:paraId="0592F5E1" w14:textId="77777777" w:rsidR="00DE57F1" w:rsidRPr="009E3E9C" w:rsidRDefault="00DE57F1" w:rsidP="00DE5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 Display" w:eastAsia="Times New Roman" w:hAnsi="Inter Display" w:cs="Times New Roman"/>
          <w:sz w:val="21"/>
          <w:szCs w:val="21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sz w:val="21"/>
          <w:szCs w:val="21"/>
          <w:lang w:val="en-IN" w:eastAsia="en-IN"/>
        </w:rPr>
        <w:t>Status:</w:t>
      </w:r>
      <w:r w:rsidRPr="009E3E9C">
        <w:rPr>
          <w:rFonts w:ascii="Inter Display" w:eastAsia="Times New Roman" w:hAnsi="Inter Display" w:cs="Times New Roman"/>
          <w:sz w:val="21"/>
          <w:szCs w:val="21"/>
          <w:lang w:val="en-IN" w:eastAsia="en-IN"/>
        </w:rPr>
        <w:t> All bounding boxes fall within the expected normalized </w:t>
      </w:r>
      <w:r w:rsidRPr="009E3E9C">
        <w:rPr>
          <w:rFonts w:ascii="Inter Display" w:eastAsia="Times New Roman" w:hAnsi="Inter Display" w:cs="Courier New"/>
          <w:sz w:val="19"/>
          <w:szCs w:val="19"/>
          <w:lang w:val="en-IN" w:eastAsia="en-IN"/>
        </w:rPr>
        <w:t>[0, 1]</w:t>
      </w:r>
      <w:r w:rsidRPr="009E3E9C">
        <w:rPr>
          <w:rFonts w:ascii="Inter Display" w:eastAsia="Times New Roman" w:hAnsi="Inter Display" w:cs="Times New Roman"/>
          <w:sz w:val="21"/>
          <w:szCs w:val="21"/>
          <w:lang w:val="en-IN" w:eastAsia="en-IN"/>
        </w:rPr>
        <w:t> ranges and have valid widths and heights. This confirms the structural integrity of your labels.</w:t>
      </w:r>
    </w:p>
    <w:p w14:paraId="71EF67CA" w14:textId="77777777" w:rsidR="00DE57F1" w:rsidRPr="009E3E9C" w:rsidRDefault="00DE57F1" w:rsidP="00DE57F1">
      <w:pPr>
        <w:spacing w:before="100" w:beforeAutospacing="1" w:after="100" w:afterAutospacing="1" w:line="240" w:lineRule="auto"/>
        <w:outlineLvl w:val="1"/>
        <w:rPr>
          <w:rFonts w:ascii="Inter Display" w:eastAsia="Times New Roman" w:hAnsi="Inter Display" w:cs="Times New Roman"/>
          <w:b/>
          <w:bCs/>
          <w:sz w:val="36"/>
          <w:szCs w:val="36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sz w:val="36"/>
          <w:szCs w:val="36"/>
          <w:lang w:val="en-IN" w:eastAsia="en-IN"/>
        </w:rPr>
        <w:t>2. Class Balance Analysis</w:t>
      </w:r>
    </w:p>
    <w:p w14:paraId="33665EFC" w14:textId="5C7CE6CC" w:rsidR="00DE57F1" w:rsidRPr="009E3E9C" w:rsidRDefault="00DE57F1" w:rsidP="00DE57F1">
      <w:pPr>
        <w:spacing w:after="0" w:line="240" w:lineRule="auto"/>
        <w:rPr>
          <w:rFonts w:ascii="Inter Display" w:eastAsia="Times New Roman" w:hAnsi="Inter Display" w:cs="Times New Roman"/>
          <w:sz w:val="21"/>
          <w:szCs w:val="21"/>
          <w:lang w:val="en-IN" w:eastAsia="en-IN"/>
        </w:rPr>
      </w:pPr>
      <w:r w:rsidRPr="009E3E9C">
        <w:rPr>
          <w:rFonts w:ascii="Inter Display" w:eastAsia="Times New Roman" w:hAnsi="Inter Display" w:cs="Times New Roman"/>
          <w:noProof/>
          <w:sz w:val="21"/>
          <w:szCs w:val="21"/>
          <w:lang w:val="en-IN" w:eastAsia="en-IN"/>
        </w:rPr>
        <w:drawing>
          <wp:inline distT="0" distB="0" distL="0" distR="0" wp14:anchorId="72045BA3" wp14:editId="7701245C">
            <wp:extent cx="5486400" cy="3289300"/>
            <wp:effectExtent l="0" t="0" r="0" b="6350"/>
            <wp:docPr id="553635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ABA7" w14:textId="64B73660" w:rsidR="00DE57F1" w:rsidRPr="009E3E9C" w:rsidRDefault="00DE57F1" w:rsidP="00DE57F1">
      <w:pPr>
        <w:spacing w:after="0" w:line="240" w:lineRule="auto"/>
        <w:rPr>
          <w:rFonts w:ascii="Inter Display" w:eastAsia="Times New Roman" w:hAnsi="Inter Display" w:cs="Times New Roman"/>
          <w:sz w:val="21"/>
          <w:szCs w:val="21"/>
          <w:lang w:val="en-IN" w:eastAsia="en-IN"/>
        </w:rPr>
      </w:pPr>
      <w:r w:rsidRPr="009E3E9C">
        <w:rPr>
          <w:rFonts w:ascii="Inter Display" w:eastAsia="Times New Roman" w:hAnsi="Inter Display" w:cs="Times New Roman"/>
          <w:sz w:val="21"/>
          <w:szCs w:val="21"/>
          <w:lang w:val="en-IN" w:eastAsia="en-IN"/>
        </w:rPr>
        <w:t>Some classes have significantly fewer examples than others, might need to apply class-specific data augmentation techniques before training model.</w:t>
      </w:r>
    </w:p>
    <w:p w14:paraId="01DB0FC5" w14:textId="77777777" w:rsidR="00DE57F1" w:rsidRPr="009E3E9C" w:rsidRDefault="00DE57F1" w:rsidP="00DE57F1">
      <w:pPr>
        <w:spacing w:before="100" w:beforeAutospacing="1" w:after="100" w:afterAutospacing="1" w:line="240" w:lineRule="auto"/>
        <w:outlineLvl w:val="1"/>
        <w:rPr>
          <w:rFonts w:ascii="Inter Display" w:eastAsia="Times New Roman" w:hAnsi="Inter Display" w:cs="Times New Roman"/>
          <w:b/>
          <w:bCs/>
          <w:sz w:val="36"/>
          <w:szCs w:val="36"/>
          <w:lang w:val="en-IN" w:eastAsia="en-IN"/>
        </w:rPr>
      </w:pPr>
      <w:r w:rsidRPr="009E3E9C">
        <w:rPr>
          <w:rFonts w:ascii="Inter Display" w:eastAsia="Times New Roman" w:hAnsi="Inter Display" w:cs="Times New Roman"/>
          <w:b/>
          <w:bCs/>
          <w:sz w:val="36"/>
          <w:szCs w:val="36"/>
          <w:lang w:val="en-IN" w:eastAsia="en-IN"/>
        </w:rPr>
        <w:t>3. Visual Verification</w:t>
      </w:r>
    </w:p>
    <w:p w14:paraId="4BF8B3D6" w14:textId="77777777" w:rsidR="00DE57F1" w:rsidRPr="009E3E9C" w:rsidRDefault="00DE57F1" w:rsidP="00DE57F1">
      <w:pPr>
        <w:spacing w:after="0" w:line="240" w:lineRule="auto"/>
        <w:rPr>
          <w:rFonts w:ascii="Inter Display" w:eastAsia="Times New Roman" w:hAnsi="Inter Display" w:cs="Times New Roman"/>
          <w:sz w:val="21"/>
          <w:szCs w:val="21"/>
          <w:lang w:val="en-IN" w:eastAsia="en-IN"/>
        </w:rPr>
      </w:pPr>
      <w:r w:rsidRPr="009E3E9C">
        <w:rPr>
          <w:rFonts w:ascii="Inter Display" w:eastAsia="Times New Roman" w:hAnsi="Inter Display" w:cs="Times New Roman"/>
          <w:sz w:val="21"/>
          <w:szCs w:val="21"/>
          <w:lang w:val="en-IN" w:eastAsia="en-IN"/>
        </w:rPr>
        <w:t>We ran a visual check on a sample image to ensure the bounding boxes align correctly with the physical defects on the PCB.</w:t>
      </w:r>
    </w:p>
    <w:p w14:paraId="1F17E639" w14:textId="60FE33A0" w:rsidR="00DE57F1" w:rsidRPr="009E3E9C" w:rsidRDefault="00DE57F1" w:rsidP="00DE57F1">
      <w:pPr>
        <w:spacing w:after="0" w:line="240" w:lineRule="auto"/>
        <w:rPr>
          <w:rFonts w:ascii="Inter Display" w:eastAsia="Times New Roman" w:hAnsi="Inter Display" w:cs="Times New Roman"/>
          <w:sz w:val="24"/>
          <w:szCs w:val="24"/>
          <w:lang w:val="en-IN" w:eastAsia="en-IN"/>
        </w:rPr>
      </w:pPr>
      <w:r w:rsidRPr="009E3E9C">
        <w:rPr>
          <w:rFonts w:ascii="Inter Display" w:eastAsia="Times New Roman" w:hAnsi="Inter Display" w:cs="Times New Roman"/>
          <w:noProof/>
          <w:sz w:val="21"/>
          <w:szCs w:val="21"/>
          <w:lang w:val="en-IN" w:eastAsia="en-IN"/>
        </w:rPr>
        <w:drawing>
          <wp:inline distT="0" distB="0" distL="0" distR="0" wp14:anchorId="130F6084" wp14:editId="4FF654D6">
            <wp:extent cx="3810000" cy="3810000"/>
            <wp:effectExtent l="0" t="0" r="0" b="0"/>
            <wp:docPr id="2116384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E9C">
        <w:rPr>
          <w:rFonts w:ascii="Inter Display" w:eastAsia="Times New Roman" w:hAnsi="Inter Display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31ABE11B" wp14:editId="29E791DE">
                <wp:extent cx="304800" cy="304800"/>
                <wp:effectExtent l="0" t="0" r="0" b="0"/>
                <wp:docPr id="522041871" name="AutoShape 17" descr="Sample Annotation Che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20BAB" id="AutoShape 17" o:spid="_x0000_s1026" alt="Sample Annotation Che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F65A57" w14:textId="77777777" w:rsidR="00DE57F1" w:rsidRPr="009E3E9C" w:rsidRDefault="00DE57F1">
      <w:pPr>
        <w:rPr>
          <w:rFonts w:ascii="Inter Display" w:hAnsi="Inter Display"/>
          <w:sz w:val="20"/>
          <w:szCs w:val="24"/>
        </w:rPr>
      </w:pPr>
    </w:p>
    <w:sectPr w:rsidR="00DE57F1" w:rsidRPr="009E3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 Display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SF Pro Display">
    <w:panose1 w:val="00000500000000000000"/>
    <w:charset w:val="00"/>
    <w:family w:val="auto"/>
    <w:pitch w:val="variable"/>
    <w:sig w:usb0="A10002FF" w:usb1="5240E4FF" w:usb2="04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77DA5"/>
    <w:multiLevelType w:val="multilevel"/>
    <w:tmpl w:val="139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3540915">
    <w:abstractNumId w:val="8"/>
  </w:num>
  <w:num w:numId="2" w16cid:durableId="810361980">
    <w:abstractNumId w:val="6"/>
  </w:num>
  <w:num w:numId="3" w16cid:durableId="1811972068">
    <w:abstractNumId w:val="5"/>
  </w:num>
  <w:num w:numId="4" w16cid:durableId="314144336">
    <w:abstractNumId w:val="4"/>
  </w:num>
  <w:num w:numId="5" w16cid:durableId="184877584">
    <w:abstractNumId w:val="7"/>
  </w:num>
  <w:num w:numId="6" w16cid:durableId="50005025">
    <w:abstractNumId w:val="3"/>
  </w:num>
  <w:num w:numId="7" w16cid:durableId="574433442">
    <w:abstractNumId w:val="2"/>
  </w:num>
  <w:num w:numId="8" w16cid:durableId="1725174071">
    <w:abstractNumId w:val="1"/>
  </w:num>
  <w:num w:numId="9" w16cid:durableId="689572045">
    <w:abstractNumId w:val="0"/>
  </w:num>
  <w:num w:numId="10" w16cid:durableId="1303267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B5F"/>
    <w:rsid w:val="0029639D"/>
    <w:rsid w:val="00326F90"/>
    <w:rsid w:val="005C6345"/>
    <w:rsid w:val="006609EA"/>
    <w:rsid w:val="00806CB6"/>
    <w:rsid w:val="009A36E1"/>
    <w:rsid w:val="009E3E9C"/>
    <w:rsid w:val="00AA1D8D"/>
    <w:rsid w:val="00B47730"/>
    <w:rsid w:val="00CB0664"/>
    <w:rsid w:val="00D67832"/>
    <w:rsid w:val="00DE57F1"/>
    <w:rsid w:val="00E05F0E"/>
    <w:rsid w:val="00E97760"/>
    <w:rsid w:val="00EF7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72AAA"/>
  <w14:defaultImageDpi w14:val="300"/>
  <w15:docId w15:val="{6CE04ED2-708D-44B8-BED0-E7A1D519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8</Pages>
  <Words>1210</Words>
  <Characters>6898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Bibliometric Overview</vt:lpstr>
      <vt:lpstr>Paper-by-Paper Summary (Year, Publisher, Dataset, Limitations, Future Work)</vt:lpstr>
      <vt:lpstr>Workflow &amp; Block Diagram</vt:lpstr>
      <vt:lpstr>Dataset Decision</vt:lpstr>
      <vt:lpstr>Model / Architecture Recommendations</vt:lpstr>
      <vt:lpstr>    Track 1: Lightweight YOLO</vt:lpstr>
      <vt:lpstr>    Track 2: Transformer / Hybrid Model</vt:lpstr>
      <vt:lpstr/>
      <vt:lpstr/>
      <vt:lpstr>Exploratory Data Analysis (EDA) Report</vt:lpstr>
      <vt:lpstr>    1. Bounding Box Integrity</vt:lpstr>
      <vt:lpstr>    2. Class Balance Analysis</vt:lpstr>
      <vt:lpstr>    3. Visual Verification</vt:lpstr>
    </vt:vector>
  </TitlesOfParts>
  <Manager/>
  <Company/>
  <LinksUpToDate>false</LinksUpToDate>
  <CharactersWithSpaces>8092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Sinha</cp:lastModifiedBy>
  <cp:revision>6</cp:revision>
  <dcterms:created xsi:type="dcterms:W3CDTF">2013-12-23T23:15:00Z</dcterms:created>
  <dcterms:modified xsi:type="dcterms:W3CDTF">2026-07-28T05:43:00Z</dcterms:modified>
  <cp:category/>
</cp:coreProperties>
</file>