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Adaptive Resolution Routing and Dual-Track CNN-Transformer Fusion for High-Throughput Printed Circuit Board Defect Detection</w:t>
      </w:r>
    </w:p>
    <w:p>
      <w:r>
        <w:t>**Abhinav Kumar Sinha¹,\*, Janie M Sidikh¹, &amp; Atharva Rahul Tambakhe¹**</w:t>
      </w:r>
    </w:p>
    <w:p>
      <w:r>
        <w:t>¹ School of Computer Science and Engineering, Vellore Institute of Technology (VIT), Vellore 632014, Tamil Nadu, India.</w:t>
      </w:r>
    </w:p>
    <w:p>
      <w:r>
        <w:t>\* Corresponding Author: [Insert Email]</w:t>
      </w:r>
    </w:p>
    <w:p>
      <w:r>
        <w:t>---</w:t>
      </w:r>
    </w:p>
    <w:p>
      <w:pPr>
        <w:pStyle w:val="Heading2"/>
      </w:pPr>
      <w:r>
        <w:t>Abstract</w:t>
      </w:r>
    </w:p>
    <w:p>
      <w:r>
        <w:t>Automated Optical Inspection (AOI) of High-Density Interconnect Printed Circuit Boards (PCBs) requires balancing inspection throughput with multi-scale defect detection fidelity. While lightweight convolutional neural networks (CNNs) offer high frame rates, they exhibit elevated miss rates on microscopic anomalies. Conversely, Vision Transformers provide global contextual awareness but impose prohibitive latency on industrial edge platforms. Furthermore, applying unsharp masking or super-resolution uniformly across all frames to recover interpolated edges creates severe computational bottlenecks. Here, we present an edge-deployable, high-throughput PCB defect detection framework featuring an Adaptive Resolution Router (ARR) that dynamically evaluates incoming frames via a multi-criteria perceptual complexity gate. Evaluated on the DsPCBSD+ dataset (using the official 8:2 train-validation split), the router bypasses enhancement for 55.13% of frames containing primarily macro-defects while selectively enhancing the remaining 44.87% containing micro-defects, saving approximately 20 ms per image (a 54.5% preprocessing compute reduction). An asymmetric dual-track detector pairing YOLOv8n (3.9 ms) and RT-DETR-L (28.0 ms) is harmonized via Asymmetric Confidence-Calibrated Weighted Box Fusion (AC-WBF), improving peak F1-scores while suppressing isolated false alarms. Post-training INT8 quantization yields up to 3.87× compression, demonstrating a promising architecture for high-throughput, latency-constrained PCB defect inspection.</w:t>
      </w:r>
    </w:p>
    <w:p>
      <w:r>
        <w:t>---</w:t>
      </w:r>
    </w:p>
    <w:p>
      <w:pPr>
        <w:pStyle w:val="Heading2"/>
      </w:pPr>
      <w:r>
        <w:t>1. Introduction</w:t>
      </w:r>
    </w:p>
    <w:p>
      <w:r>
        <w:t>Printed Circuit Boards (PCBs) serve as the fundamental structural and electrical backbone of modern electronic systems. With the scaling of high-density interconnect (HDI) substrates, line widths and trace clearances have contracted to sub-100-micrometer tolerances. Under these regimes, the integrity of PCB copper conductors and insulating substrate layers is exceedingly vulnerable to manufacturing variations and physical contamination, such as microscopic solder balls (Base Material Foreign Object, BMFO) and mask voids (Mouse Bite, MB). Consequently, continuous Automated Optical Inspection (AOI) is an indispensable quality control gate across smart manufacturing lines.</w:t>
      </w:r>
    </w:p>
    <w:p>
      <w:r>
        <w:t>Modern AOI systems confront a severe performance degradation when applied to PCB inspection due to extreme scale disparity. Macro-scale defects, such as hole breakouts (HB), occupy several thousand pixels and are easily captured by standard downsampling backbones. In contrast, micro-defects represent less than 0.5% of the total frame area. When low-resolution native images are interpolated to standard detector inputs (e.g., 640×640), high-frequency spatial gradients are irreversibly attenuated, leading to high false negative rates on tiny defects. While prior works have explored universal deep super-resolution (SR) to recover these boundaries, applying SR indiscriminately to every image creates an unnecessary computational bottleneck, as over half of production boards do not benefit from this enhancement.</w:t>
      </w:r>
    </w:p>
    <w:p>
      <w:r>
        <w:t>Concurrently, there is a fundamental architectural dilemma in AOI: lightweight CNNs (e.g., YOLO) offer required frame rates but struggle with micro-scale topological traces, whereas Vision Transformers (e.g., RT-DETR) offer superior global relational context but exceed edge hardware thermal and latency budgets.</w:t>
      </w:r>
    </w:p>
    <w:p>
      <w:r>
        <w:t>To resolve these constraints, we propose an Adaptive Resolution-Aware Dual-Track Detection Framework. Our core contributions are:</w:t>
      </w:r>
    </w:p>
    <w:p>
      <w:r>
        <w:t>1. **Adaptive Resolution Routing (ARR):** A lightweight content-aware routing mechanism that determines whether resolution enhancement is necessary, reducing unnecessary preprocessing.</w:t>
      </w:r>
    </w:p>
    <w:p>
      <w:r>
        <w:t>2. **Heterogeneous Dual-Track Detection:** A complementary CNN–Transformer architecture in which YOLOv8n provides low-latency local detection while RT-DETR-L provides contextual detection of difficult defects.</w:t>
      </w:r>
    </w:p>
    <w:p>
      <w:r>
        <w:t>3. **Confidence-Calibrated Asymmetric Fusion (AC-WBF) and Edge Optimization:** A modified Weighted Box Fusion mechanism that exploits cross-detector agreement while discounting isolated predictions, combined with INT8 deployment optimization to reduce edge storage requirements.</w:t>
      </w:r>
    </w:p>
    <w:p>
      <w:r>
        <w:t>---</w:t>
      </w:r>
    </w:p>
    <w:p>
      <w:pPr>
        <w:pStyle w:val="Heading2"/>
      </w:pPr>
      <w:r>
        <w:t>2. Results</w:t>
      </w:r>
    </w:p>
    <w:p>
      <w:pPr>
        <w:pStyle w:val="Heading3"/>
      </w:pPr>
      <w:r>
        <w:t>2.1 Dataset and Experimental Protocol</w:t>
      </w:r>
    </w:p>
    <w:p>
      <w:r>
        <w:t>All experiments were conducted on the DsPCBSD+ benchmark, which comprises 10,259 images containing 20,276 annotated bounding boxes across nine defect classes. The native images are 226×226 pixels, which were letterbox-resized to 640×640 for detector compatibility. We adhered to the dataset's official 8:2 partitioning protocol: 8,208 images for training and 2,051 images for validation. All evaluation metrics reported in this section are derived from the official 2,051-image validation set to ensure comparability.</w:t>
      </w:r>
    </w:p>
    <w:p>
      <w:pPr>
        <w:pStyle w:val="Heading3"/>
      </w:pPr>
      <w:r>
        <w:t>2.2 Baseline Detector Performance</w:t>
      </w:r>
    </w:p>
    <w:p>
      <w:r>
        <w:t>Standalone baseline evaluation reveals the architectural trade-offs between local and global representation learning. YOLOv8n, operating at 3.9 ms (GPU latency), achieves competitive overall mAP@50 but exhibits lower recall on micro-particulate classes like BMFO. Conversely, RT-DETR-L, operating at 28.0 ms, demonstrates superior recall on globally distributed and low-contrast trace anomalies but suffers from a higher rate of isolated false positives due to its self-attention mechanism misinterpreting non-defective dense copper regions.</w:t>
      </w:r>
    </w:p>
    <w:p>
      <w:pPr>
        <w:pStyle w:val="Heading3"/>
      </w:pPr>
      <w:r>
        <w:t>2.3 Adaptive Resolution Router Performance</w:t>
      </w:r>
    </w:p>
    <w:p>
      <w:r>
        <w:t>The ARR acts as an unsupervised, parameter-free complexity gate evaluating Canny edge density, Laplacian contrast standard deviation, and 2D FFT spectral energy. Across the dataset, the router dynamically directed 55.13% of frames through the direct bypass pathway, while selectively triggering enhancement (unsharp masking/interpolation refinement) for the 44.87% exhibiting micro-defect characteristics. This adaptive routing reduced end-to-end preprocessing time by 54.5%, saving approximately 20 ms per frame compared to universal enhancement, while maintaining high defect localization fidelity on macro-defects.</w:t>
      </w:r>
    </w:p>
    <w:p>
      <w:pPr>
        <w:pStyle w:val="Heading3"/>
      </w:pPr>
      <w:r>
        <w:t>2.4 Fusion Performance (AC-WBF)</w:t>
      </w:r>
    </w:p>
    <w:p>
      <w:r>
        <w:t>To harmonize the dual tracks, we introduced Asymmetric Confidence-Calibrated Weighted Box Fusion (AC-WBF). Compared to standard Non-Maximum Suppression (NMS), which discards bounding boxes greedily, AC-WBF scales bounding box confidences by the degree of inter-model agreement (assigning a 1.5× weight to RT-DETR-L and 1.0× to YOLOv8n).</w:t>
      </w:r>
    </w:p>
    <w:p>
      <w:r>
        <w:t>On the evaluation set, AC-WBF provided the highest F1-score among the evaluated operating points, achieving an absolute F1 improvement over standalone RT-DETR-L by reinforcing true positives confirmed by both models while discounting isolated predictions (1/M confidence penalty). While the absolute F1 gain over YOLO alone is marginal, the fusion effectively suppresses 17 isolated false alarms emitted by the transformer track without degrading recall on true micro-defects.</w:t>
      </w:r>
    </w:p>
    <w:p>
      <w:pPr>
        <w:pStyle w:val="Heading3"/>
      </w:pPr>
      <w:r>
        <w:t>2.5 Edge Optimization and Compression</w:t>
      </w:r>
    </w:p>
    <w:p>
      <w:r>
        <w:t>Post-training dynamic INT8 quantization was applied to validate model storage footprints. Quantization reduced the storage footprint from 14.85 MB to 2.74 MB (5.4× compression vs. PyTorch FP32, 3.41× vs. ONNX) for YOLOv8n, and from 125.43 MB to 32.45 MB (3.87× compression) for RT-DETR-L. While INT8 quantization successfully enables edge CPU execution for the lightweight YOLOv8n branch (~16.5 FPS on an i7 CPU), full dual-track real-time deployment (under 33 ms per frame) remains dependent on discrete GPU accelerators, as RT-DETR-L CPU execution slows to 1.7 FPS.</w:t>
      </w:r>
    </w:p>
    <w:p>
      <w:r>
        <w:t>---</w:t>
      </w:r>
    </w:p>
    <w:p>
      <w:pPr>
        <w:pStyle w:val="Heading2"/>
      </w:pPr>
      <w:r>
        <w:t>3. Discussion</w:t>
      </w:r>
    </w:p>
    <w:p>
      <w:pPr>
        <w:pStyle w:val="Heading3"/>
      </w:pPr>
      <w:r>
        <w:t>3.1 Why Adaptive Routing Works</w:t>
      </w:r>
    </w:p>
    <w:p>
      <w:r>
        <w:t>The success of ARR stems from the distinct morphological distribution of PCB defects. Categories with large median area ratios (e.g., Hole Breakout) do not suffer from severe feature attenuation during resizing. The tri-factor perceptual gate successfully isolates images dominated by high-frequency spatial gradients, selectively applying compute resources only where sub-pixel edge reconstruction is beneficial.</w:t>
      </w:r>
    </w:p>
    <w:p>
      <w:pPr>
        <w:pStyle w:val="Heading3"/>
      </w:pPr>
      <w:r>
        <w:t>3.2 Why Heterogeneous Fusion Works</w:t>
      </w:r>
    </w:p>
    <w:p>
      <w:r>
        <w:t>The dual-track architecture leverages fundamentally different learning paradigms. YOLOv8n acts as a highly precise, localized edge extractor, serving to anchor predictions and suppress background noise. RT-DETR-L, applying self-attention to the highest-level feature map (P5), models long-range topological trace dependencies. AC-WBF synergizes these tracks: when RT-DETR-L detects a subtle micro-defect that YOLO misses, the asymmetric weighting preserves it; when RT-DETR-L hallucinates a defect in a dense trace layout, YOLO's lack of agreement halves the final confidence score, pushing it below the reporting threshold.</w:t>
      </w:r>
    </w:p>
    <w:p>
      <w:pPr>
        <w:pStyle w:val="Heading3"/>
      </w:pPr>
      <w:r>
        <w:t>3.3 Industrial Implications and Limitations</w:t>
      </w:r>
    </w:p>
    <w:p>
      <w:r>
        <w:t>While the proposed architecture represents a promising approach for high-throughput PCB inspection, several limitations remain. First, the evaluation was conducted on a single public dataset; true "zero-defect" manufacturing capabilities require validation across different factory lighting conditions, multiple camera geometries, and thermal endurance tests. Second, while the system drastically reduces model file size (&lt;40 MB total storage), continuous real-time execution of the full pipeline (including the 28 ms transformer latency and the ARR processing overhead) still strictly mandates edge GPU availability.</w:t>
      </w:r>
    </w:p>
    <w:p>
      <w:r>
        <w:t>---</w:t>
      </w:r>
    </w:p>
    <w:p>
      <w:pPr>
        <w:pStyle w:val="Heading2"/>
      </w:pPr>
      <w:r>
        <w:t>4. Methods</w:t>
      </w:r>
    </w:p>
    <w:p>
      <w:pPr>
        <w:pStyle w:val="Heading3"/>
      </w:pPr>
      <w:r>
        <w:t>4.1 Dataset Formulation</w:t>
      </w:r>
    </w:p>
    <w:p>
      <w:r>
        <w:t>The DsPCBSD+ dataset (DOI: 10.1038/s41597-024-03656-8) contains 9 defect classes: Short Circuit (SH), Spur (SP), Spurious Copper (SC), Open Circuit (OP), Mouse Bite (MB), Hole Breakout (HB), Conductor Scratch (CS), Conductor Foreign Object (CFO), and Base Material Foreign Object (BMFO). Labels were verified to ensure zero out-of-bounds geometries.</w:t>
      </w:r>
    </w:p>
    <w:p>
      <w:pPr>
        <w:pStyle w:val="Heading3"/>
      </w:pPr>
      <w:r>
        <w:t>4.2 Adaptive Resolution Routing (ARR)</w:t>
      </w:r>
    </w:p>
    <w:p>
      <w:r>
        <w:t>The unsupervised multi-criteria gate evaluates three features:</w:t>
      </w:r>
    </w:p>
    <w:p>
      <w:r>
        <w:t>1. Spatial Edge Density ($D_{edge}$) via double-threshold Canny filtering.</w:t>
      </w:r>
    </w:p>
    <w:p>
      <w:r>
        <w:t>2. Local Contrast Variance ($\sigma_{contrast}$) using a Gaussian difference map.</w:t>
      </w:r>
    </w:p>
    <w:p>
      <w:r>
        <w:t>3. High-Frequency Spectral Energy Ratio ($\eta_{HF}$) via 2D Fast Fourier Transform.</w:t>
      </w:r>
    </w:p>
    <w:p>
      <w:r>
        <w:t>Images failing the compound logical threshold are passed through a rapid bilinear interpolator, whereas images passing the threshold undergo targeted unsharp masking and enhancement to recover boundary gradients prior to tensor normalization.</w:t>
      </w:r>
    </w:p>
    <w:p>
      <w:pPr>
        <w:pStyle w:val="Heading3"/>
      </w:pPr>
      <w:r>
        <w:t>4.3 Detector Configurations</w:t>
      </w:r>
    </w:p>
    <w:p>
      <w:r>
        <w:t>**Track 1 (YOLOv8n):** Configured with a Cross-Stage Partial Darknet backbone and anchor-free decoupled head. Optimized via a composite multi-task loss function combining Binary Cross-Entropy (BCE), Complete IoU (CIoU), and Distribution Focal Loss (DFL).</w:t>
      </w:r>
    </w:p>
    <w:p>
      <w:r>
        <w:t>**Track 2 (RT-DETR-L):** Utilizes an Efficient Hybrid Encoder decoupling intra-scale feature interaction (Attention-based on P5) from cross-scale feature fusion (CNN-based CCFM). Bipartite matching between ground-truth objects and predicted queries is established via Hungarian assignment minimizing Focal Loss, L1 distance, and GIoU loss.</w:t>
      </w:r>
    </w:p>
    <w:p>
      <w:pPr>
        <w:pStyle w:val="Heading3"/>
      </w:pPr>
      <w:r>
        <w:t>4.4 Asymmetric Confidence-Calibrated WBF (AC-WBF)</w:t>
      </w:r>
    </w:p>
    <w:p>
      <w:r>
        <w:t>For each cluster of matching predictions ($IoU \geq 0.50$), fused box coordinates are computed via confidence-weighted averaging. The fused confidence score is discounted based on inter-model agreement:</w:t>
      </w:r>
    </w:p>
    <w:p>
      <w:r>
        <w:t>$$c_{fused} = \frac{\sum (c_i \cdot w_i)}{\sum w_i} \times \frac{|C_k|}{M}$$</w:t>
      </w:r>
    </w:p>
    <w:p>
      <w:r>
        <w:t>where $|C_k|$ is the number of detectors proposing the box, and $M=2$. Model-specific weights were assigned as $w_{DETR} = 1.5$ and $w_{YOLO} = 1.0$.</w:t>
      </w:r>
    </w:p>
    <w:p>
      <w:pPr>
        <w:pStyle w:val="Heading3"/>
      </w:pPr>
      <w:r>
        <w:t>4.5 Compression Pipeline</w:t>
      </w:r>
    </w:p>
    <w:p>
      <w:r>
        <w:t>Post-training dynamic INT8 quantization maps FP32 weights into 8-bit integer representation using an affine quantization mapping $q = \text{round}(x / s) + z$, significantly lowering memory bandwidth demands.</w:t>
      </w:r>
    </w:p>
    <w:p>
      <w:r>
        <w:t>---</w:t>
      </w:r>
    </w:p>
    <w:p>
      <w:pPr>
        <w:pStyle w:val="Heading2"/>
      </w:pPr>
      <w:r>
        <w:t>Data and Code Availability</w:t>
      </w:r>
    </w:p>
    <w:p>
      <w:r>
        <w:t>The DsPCBSD+ dataset is publicly available via Figshare. Source code for the Adaptive Resolution Router, dual-track inference pipeline, and AC-WBF evaluation scripts will be deposited in a public repository upon publication.</w:t>
      </w:r>
    </w:p>
    <w:p>
      <w:pPr>
        <w:pStyle w:val="Heading2"/>
      </w:pPr>
      <w:r>
        <w:t>References</w:t>
      </w:r>
    </w:p>
    <w:p>
      <w:r>
        <w:t>[List to be generated verifying all titles, authors, and DOI matching Nature formatting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