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both"/>
      </w:pPr>
    </w:p>
    <w:p>
      <w:pPr>
        <w:spacing w:after="0"/>
        <w:jc w:val="both"/>
      </w:pPr>
    </w:p>
    <w:p>
      <w:pPr>
        <w:spacing w:after="120"/>
        <w:jc w:val="center"/>
      </w:pPr>
      <w:r>
        <w:rPr>
          <w:b/>
          <w:i w:val="0"/>
          <w:sz w:val="28"/>
        </w:rPr>
        <w:t>A MINI PROJECT REPORT ON</w:t>
      </w:r>
    </w:p>
    <w:p>
      <w:pPr>
        <w:spacing w:after="360" w:line="288" w:lineRule="auto"/>
        <w:jc w:val="center"/>
      </w:pPr>
      <w:r>
        <w:rPr>
          <w:b/>
          <w:i w:val="0"/>
          <w:sz w:val="40"/>
        </w:rPr>
        <w:t>CUSTOMER CHURN PREDICTION USING MACHINE LEARNING</w:t>
      </w:r>
    </w:p>
    <w:p>
      <w:pPr>
        <w:spacing w:after="0"/>
        <w:jc w:val="center"/>
      </w:pPr>
      <w:r>
        <w:rPr>
          <w:b w:val="0"/>
          <w:i/>
          <w:sz w:val="24"/>
        </w:rPr>
        <w:t>Submitted in partial fulfilment of the internal assessment for the course</w:t>
      </w:r>
    </w:p>
    <w:p>
      <w:pPr>
        <w:spacing w:after="480"/>
        <w:jc w:val="center"/>
      </w:pPr>
      <w:r>
        <w:rPr>
          <w:b/>
          <w:i w:val="0"/>
          <w:sz w:val="26"/>
        </w:rPr>
        <w:t>MACHINE LEARNING</w:t>
      </w:r>
    </w:p>
    <w:p>
      <w:pPr>
        <w:spacing w:after="120"/>
        <w:jc w:val="center"/>
      </w:pPr>
      <w:r>
        <w:rPr>
          <w:b w:val="0"/>
          <w:i/>
          <w:sz w:val="24"/>
        </w:rPr>
        <w:t>Submitted by</w:t>
      </w:r>
    </w:p>
    <w:tbl>
      <w:tblPr>
        <w:tblStyle w:val="TableGrid"/>
        <w:tblW w:type="auto" w:w="0"/>
        <w:jc w:val="center"/>
        <w:tblLook w:firstColumn="1" w:firstRow="1" w:lastColumn="0" w:lastRow="0" w:noHBand="0" w:noVBand="1" w:val="04A0"/>
      </w:tblPr>
      <w:tblGrid>
        <w:gridCol w:w="4154"/>
        <w:gridCol w:w="4154"/>
      </w:tblGrid>
      <w:tr>
        <w:tc>
          <w:tcPr>
            <w:tcW w:type="dxa" w:w="3744"/>
            <w:shd w:val="clear" w:color="auto" w:fill="D9E2F3"/>
          </w:tcPr>
          <w:p>
            <w:pPr>
              <w:jc w:val="center"/>
            </w:pPr>
            <w:r/>
            <w:r>
              <w:rPr>
                <w:b/>
                <w:i w:val="0"/>
                <w:sz w:val="24"/>
              </w:rPr>
              <w:t>Name</w:t>
            </w:r>
          </w:p>
        </w:tc>
        <w:tc>
          <w:tcPr>
            <w:tcW w:type="dxa" w:w="3744"/>
            <w:shd w:val="clear" w:color="auto" w:fill="D9E2F3"/>
          </w:tcPr>
          <w:p>
            <w:pPr>
              <w:jc w:val="center"/>
            </w:pPr>
            <w:r/>
            <w:r>
              <w:rPr>
                <w:b/>
                <w:i w:val="0"/>
                <w:sz w:val="24"/>
              </w:rPr>
              <w:t>Register Number</w:t>
            </w:r>
          </w:p>
        </w:tc>
      </w:tr>
      <w:tr>
        <w:tc>
          <w:tcPr>
            <w:tcW w:type="dxa" w:w="3744"/>
          </w:tcPr>
          <w:p>
            <w:pPr>
              <w:jc w:val="center"/>
            </w:pPr>
            <w:r/>
            <w:r>
              <w:rPr>
                <w:b w:val="0"/>
                <w:i w:val="0"/>
                <w:sz w:val="24"/>
              </w:rPr>
              <w:t>Abhinav Tiwari</w:t>
            </w:r>
          </w:p>
        </w:tc>
        <w:tc>
          <w:tcPr>
            <w:tcW w:type="dxa" w:w="3744"/>
          </w:tcPr>
          <w:p>
            <w:pPr>
              <w:jc w:val="center"/>
            </w:pPr>
            <w:r/>
            <w:r>
              <w:rPr>
                <w:b w:val="0"/>
                <w:i w:val="0"/>
                <w:sz w:val="24"/>
                <w:highlight w:val="yellow"/>
              </w:rPr>
              <w:t>Register No.</w:t>
            </w:r>
          </w:p>
        </w:tc>
      </w:tr>
      <w:tr>
        <w:tc>
          <w:tcPr>
            <w:tcW w:type="dxa" w:w="3744"/>
          </w:tcPr>
          <w:p>
            <w:pPr>
              <w:jc w:val="center"/>
            </w:pPr>
            <w:r/>
            <w:r>
              <w:rPr>
                <w:b w:val="0"/>
                <w:i w:val="0"/>
                <w:sz w:val="24"/>
                <w:highlight w:val="yellow"/>
              </w:rPr>
              <w:t>Student 2 Name</w:t>
            </w:r>
          </w:p>
        </w:tc>
        <w:tc>
          <w:tcPr>
            <w:tcW w:type="dxa" w:w="3744"/>
          </w:tcPr>
          <w:p>
            <w:pPr>
              <w:jc w:val="center"/>
            </w:pPr>
            <w:r/>
            <w:r>
              <w:rPr>
                <w:b w:val="0"/>
                <w:i w:val="0"/>
                <w:sz w:val="24"/>
                <w:highlight w:val="yellow"/>
              </w:rPr>
              <w:t>Register No.</w:t>
            </w:r>
          </w:p>
        </w:tc>
      </w:tr>
      <w:tr>
        <w:tc>
          <w:tcPr>
            <w:tcW w:type="dxa" w:w="3744"/>
          </w:tcPr>
          <w:p>
            <w:pPr>
              <w:jc w:val="center"/>
            </w:pPr>
            <w:r/>
            <w:r>
              <w:rPr>
                <w:b w:val="0"/>
                <w:i w:val="0"/>
                <w:sz w:val="24"/>
                <w:highlight w:val="yellow"/>
              </w:rPr>
              <w:t>Student 3 Name</w:t>
            </w:r>
          </w:p>
        </w:tc>
        <w:tc>
          <w:tcPr>
            <w:tcW w:type="dxa" w:w="3744"/>
          </w:tcPr>
          <w:p>
            <w:pPr>
              <w:jc w:val="center"/>
            </w:pPr>
            <w:r/>
            <w:r>
              <w:rPr>
                <w:b w:val="0"/>
                <w:i w:val="0"/>
                <w:sz w:val="24"/>
                <w:highlight w:val="yellow"/>
              </w:rPr>
              <w:t>Register No.</w:t>
            </w:r>
          </w:p>
        </w:tc>
      </w:tr>
    </w:tbl>
    <w:p>
      <w:pPr>
        <w:spacing w:after="360"/>
        <w:jc w:val="both"/>
      </w:pPr>
    </w:p>
    <w:p>
      <w:pPr>
        <w:spacing w:after="0"/>
        <w:jc w:val="center"/>
      </w:pPr>
      <w:r>
        <w:rPr>
          <w:b w:val="0"/>
          <w:i/>
          <w:sz w:val="24"/>
        </w:rPr>
        <w:t>Under the guidance of</w:t>
      </w:r>
    </w:p>
    <w:p>
      <w:pPr>
        <w:spacing w:after="0"/>
        <w:jc w:val="center"/>
      </w:pPr>
      <w:r>
        <w:rPr>
          <w:b/>
          <w:i w:val="0"/>
          <w:sz w:val="26"/>
          <w:highlight w:val="yellow"/>
        </w:rPr>
        <w:t>Title</w:t>
      </w:r>
      <w:r>
        <w:rPr>
          <w:b/>
          <w:i w:val="0"/>
          <w:sz w:val="26"/>
        </w:rPr>
        <w:t xml:space="preserve"> Ramani</w:t>
      </w:r>
    </w:p>
    <w:p>
      <w:pPr>
        <w:spacing w:after="720"/>
        <w:jc w:val="center"/>
      </w:pPr>
      <w:r>
        <w:rPr>
          <w:b w:val="0"/>
          <w:i w:val="0"/>
          <w:sz w:val="24"/>
          <w:highlight w:val="yellow"/>
        </w:rPr>
        <w:t>Designation</w:t>
      </w:r>
      <w:r>
        <w:rPr>
          <w:b w:val="0"/>
          <w:i w:val="0"/>
          <w:sz w:val="24"/>
        </w:rPr>
        <w:t xml:space="preserve">, </w:t>
      </w:r>
      <w:r>
        <w:rPr>
          <w:b w:val="0"/>
          <w:i w:val="0"/>
          <w:sz w:val="24"/>
          <w:highlight w:val="yellow"/>
        </w:rPr>
        <w:t>Department of ___</w:t>
      </w:r>
    </w:p>
    <w:p>
      <w:pPr>
        <w:spacing w:after="0"/>
        <w:jc w:val="center"/>
      </w:pPr>
      <w:r>
        <w:rPr>
          <w:b/>
          <w:i w:val="0"/>
          <w:sz w:val="28"/>
          <w:highlight w:val="yellow"/>
        </w:rPr>
        <w:t>DEPARTMENT NAME</w:t>
      </w:r>
    </w:p>
    <w:p>
      <w:pPr>
        <w:spacing w:after="0"/>
        <w:jc w:val="center"/>
      </w:pPr>
      <w:r>
        <w:rPr>
          <w:b/>
          <w:i w:val="0"/>
          <w:sz w:val="28"/>
          <w:highlight w:val="yellow"/>
        </w:rPr>
        <w:t>COLLEGE / UNIVERSITY NAME</w:t>
      </w:r>
    </w:p>
    <w:p>
      <w:pPr>
        <w:spacing w:after="0"/>
        <w:jc w:val="center"/>
      </w:pPr>
      <w:r>
        <w:rPr>
          <w:b w:val="0"/>
          <w:i w:val="0"/>
          <w:sz w:val="24"/>
          <w:highlight w:val="yellow"/>
        </w:rPr>
        <w:t>City</w:t>
      </w:r>
    </w:p>
    <w:p>
      <w:pPr>
        <w:jc w:val="center"/>
      </w:pPr>
      <w:r>
        <w:rPr>
          <w:b/>
          <w:i w:val="0"/>
          <w:sz w:val="24"/>
        </w:rPr>
        <w:t>October 2026</w:t>
      </w:r>
    </w:p>
    <w:p>
      <w:pPr>
        <w:sectPr>
          <w:footerReference w:type="default" r:id="rId10"/>
          <w:pgSz w:w="11909" w:h="16834"/>
          <w:pgMar w:top="1440" w:right="1440" w:bottom="1440" w:left="2160" w:header="720" w:footer="720" w:gutter="0"/>
          <w:cols w:space="720"/>
          <w:docGrid w:linePitch="360"/>
        </w:sectPr>
      </w:pPr>
    </w:p>
    <w:p>
      <w:pPr>
        <w:pStyle w:val="Heading1"/>
      </w:pPr>
      <w:r>
        <w:t>ABSTRACT</w:t>
      </w:r>
    </w:p>
    <w:p>
      <w:pPr>
        <w:jc w:val="both"/>
      </w:pPr>
      <w:r>
        <w:rPr>
          <w:b w:val="0"/>
          <w:i w:val="0"/>
        </w:rPr>
        <w:t>Customer churn — the loss of existing customers — is one of the most expensive problems in the telecommunications industry, because acquiring a new customer costs several times more than retaining an existing one. This project builds a machine-learning system that predicts which customers are likely to churn, so that a company can target them with retention offers before they leave.</w:t>
      </w:r>
    </w:p>
    <w:p>
      <w:pPr>
        <w:jc w:val="both"/>
      </w:pPr>
      <w:r>
        <w:rPr>
          <w:b w:val="0"/>
          <w:i w:val="0"/>
        </w:rPr>
        <w:t xml:space="preserve">The study uses the publicly available </w:t>
      </w:r>
      <w:r>
        <w:rPr>
          <w:b/>
          <w:i w:val="0"/>
        </w:rPr>
        <w:t>Telco Customer Churn</w:t>
      </w:r>
      <w:r>
        <w:rPr>
          <w:b w:val="0"/>
          <w:i w:val="0"/>
        </w:rPr>
        <w:t xml:space="preserve"> dataset from Kaggle (originally released by IBM), containing 7,043 customers and 21 attributes covering demographics, subscribed services, contract and billing details. 1,869 customers (26.54%) churned, so the data is imbalanced. After data cleaning, exploratory data analysis and feature engineering, the class imbalance was handled with SMOTE (Synthetic Minority Over-sampling Technique) applied only to the training folds.</w:t>
      </w:r>
    </w:p>
    <w:p>
      <w:pPr>
        <w:jc w:val="both"/>
      </w:pPr>
      <w:r>
        <w:rPr>
          <w:b w:val="0"/>
          <w:i w:val="0"/>
        </w:rPr>
        <w:t>Eleven classification algorithms were trained and compared — Logistic Regression, K-Nearest Neighbours, Decision Tree, Naive Bayes, Support Vector Machine, Random Forest, AdaBoost, Gradient Boosting, XGBoost, LightGBM and CatBoost — using accuracy, precision, recall, F1-score and ROC-AUC on a held-out 20 % test set, along with 5-fold cross-validation. The three strongest models were tuned with randomized hyper-parameter search, and the decision threshold of the final model was optimised for F1-score.</w:t>
      </w:r>
    </w:p>
    <w:p>
      <w:pPr>
        <w:jc w:val="both"/>
      </w:pPr>
      <w:r>
        <w:rPr>
          <w:b w:val="0"/>
          <w:i w:val="0"/>
        </w:rPr>
        <w:t xml:space="preserve">The tuned </w:t>
      </w:r>
      <w:r>
        <w:rPr>
          <w:b/>
          <w:i w:val="0"/>
        </w:rPr>
        <w:t>XGBoost</w:t>
      </w:r>
      <w:r>
        <w:rPr>
          <w:b w:val="0"/>
          <w:i w:val="0"/>
        </w:rPr>
        <w:t xml:space="preserve"> classifier gave the best result, with a test ROC-AUC of </w:t>
      </w:r>
      <w:r>
        <w:rPr>
          <w:b/>
          <w:i w:val="0"/>
        </w:rPr>
        <w:t>0.844</w:t>
      </w:r>
      <w:r>
        <w:rPr>
          <w:b w:val="0"/>
          <w:i w:val="0"/>
        </w:rPr>
        <w:t xml:space="preserve">. At the optimised threshold of 0.44 it identifies </w:t>
      </w:r>
      <w:r>
        <w:rPr>
          <w:b/>
          <w:i w:val="0"/>
        </w:rPr>
        <w:t>74.9% of churners</w:t>
      </w:r>
      <w:r>
        <w:rPr>
          <w:b w:val="0"/>
          <w:i w:val="0"/>
        </w:rPr>
        <w:t xml:space="preserve"> (recall) with an accuracy of 76.7%. Feature-importance analysis shows that contract type, tenure, internet service type, online security and tech support are the strongest drivers of churn. Based on these findings, the report recommends concrete retention strategies such as converting month-to-month customers to longer contracts and promoting auto-pay and security add-ons.</w:t>
      </w:r>
    </w:p>
    <w:p>
      <w:pPr>
        <w:spacing w:after="0"/>
        <w:jc w:val="both"/>
      </w:pPr>
      <w:r>
        <w:rPr>
          <w:b/>
          <w:i w:val="0"/>
        </w:rPr>
        <w:t>Keywords:</w:t>
      </w:r>
      <w:r>
        <w:rPr>
          <w:b w:val="0"/>
          <w:i w:val="0"/>
        </w:rPr>
        <w:t xml:space="preserve"> Customer churn, classification, XGBoost, SMOTE, ensemble learning, imbalanced data, telecom analytics.</w:t>
      </w:r>
    </w:p>
    <w:p>
      <w:r>
        <w:br w:type="page"/>
      </w:r>
    </w:p>
    <w:p>
      <w:pPr>
        <w:pStyle w:val="Heading1"/>
      </w:pPr>
      <w:r>
        <w:t>TABLE OF CONTENTS</w:t>
      </w:r>
    </w:p>
    <w:p>
      <w:pPr>
        <w:tabs>
          <w:tab w:pos="8280" w:val="right" w:leader="dot"/>
        </w:tabs>
        <w:spacing w:after="80"/>
      </w:pPr>
      <w:r>
        <w:rPr>
          <w:b/>
        </w:rPr>
        <w:t>Abstract</w:t>
        <w:tab/>
        <w:t>2</w:t>
      </w:r>
    </w:p>
    <w:p>
      <w:pPr>
        <w:tabs>
          <w:tab w:pos="8280" w:val="right" w:leader="dot"/>
        </w:tabs>
        <w:spacing w:after="80"/>
      </w:pPr>
      <w:r>
        <w:rPr>
          <w:b/>
        </w:rPr>
        <w:t>1. Introduction</w:t>
        <w:tab/>
        <w:t>4</w:t>
      </w:r>
    </w:p>
    <w:p>
      <w:pPr>
        <w:tabs>
          <w:tab w:pos="8280" w:val="right" w:leader="dot"/>
        </w:tabs>
        <w:spacing w:after="80"/>
      </w:pPr>
      <w:r>
        <w:rPr>
          <w:b/>
        </w:rPr>
        <w:t>2. Literature Survey</w:t>
        <w:tab/>
        <w:t>5</w:t>
      </w:r>
    </w:p>
    <w:p>
      <w:pPr>
        <w:tabs>
          <w:tab w:pos="8280" w:val="right" w:leader="dot"/>
        </w:tabs>
        <w:spacing w:after="80"/>
      </w:pPr>
      <w:r>
        <w:rPr>
          <w:b/>
        </w:rPr>
        <w:t>3. Dataset Description</w:t>
        <w:tab/>
        <w:t>5</w:t>
      </w:r>
    </w:p>
    <w:p>
      <w:pPr>
        <w:tabs>
          <w:tab w:pos="8280" w:val="right" w:leader="dot"/>
        </w:tabs>
        <w:spacing w:after="80"/>
      </w:pPr>
      <w:r>
        <w:rPr>
          <w:b/>
        </w:rPr>
        <w:t>4. Methodology</w:t>
        <w:tab/>
        <w:t>6</w:t>
      </w:r>
    </w:p>
    <w:p>
      <w:pPr>
        <w:tabs>
          <w:tab w:pos="8280" w:val="right" w:leader="dot"/>
        </w:tabs>
        <w:spacing w:after="80"/>
      </w:pPr>
      <w:r>
        <w:rPr>
          <w:b/>
        </w:rPr>
        <w:t>5. Exploratory Data Analysis</w:t>
        <w:tab/>
        <w:t>8</w:t>
      </w:r>
    </w:p>
    <w:p>
      <w:pPr>
        <w:tabs>
          <w:tab w:pos="8280" w:val="right" w:leader="dot"/>
        </w:tabs>
        <w:spacing w:after="80"/>
      </w:pPr>
      <w:r>
        <w:rPr>
          <w:b/>
        </w:rPr>
        <w:t>6. Model Implementation</w:t>
        <w:tab/>
        <w:t>9</w:t>
      </w:r>
    </w:p>
    <w:p>
      <w:pPr>
        <w:tabs>
          <w:tab w:pos="8280" w:val="right" w:leader="dot"/>
        </w:tabs>
        <w:spacing w:after="80"/>
      </w:pPr>
      <w:r>
        <w:rPr>
          <w:b/>
        </w:rPr>
        <w:t>7. Results and Discussion</w:t>
        <w:tab/>
        <w:t>11</w:t>
      </w:r>
    </w:p>
    <w:p>
      <w:pPr>
        <w:tabs>
          <w:tab w:pos="8280" w:val="right" w:leader="dot"/>
        </w:tabs>
        <w:spacing w:after="80"/>
      </w:pPr>
      <w:r>
        <w:rPr>
          <w:b/>
        </w:rPr>
        <w:t>8. Business Insights and Recommendations</w:t>
        <w:tab/>
        <w:t>13</w:t>
      </w:r>
    </w:p>
    <w:p>
      <w:pPr>
        <w:tabs>
          <w:tab w:pos="8280" w:val="right" w:leader="dot"/>
        </w:tabs>
        <w:spacing w:after="80"/>
      </w:pPr>
      <w:r>
        <w:rPr>
          <w:b/>
        </w:rPr>
        <w:t>9. Conclusion and Future Scope</w:t>
        <w:tab/>
        <w:t>13</w:t>
      </w:r>
    </w:p>
    <w:p>
      <w:pPr>
        <w:tabs>
          <w:tab w:pos="8280" w:val="right" w:leader="dot"/>
        </w:tabs>
        <w:spacing w:after="80"/>
      </w:pPr>
      <w:r>
        <w:rPr>
          <w:b/>
        </w:rPr>
        <w:t>References</w:t>
        <w:tab/>
        <w:t>14</w:t>
      </w:r>
    </w:p>
    <w:p>
      <w:pPr>
        <w:spacing w:after="120"/>
        <w:jc w:val="both"/>
      </w:pPr>
    </w:p>
    <w:p>
      <w:pPr>
        <w:jc w:val="both"/>
      </w:pPr>
      <w:r>
        <w:rPr>
          <w:b/>
          <w:i w:val="0"/>
          <w:sz w:val="22"/>
        </w:rPr>
        <w:t>List of key figures:</w:t>
      </w:r>
      <w:r>
        <w:rPr>
          <w:b w:val="0"/>
          <w:i w:val="0"/>
          <w:sz w:val="22"/>
        </w:rPr>
        <w:t xml:space="preserve"> workflow diagram (Fig. 4.1), churn distribution (Fig. 5.1), numeric distributions (Fig. 5.2), churn rate by category (Fig. 5.3), correlation (Fig. 5.4), model comparison &amp; ROC (Fig. 7.1), confusion matrix &amp; threshold (Fig. 7.2), feature importance (Fig. 7.3).</w:t>
      </w:r>
    </w:p>
    <w:p>
      <w:r>
        <w:br w:type="page"/>
      </w:r>
    </w:p>
    <w:p>
      <w:pPr>
        <w:pStyle w:val="Heading1"/>
        <w:pageBreakBefore/>
        <w:spacing w:before="280"/>
      </w:pPr>
      <w:r>
        <w:t>1. INTRODUCTION</w:t>
      </w:r>
    </w:p>
    <w:p>
      <w:pPr>
        <w:pStyle w:val="Heading2"/>
      </w:pPr>
      <w:r>
        <w:t>1.1 Background</w:t>
      </w:r>
    </w:p>
    <w:p>
      <w:pPr>
        <w:jc w:val="both"/>
      </w:pPr>
      <w:r>
        <w:rPr>
          <w:b w:val="0"/>
          <w:i w:val="0"/>
        </w:rPr>
        <w:t>In subscription businesses such as telecommunications, banking and streaming, revenue depends on customers staying over many months. Churn refers to customers who cancel or do not renew their service. Telecom markets are saturated and highly competitive: customers can switch provider easily, and every lost customer takes away a stream of monthly revenue. Studies of the telecom sector consistently report that retaining an existing customer is far cheaper than acquiring a new one, which makes early identification of at-risk customers commercially valuable.</w:t>
      </w:r>
    </w:p>
    <w:p>
      <w:pPr>
        <w:jc w:val="both"/>
      </w:pPr>
      <w:r>
        <w:rPr>
          <w:b w:val="0"/>
          <w:i w:val="0"/>
        </w:rPr>
        <w:t>Telecom companies already hold rich data about each customer — how long they have been with the company, which services they use, how they pay and how much they are billed. Machine learning can learn the patterns in this historical data that separate customers who left from those who stayed, and then score current customers by their risk of leaving.</w:t>
      </w:r>
    </w:p>
    <w:p>
      <w:pPr>
        <w:pStyle w:val="Heading2"/>
      </w:pPr>
      <w:r>
        <w:t>1.2 Problem Statement</w:t>
      </w:r>
    </w:p>
    <w:p>
      <w:pPr>
        <w:jc w:val="both"/>
      </w:pPr>
      <w:r>
        <w:rPr>
          <w:b w:val="0"/>
          <w:i w:val="0"/>
        </w:rPr>
        <w:t>Given a customer's demographic information, subscribed services, contract and billing details, predict whether the customer will churn (</w:t>
      </w:r>
      <w:r>
        <w:rPr>
          <w:b/>
          <w:i w:val="0"/>
        </w:rPr>
        <w:t>Yes / No</w:t>
      </w:r>
      <w:r>
        <w:rPr>
          <w:b w:val="0"/>
          <w:i w:val="0"/>
        </w:rPr>
        <w:t xml:space="preserve">). This is a </w:t>
      </w:r>
      <w:r>
        <w:rPr>
          <w:b/>
          <w:i w:val="0"/>
        </w:rPr>
        <w:t>binary classification problem on imbalanced data</w:t>
      </w:r>
      <w:r>
        <w:rPr>
          <w:b w:val="0"/>
          <w:i w:val="0"/>
        </w:rPr>
        <w:t>: only about one customer in four churns, so a naive model that predicts "No churn" for everyone would already be 73 % accurate while being useless to the business. The model must therefore be judged on its ability to find churners (recall, F1-score, ROC-AUC), not on accuracy alone.</w:t>
      </w:r>
    </w:p>
    <w:p>
      <w:pPr>
        <w:pStyle w:val="Heading2"/>
      </w:pPr>
      <w:r>
        <w:t>1.3 Objectives</w:t>
      </w:r>
    </w:p>
    <w:p>
      <w:pPr>
        <w:pStyle w:val="ListBullet"/>
        <w:spacing w:after="40"/>
        <w:jc w:val="both"/>
      </w:pPr>
      <w:r>
        <w:rPr>
          <w:b w:val="0"/>
          <w:i w:val="0"/>
        </w:rPr>
        <w:t>Clean and explore the Telco Customer Churn dataset to understand which factors are associated with churn.</w:t>
      </w:r>
    </w:p>
    <w:p>
      <w:pPr>
        <w:pStyle w:val="ListBullet"/>
        <w:spacing w:after="40"/>
        <w:jc w:val="both"/>
      </w:pPr>
      <w:r>
        <w:rPr>
          <w:b w:val="0"/>
          <w:i w:val="0"/>
        </w:rPr>
        <w:t>Engineer useful features and prepare the data with proper encoding, scaling and imbalance handling.</w:t>
      </w:r>
    </w:p>
    <w:p>
      <w:pPr>
        <w:pStyle w:val="ListBullet"/>
        <w:spacing w:after="40"/>
        <w:jc w:val="both"/>
      </w:pPr>
      <w:r>
        <w:rPr>
          <w:b w:val="0"/>
          <w:i w:val="0"/>
        </w:rPr>
        <w:t>Train and compare at least ten classification algorithms on the same train/test split.</w:t>
      </w:r>
    </w:p>
    <w:p>
      <w:pPr>
        <w:pStyle w:val="ListBullet"/>
        <w:spacing w:after="40"/>
        <w:jc w:val="both"/>
      </w:pPr>
      <w:r>
        <w:rPr>
          <w:b w:val="0"/>
          <w:i w:val="0"/>
        </w:rPr>
        <w:t>Tune the best models and optimise the decision threshold for the business goal of catching churners.</w:t>
      </w:r>
    </w:p>
    <w:p>
      <w:pPr>
        <w:pStyle w:val="ListBullet"/>
        <w:spacing w:after="40"/>
        <w:jc w:val="both"/>
      </w:pPr>
      <w:r>
        <w:rPr>
          <w:b w:val="0"/>
          <w:i w:val="0"/>
        </w:rPr>
        <w:t>Interpret the final model and translate the results into actionable retention recommendations.</w:t>
      </w:r>
    </w:p>
    <w:p>
      <w:pPr>
        <w:pStyle w:val="Heading2"/>
      </w:pPr>
      <w:r>
        <w:t>1.4 Scope of the Project</w:t>
      </w:r>
    </w:p>
    <w:p>
      <w:pPr>
        <w:jc w:val="both"/>
      </w:pPr>
      <w:r>
        <w:rPr>
          <w:b w:val="0"/>
          <w:i w:val="0"/>
        </w:rPr>
        <w:t>The project covers the complete supervised-learning pipeline — from raw CSV data to a saved, reusable model that outputs a churn probability for any new customer record. It is limited to the static customer snapshot available in the dataset; it does not use time-series usage logs, call-centre transcripts or real-time deployment, which are discussed under future scope.</w:t>
      </w:r>
    </w:p>
    <w:p>
      <w:pPr>
        <w:pStyle w:val="Heading1"/>
        <w:pageBreakBefore w:val="0"/>
        <w:spacing w:before="280"/>
      </w:pPr>
      <w:r>
        <w:t>2. LITERATURE SURVEY</w:t>
      </w:r>
    </w:p>
    <w:p>
      <w:pPr>
        <w:jc w:val="both"/>
      </w:pPr>
      <w:r>
        <w:rPr>
          <w:b w:val="0"/>
          <w:i w:val="0"/>
        </w:rPr>
        <w:t>Customer churn prediction is a well-studied application of data mining. Key works that shaped this project are summarised below.</w:t>
      </w:r>
    </w:p>
    <w:p>
      <w:pPr>
        <w:pStyle w:val="ListBullet"/>
        <w:spacing w:after="40"/>
        <w:jc w:val="both"/>
      </w:pPr>
      <w:r>
        <w:rPr>
          <w:b/>
          <w:i w:val="0"/>
        </w:rPr>
        <w:t>Huang, Kechadi and Buckley (2012)</w:t>
      </w:r>
      <w:r>
        <w:rPr>
          <w:b w:val="0"/>
          <w:i w:val="0"/>
        </w:rPr>
        <w:t xml:space="preserve"> studied churn prediction for land-line telecom customers and compared Logistic Regression, Decision Trees, Naive Bayes, SVM and neural networks. They showed that the choice of input features matters as much as the choice of algorithm.</w:t>
      </w:r>
    </w:p>
    <w:p>
      <w:pPr>
        <w:pStyle w:val="ListBullet"/>
        <w:spacing w:after="40"/>
        <w:jc w:val="both"/>
      </w:pPr>
      <w:r>
        <w:rPr>
          <w:b/>
          <w:i w:val="0"/>
        </w:rPr>
        <w:t>Verbeke et al. (2012)</w:t>
      </w:r>
      <w:r>
        <w:rPr>
          <w:b w:val="0"/>
          <w:i w:val="0"/>
        </w:rPr>
        <w:t xml:space="preserve"> argued that churn models should be evaluated by the profit they generate rather than by accuracy alone. They proposed a profit-driven evaluation framework, which motivates this project's focus on recall and threshold selection.</w:t>
      </w:r>
    </w:p>
    <w:p>
      <w:pPr>
        <w:pStyle w:val="ListBullet"/>
        <w:spacing w:after="40"/>
        <w:jc w:val="both"/>
      </w:pPr>
      <w:r>
        <w:rPr>
          <w:b/>
          <w:i w:val="0"/>
        </w:rPr>
        <w:t>Ahmad, Jafar and Aljoumaa (2019)</w:t>
      </w:r>
      <w:r>
        <w:rPr>
          <w:b w:val="0"/>
          <w:i w:val="0"/>
        </w:rPr>
        <w:t xml:space="preserve"> built a churn system for a large telecom operator on a big-data platform and found that tree-based ensembles (Random Forest, Gradient Boosted Trees, XGBoost) clearly outperformed single models.</w:t>
      </w:r>
    </w:p>
    <w:p>
      <w:pPr>
        <w:pStyle w:val="ListBullet"/>
        <w:spacing w:after="40"/>
        <w:jc w:val="both"/>
      </w:pPr>
      <w:r>
        <w:rPr>
          <w:b/>
          <w:i w:val="0"/>
        </w:rPr>
        <w:t>Chawla et al. (2002)</w:t>
      </w:r>
      <w:r>
        <w:rPr>
          <w:b w:val="0"/>
          <w:i w:val="0"/>
        </w:rPr>
        <w:t xml:space="preserve"> introduced SMOTE, which creates synthetic minority-class samples by interpolating between neighbouring examples. It is one of the most widely used remedies for class imbalance and is applied in this project.</w:t>
      </w:r>
    </w:p>
    <w:p>
      <w:pPr>
        <w:pStyle w:val="ListBullet"/>
        <w:spacing w:after="40"/>
        <w:jc w:val="both"/>
      </w:pPr>
      <w:r>
        <w:rPr>
          <w:b/>
          <w:i w:val="0"/>
        </w:rPr>
        <w:t>Breiman (2001)</w:t>
      </w:r>
      <w:r>
        <w:rPr>
          <w:b w:val="0"/>
          <w:i w:val="0"/>
        </w:rPr>
        <w:t xml:space="preserve"> proposed Random Forests, and </w:t>
      </w:r>
      <w:r>
        <w:rPr>
          <w:b/>
          <w:i w:val="0"/>
        </w:rPr>
        <w:t>Friedman (2001)</w:t>
      </w:r>
      <w:r>
        <w:rPr>
          <w:b w:val="0"/>
          <w:i w:val="0"/>
        </w:rPr>
        <w:t xml:space="preserve"> formalised gradient boosting machines. Their modern, efficient implementations are </w:t>
      </w:r>
      <w:r>
        <w:rPr>
          <w:b/>
          <w:i w:val="0"/>
        </w:rPr>
        <w:t>XGBoost</w:t>
      </w:r>
      <w:r>
        <w:rPr>
          <w:b w:val="0"/>
          <w:i w:val="0"/>
        </w:rPr>
        <w:t xml:space="preserve"> (Chen &amp; Guestrin, 2016), </w:t>
      </w:r>
      <w:r>
        <w:rPr>
          <w:b/>
          <w:i w:val="0"/>
        </w:rPr>
        <w:t>LightGBM</w:t>
      </w:r>
      <w:r>
        <w:rPr>
          <w:b w:val="0"/>
          <w:i w:val="0"/>
        </w:rPr>
        <w:t xml:space="preserve"> (Ke et al., 2017) and </w:t>
      </w:r>
      <w:r>
        <w:rPr>
          <w:b/>
          <w:i w:val="0"/>
        </w:rPr>
        <w:t>CatBoost</w:t>
      </w:r>
      <w:r>
        <w:rPr>
          <w:b w:val="0"/>
          <w:i w:val="0"/>
        </w:rPr>
        <w:t xml:space="preserve"> (Prokhorenkova et al., 2018), all of which are compared in this study.</w:t>
      </w:r>
    </w:p>
    <w:p>
      <w:pPr>
        <w:jc w:val="both"/>
      </w:pPr>
      <w:r>
        <w:rPr>
          <w:b/>
          <w:i w:val="0"/>
        </w:rPr>
        <w:t>Research gap addressed:</w:t>
      </w:r>
      <w:r>
        <w:rPr>
          <w:b w:val="0"/>
          <w:i w:val="0"/>
        </w:rPr>
        <w:t xml:space="preserve"> many student and online implementations on this dataset report only accuracy with the default 0.5 threshold and apply oversampling before the train/test split, which leaks information into the test set. This project applies SMOTE inside a cross-validation pipeline, compares eleven algorithms under identical conditions and selects the decision threshold on training data only, so the reported test scores are an honest estimate.</w:t>
      </w:r>
    </w:p>
    <w:p>
      <w:pPr>
        <w:pStyle w:val="Heading1"/>
        <w:pageBreakBefore w:val="0"/>
        <w:spacing w:before="280"/>
      </w:pPr>
      <w:r>
        <w:t>3. DATASET DESCRIPTION</w:t>
      </w:r>
    </w:p>
    <w:p>
      <w:pPr>
        <w:jc w:val="both"/>
      </w:pPr>
      <w:r>
        <w:rPr>
          <w:b/>
          <w:i w:val="0"/>
        </w:rPr>
        <w:t>Source:</w:t>
      </w:r>
      <w:r>
        <w:rPr>
          <w:b w:val="0"/>
          <w:i w:val="0"/>
        </w:rPr>
        <w:t xml:space="preserve"> Kaggle — "Telco Customer Churn" (blastchar/telco-customer-churn), originally published in the IBM Sample Data Sets. The data describes a fictional telecom company providing home phone and internet services in California. It contains </w:t>
      </w:r>
      <w:r>
        <w:rPr>
          <w:b/>
          <w:i w:val="0"/>
        </w:rPr>
        <w:t>7,043 rows</w:t>
      </w:r>
      <w:r>
        <w:rPr>
          <w:b w:val="0"/>
          <w:i w:val="0"/>
        </w:rPr>
        <w:t xml:space="preserve"> (one per customer) and </w:t>
      </w:r>
      <w:r>
        <w:rPr>
          <w:b/>
          <w:i w:val="0"/>
        </w:rPr>
        <w:t>21 columns</w:t>
      </w:r>
      <w:r>
        <w:rPr>
          <w:b w:val="0"/>
          <w:i w:val="0"/>
        </w:rPr>
        <w:t>: 19 input features, one identifier and the target Churn.</w:t>
      </w:r>
    </w:p>
    <w:p>
      <w:pPr>
        <w:keepNext/>
        <w:spacing w:after="40" w:line="240" w:lineRule="auto"/>
        <w:jc w:val="center"/>
      </w:pPr>
      <w:r>
        <w:rPr>
          <w:b/>
          <w:i w:val="0"/>
          <w:sz w:val="21"/>
        </w:rPr>
        <w:t>Table 3.1: Attributes of the Telco Customer Churn dataset</w:t>
      </w:r>
    </w:p>
    <w:tbl>
      <w:tblPr>
        <w:tblStyle w:val="TableGrid"/>
        <w:tblW w:type="auto" w:w="0"/>
        <w:jc w:val="center"/>
        <w:tblLayout w:type="fixed"/>
        <w:tblLook w:firstColumn="1" w:firstRow="1" w:lastColumn="0" w:lastRow="0" w:noHBand="0" w:noVBand="1" w:val="04A0"/>
      </w:tblPr>
      <w:tblGrid>
        <w:gridCol w:w="1872"/>
        <w:gridCol w:w="4608"/>
        <w:gridCol w:w="1872"/>
      </w:tblGrid>
      <w:tr>
        <w:trPr>
          <w:cantSplit/>
        </w:trPr>
        <w:tc>
          <w:tcPr>
            <w:tcW w:type="dxa" w:w="1872"/>
            <w:shd w:val="clear" w:color="auto" w:fill="D9E2F3"/>
          </w:tcPr>
          <w:p>
            <w:pPr>
              <w:keepNext/>
              <w:spacing w:line="240" w:lineRule="auto" w:after="20"/>
              <w:jc w:val="center"/>
            </w:pPr>
            <w:r/>
            <w:r>
              <w:rPr>
                <w:b/>
                <w:sz w:val="20"/>
              </w:rPr>
              <w:t>Group</w:t>
            </w:r>
          </w:p>
        </w:tc>
        <w:tc>
          <w:tcPr>
            <w:tcW w:type="dxa" w:w="4608"/>
            <w:shd w:val="clear" w:color="auto" w:fill="D9E2F3"/>
          </w:tcPr>
          <w:p>
            <w:pPr>
              <w:keepNext/>
              <w:spacing w:line="240" w:lineRule="auto" w:after="20"/>
              <w:jc w:val="center"/>
            </w:pPr>
            <w:r/>
            <w:r>
              <w:rPr>
                <w:b/>
                <w:sz w:val="20"/>
              </w:rPr>
              <w:t>Attributes</w:t>
            </w:r>
          </w:p>
        </w:tc>
        <w:tc>
          <w:tcPr>
            <w:tcW w:type="dxa" w:w="1872"/>
            <w:shd w:val="clear" w:color="auto" w:fill="D9E2F3"/>
          </w:tcPr>
          <w:p>
            <w:pPr>
              <w:keepNext/>
              <w:spacing w:line="240" w:lineRule="auto" w:after="20"/>
              <w:jc w:val="center"/>
            </w:pPr>
            <w:r/>
            <w:r>
              <w:rPr>
                <w:b/>
                <w:sz w:val="20"/>
              </w:rPr>
              <w:t>Type</w:t>
            </w:r>
          </w:p>
        </w:tc>
      </w:tr>
      <w:tr>
        <w:trPr>
          <w:cantSplit/>
        </w:trPr>
        <w:tc>
          <w:tcPr>
            <w:tcW w:type="dxa" w:w="1872"/>
          </w:tcPr>
          <w:p>
            <w:pPr>
              <w:keepNext/>
              <w:spacing w:line="240" w:lineRule="auto" w:after="20"/>
              <w:jc w:val="left"/>
            </w:pPr>
            <w:r/>
            <w:r>
              <w:rPr>
                <w:b w:val="0"/>
                <w:sz w:val="20"/>
              </w:rPr>
              <w:t>Identifier</w:t>
            </w:r>
          </w:p>
        </w:tc>
        <w:tc>
          <w:tcPr>
            <w:tcW w:type="dxa" w:w="4608"/>
          </w:tcPr>
          <w:p>
            <w:pPr>
              <w:keepNext/>
              <w:spacing w:line="240" w:lineRule="auto" w:after="20"/>
              <w:jc w:val="center"/>
            </w:pPr>
            <w:r/>
            <w:r>
              <w:rPr>
                <w:b w:val="0"/>
                <w:sz w:val="20"/>
              </w:rPr>
              <w:t>customerID</w:t>
            </w:r>
          </w:p>
        </w:tc>
        <w:tc>
          <w:tcPr>
            <w:tcW w:type="dxa" w:w="1872"/>
          </w:tcPr>
          <w:p>
            <w:pPr>
              <w:keepNext/>
              <w:spacing w:line="240" w:lineRule="auto" w:after="20"/>
              <w:jc w:val="center"/>
            </w:pPr>
            <w:r/>
            <w:r>
              <w:rPr>
                <w:b w:val="0"/>
                <w:sz w:val="20"/>
              </w:rPr>
              <w:t>Text (dropped)</w:t>
            </w:r>
          </w:p>
        </w:tc>
      </w:tr>
      <w:tr>
        <w:trPr>
          <w:cantSplit/>
        </w:trPr>
        <w:tc>
          <w:tcPr>
            <w:tcW w:type="dxa" w:w="1872"/>
          </w:tcPr>
          <w:p>
            <w:pPr>
              <w:keepNext/>
              <w:spacing w:line="240" w:lineRule="auto" w:after="20"/>
              <w:jc w:val="left"/>
            </w:pPr>
            <w:r/>
            <w:r>
              <w:rPr>
                <w:b w:val="0"/>
                <w:sz w:val="20"/>
              </w:rPr>
              <w:t>Demographics</w:t>
            </w:r>
          </w:p>
        </w:tc>
        <w:tc>
          <w:tcPr>
            <w:tcW w:type="dxa" w:w="4608"/>
          </w:tcPr>
          <w:p>
            <w:pPr>
              <w:keepNext/>
              <w:spacing w:line="240" w:lineRule="auto" w:after="20"/>
              <w:jc w:val="center"/>
            </w:pPr>
            <w:r/>
            <w:r>
              <w:rPr>
                <w:b w:val="0"/>
                <w:sz w:val="20"/>
              </w:rPr>
              <w:t>gender, SeniorCitizen, Partner, Dependents</w:t>
            </w:r>
          </w:p>
        </w:tc>
        <w:tc>
          <w:tcPr>
            <w:tcW w:type="dxa" w:w="1872"/>
          </w:tcPr>
          <w:p>
            <w:pPr>
              <w:keepNext/>
              <w:spacing w:line="240" w:lineRule="auto" w:after="20"/>
              <w:jc w:val="center"/>
            </w:pPr>
            <w:r/>
            <w:r>
              <w:rPr>
                <w:b w:val="0"/>
                <w:sz w:val="20"/>
              </w:rPr>
              <w:t>Categorical / binary</w:t>
            </w:r>
          </w:p>
        </w:tc>
      </w:tr>
      <w:tr>
        <w:trPr>
          <w:cantSplit/>
        </w:trPr>
        <w:tc>
          <w:tcPr>
            <w:tcW w:type="dxa" w:w="1872"/>
          </w:tcPr>
          <w:p>
            <w:pPr>
              <w:keepNext/>
              <w:spacing w:line="240" w:lineRule="auto" w:after="20"/>
              <w:jc w:val="left"/>
            </w:pPr>
            <w:r/>
            <w:r>
              <w:rPr>
                <w:b w:val="0"/>
                <w:sz w:val="20"/>
              </w:rPr>
              <w:t>Account</w:t>
            </w:r>
          </w:p>
        </w:tc>
        <w:tc>
          <w:tcPr>
            <w:tcW w:type="dxa" w:w="4608"/>
          </w:tcPr>
          <w:p>
            <w:pPr>
              <w:keepNext/>
              <w:spacing w:line="240" w:lineRule="auto" w:after="20"/>
              <w:jc w:val="center"/>
            </w:pPr>
            <w:r/>
            <w:r>
              <w:rPr>
                <w:b w:val="0"/>
                <w:sz w:val="20"/>
              </w:rPr>
              <w:t>tenure (months), Contract, PaperlessBilling, PaymentMethod</w:t>
            </w:r>
          </w:p>
        </w:tc>
        <w:tc>
          <w:tcPr>
            <w:tcW w:type="dxa" w:w="1872"/>
          </w:tcPr>
          <w:p>
            <w:pPr>
              <w:keepNext/>
              <w:spacing w:line="240" w:lineRule="auto" w:after="20"/>
              <w:jc w:val="center"/>
            </w:pPr>
            <w:r/>
            <w:r>
              <w:rPr>
                <w:b w:val="0"/>
                <w:sz w:val="20"/>
              </w:rPr>
              <w:t>Numeric + categorical</w:t>
            </w:r>
          </w:p>
        </w:tc>
      </w:tr>
      <w:tr>
        <w:trPr>
          <w:cantSplit/>
        </w:trPr>
        <w:tc>
          <w:tcPr>
            <w:tcW w:type="dxa" w:w="1872"/>
          </w:tcPr>
          <w:p>
            <w:pPr>
              <w:keepNext/>
              <w:spacing w:line="240" w:lineRule="auto" w:after="20"/>
              <w:jc w:val="left"/>
            </w:pPr>
            <w:r/>
            <w:r>
              <w:rPr>
                <w:b w:val="0"/>
                <w:sz w:val="20"/>
              </w:rPr>
              <w:t>Charges</w:t>
            </w:r>
          </w:p>
        </w:tc>
        <w:tc>
          <w:tcPr>
            <w:tcW w:type="dxa" w:w="4608"/>
          </w:tcPr>
          <w:p>
            <w:pPr>
              <w:keepNext/>
              <w:spacing w:line="240" w:lineRule="auto" w:after="20"/>
              <w:jc w:val="center"/>
            </w:pPr>
            <w:r/>
            <w:r>
              <w:rPr>
                <w:b w:val="0"/>
                <w:sz w:val="20"/>
              </w:rPr>
              <w:t>MonthlyCharges, TotalCharges</w:t>
            </w:r>
          </w:p>
        </w:tc>
        <w:tc>
          <w:tcPr>
            <w:tcW w:type="dxa" w:w="1872"/>
          </w:tcPr>
          <w:p>
            <w:pPr>
              <w:keepNext/>
              <w:spacing w:line="240" w:lineRule="auto" w:after="20"/>
              <w:jc w:val="center"/>
            </w:pPr>
            <w:r/>
            <w:r>
              <w:rPr>
                <w:b w:val="0"/>
                <w:sz w:val="20"/>
              </w:rPr>
              <w:t>Numeric</w:t>
            </w:r>
          </w:p>
        </w:tc>
      </w:tr>
      <w:tr>
        <w:trPr>
          <w:cantSplit/>
        </w:trPr>
        <w:tc>
          <w:tcPr>
            <w:tcW w:type="dxa" w:w="1872"/>
          </w:tcPr>
          <w:p>
            <w:pPr>
              <w:keepNext/>
              <w:spacing w:line="240" w:lineRule="auto" w:after="20"/>
              <w:jc w:val="left"/>
            </w:pPr>
            <w:r/>
            <w:r>
              <w:rPr>
                <w:b w:val="0"/>
                <w:sz w:val="20"/>
              </w:rPr>
              <w:t>Phone services</w:t>
            </w:r>
          </w:p>
        </w:tc>
        <w:tc>
          <w:tcPr>
            <w:tcW w:type="dxa" w:w="4608"/>
          </w:tcPr>
          <w:p>
            <w:pPr>
              <w:keepNext/>
              <w:spacing w:line="240" w:lineRule="auto" w:after="20"/>
              <w:jc w:val="center"/>
            </w:pPr>
            <w:r/>
            <w:r>
              <w:rPr>
                <w:b w:val="0"/>
                <w:sz w:val="20"/>
              </w:rPr>
              <w:t>PhoneService, MultipleLines</w:t>
            </w:r>
          </w:p>
        </w:tc>
        <w:tc>
          <w:tcPr>
            <w:tcW w:type="dxa" w:w="1872"/>
          </w:tcPr>
          <w:p>
            <w:pPr>
              <w:keepNext/>
              <w:spacing w:line="240" w:lineRule="auto" w:after="20"/>
              <w:jc w:val="center"/>
            </w:pPr>
            <w:r/>
            <w:r>
              <w:rPr>
                <w:b w:val="0"/>
                <w:sz w:val="20"/>
              </w:rPr>
              <w:t>Categorical</w:t>
            </w:r>
          </w:p>
        </w:tc>
      </w:tr>
      <w:tr>
        <w:trPr>
          <w:cantSplit/>
        </w:trPr>
        <w:tc>
          <w:tcPr>
            <w:tcW w:type="dxa" w:w="1872"/>
          </w:tcPr>
          <w:p>
            <w:pPr>
              <w:keepNext/>
              <w:spacing w:line="240" w:lineRule="auto" w:after="20"/>
              <w:jc w:val="left"/>
            </w:pPr>
            <w:r/>
            <w:r>
              <w:rPr>
                <w:b w:val="0"/>
                <w:sz w:val="20"/>
              </w:rPr>
              <w:t>Internet services</w:t>
            </w:r>
          </w:p>
        </w:tc>
        <w:tc>
          <w:tcPr>
            <w:tcW w:type="dxa" w:w="4608"/>
          </w:tcPr>
          <w:p>
            <w:pPr>
              <w:keepNext/>
              <w:spacing w:line="240" w:lineRule="auto" w:after="20"/>
              <w:jc w:val="center"/>
            </w:pPr>
            <w:r/>
            <w:r>
              <w:rPr>
                <w:b w:val="0"/>
                <w:sz w:val="20"/>
              </w:rPr>
              <w:t>InternetService, OnlineSecurity, OnlineBackup, DeviceProtection, TechSupport, StreamingTV, StreamingMovies</w:t>
            </w:r>
          </w:p>
        </w:tc>
        <w:tc>
          <w:tcPr>
            <w:tcW w:type="dxa" w:w="1872"/>
          </w:tcPr>
          <w:p>
            <w:pPr>
              <w:keepNext/>
              <w:spacing w:line="240" w:lineRule="auto" w:after="20"/>
              <w:jc w:val="center"/>
            </w:pPr>
            <w:r/>
            <w:r>
              <w:rPr>
                <w:b w:val="0"/>
                <w:sz w:val="20"/>
              </w:rPr>
              <w:t>Categorical</w:t>
            </w:r>
          </w:p>
        </w:tc>
      </w:tr>
      <w:tr>
        <w:tc>
          <w:tcPr>
            <w:tcW w:type="dxa" w:w="1872"/>
          </w:tcPr>
          <w:p>
            <w:pPr>
              <w:spacing w:line="240" w:lineRule="auto" w:after="20"/>
              <w:jc w:val="left"/>
            </w:pPr>
            <w:r/>
            <w:r>
              <w:rPr>
                <w:b w:val="0"/>
                <w:sz w:val="20"/>
              </w:rPr>
              <w:t>Target</w:t>
            </w:r>
          </w:p>
        </w:tc>
        <w:tc>
          <w:tcPr>
            <w:tcW w:type="dxa" w:w="4608"/>
          </w:tcPr>
          <w:p>
            <w:pPr>
              <w:spacing w:line="240" w:lineRule="auto" w:after="20"/>
              <w:jc w:val="center"/>
            </w:pPr>
            <w:r/>
            <w:r>
              <w:rPr>
                <w:b w:val="0"/>
                <w:sz w:val="20"/>
              </w:rPr>
              <w:t>Churn (Yes / No)</w:t>
            </w:r>
          </w:p>
        </w:tc>
        <w:tc>
          <w:tcPr>
            <w:tcW w:type="dxa" w:w="1872"/>
          </w:tcPr>
          <w:p>
            <w:pPr>
              <w:spacing w:line="240" w:lineRule="auto" w:after="20"/>
              <w:jc w:val="center"/>
            </w:pPr>
            <w:r/>
            <w:r>
              <w:rPr>
                <w:b w:val="0"/>
                <w:sz w:val="20"/>
              </w:rPr>
              <w:t>Binary</w:t>
            </w:r>
          </w:p>
        </w:tc>
      </w:tr>
    </w:tbl>
    <w:p>
      <w:pPr>
        <w:spacing w:after="80" w:line="240" w:lineRule="auto"/>
        <w:jc w:val="both"/>
      </w:pPr>
    </w:p>
    <w:p>
      <w:pPr>
        <w:jc w:val="both"/>
      </w:pPr>
      <w:r>
        <w:rPr>
          <w:b/>
          <w:i w:val="0"/>
        </w:rPr>
        <w:t>Data quality observations:</w:t>
      </w:r>
      <w:r>
        <w:rPr>
          <w:b w:val="0"/>
          <w:i w:val="0"/>
        </w:rPr>
        <w:t xml:space="preserve"> there are no missing values in the raw file, but TotalCharges is stored as text. Converting it to numbers exposes 11 blank entries, all for customers with tenure = 0 who joined in the current month and have not yet been billed, so they are filled with 0. There are 22 rows with identical attribute values; because each has a different customer ID they represent real, distinct customers and are kept. The target is imbalanced: </w:t>
      </w:r>
      <w:r>
        <w:rPr>
          <w:b/>
          <w:i w:val="0"/>
        </w:rPr>
        <w:t>5,174 customers stayed (73.46 %)</w:t>
      </w:r>
      <w:r>
        <w:rPr>
          <w:b w:val="0"/>
          <w:i w:val="0"/>
        </w:rPr>
        <w:t xml:space="preserve"> and </w:t>
      </w:r>
      <w:r>
        <w:rPr>
          <w:b/>
          <w:i w:val="0"/>
        </w:rPr>
        <w:t>1,869 churned (26.54 %)</w:t>
      </w:r>
      <w:r>
        <w:rPr>
          <w:b w:val="0"/>
          <w:i w:val="0"/>
        </w:rPr>
        <w:t>.</w:t>
      </w:r>
    </w:p>
    <w:p>
      <w:pPr>
        <w:pStyle w:val="Heading1"/>
        <w:pageBreakBefore w:val="0"/>
        <w:spacing w:before="280"/>
      </w:pPr>
      <w:r>
        <w:t>4. METHODOLOGY</w:t>
      </w:r>
    </w:p>
    <w:p>
      <w:pPr>
        <w:jc w:val="both"/>
      </w:pPr>
      <w:r>
        <w:rPr>
          <w:b w:val="0"/>
          <w:i w:val="0"/>
        </w:rPr>
        <w:t>The project follows the standard machine-learning workflow shown in Figure 4.1. All work was done in Python 3 in a Jupyter Notebook using pandas, NumPy, Matplotlib, Seaborn, scikit-learn, imbalanced-learn, XGBoost, LightGBM and CatBoost.</w:t>
      </w:r>
    </w:p>
    <w:p>
      <w:pPr>
        <w:keepNext/>
        <w:spacing w:after="0"/>
        <w:jc w:val="center"/>
      </w:pPr>
      <w:r>
        <w:drawing>
          <wp:inline xmlns:a="http://schemas.openxmlformats.org/drawingml/2006/main" xmlns:pic="http://schemas.openxmlformats.org/drawingml/2006/picture">
            <wp:extent cx="5212080" cy="1656552"/>
            <wp:docPr id="1" name="Picture 1"/>
            <wp:cNvGraphicFramePr>
              <a:graphicFrameLocks noChangeAspect="1"/>
            </wp:cNvGraphicFramePr>
            <a:graphic>
              <a:graphicData uri="http://schemas.openxmlformats.org/drawingml/2006/picture">
                <pic:pic>
                  <pic:nvPicPr>
                    <pic:cNvPr id="0" name="fig0_workflow.png"/>
                    <pic:cNvPicPr/>
                  </pic:nvPicPr>
                  <pic:blipFill>
                    <a:blip r:embed="rId11"/>
                    <a:stretch>
                      <a:fillRect/>
                    </a:stretch>
                  </pic:blipFill>
                  <pic:spPr>
                    <a:xfrm>
                      <a:off x="0" y="0"/>
                      <a:ext cx="5212080" cy="1656552"/>
                    </a:xfrm>
                    <a:prstGeom prst="rect"/>
                  </pic:spPr>
                </pic:pic>
              </a:graphicData>
            </a:graphic>
          </wp:inline>
        </w:drawing>
      </w:r>
    </w:p>
    <w:p>
      <w:pPr>
        <w:spacing w:after="160" w:line="240" w:lineRule="auto"/>
        <w:jc w:val="center"/>
      </w:pPr>
      <w:r>
        <w:rPr>
          <w:b w:val="0"/>
          <w:i/>
          <w:sz w:val="21"/>
        </w:rPr>
        <w:t>Figure 4.1: Project workflow</w:t>
      </w:r>
    </w:p>
    <w:p>
      <w:pPr>
        <w:pStyle w:val="Heading2"/>
      </w:pPr>
      <w:r>
        <w:t>4.1 Data Pre-processing</w:t>
      </w:r>
    </w:p>
    <w:p>
      <w:pPr>
        <w:pStyle w:val="ListBullet"/>
        <w:spacing w:after="40"/>
        <w:jc w:val="both"/>
      </w:pPr>
      <w:r>
        <w:rPr>
          <w:b/>
          <w:i w:val="0"/>
        </w:rPr>
        <w:t>Cleaning:</w:t>
      </w:r>
      <w:r>
        <w:rPr>
          <w:b w:val="0"/>
          <w:i w:val="0"/>
        </w:rPr>
        <w:t xml:space="preserve"> convert TotalCharges to numeric, fill the 11 blanks with 0, and drop customerID.</w:t>
      </w:r>
    </w:p>
    <w:p>
      <w:pPr>
        <w:pStyle w:val="ListBullet"/>
        <w:spacing w:after="40"/>
        <w:jc w:val="both"/>
      </w:pPr>
      <w:r>
        <w:rPr>
          <w:b/>
          <w:i w:val="0"/>
        </w:rPr>
        <w:t>Feature engineering:</w:t>
      </w:r>
      <w:r>
        <w:rPr>
          <w:b w:val="0"/>
          <w:i w:val="0"/>
        </w:rPr>
        <w:t xml:space="preserve"> NumServices counts the optional add-ons (online security, backup, device protection, tech support, streaming TV, streaming movies) a customer uses, and AvgMonthlySpend = TotalCharges / tenure gives the customer's real average bill.</w:t>
      </w:r>
    </w:p>
    <w:p>
      <w:pPr>
        <w:pStyle w:val="ListBullet"/>
        <w:spacing w:after="40"/>
        <w:jc w:val="both"/>
      </w:pPr>
      <w:r>
        <w:rPr>
          <w:b/>
          <w:i w:val="0"/>
        </w:rPr>
        <w:t>Encoding:</w:t>
      </w:r>
      <w:r>
        <w:rPr>
          <w:b w:val="0"/>
          <w:i w:val="0"/>
        </w:rPr>
        <w:t xml:space="preserve"> categorical columns are one-hot encoded (binary columns become a single 0/1 column), giving 42 model inputs.</w:t>
      </w:r>
    </w:p>
    <w:p>
      <w:pPr>
        <w:pStyle w:val="ListBullet"/>
        <w:spacing w:after="40"/>
        <w:jc w:val="both"/>
      </w:pPr>
      <w:r>
        <w:rPr>
          <w:b/>
          <w:i w:val="0"/>
        </w:rPr>
        <w:t>Scaling:</w:t>
      </w:r>
      <w:r>
        <w:rPr>
          <w:b w:val="0"/>
          <w:i w:val="0"/>
        </w:rPr>
        <w:t xml:space="preserve"> numeric columns are standardised to zero mean and unit variance, which distance- and margin-based models (KNN, SVM, Logistic Regression) need.</w:t>
      </w:r>
    </w:p>
    <w:p>
      <w:pPr>
        <w:pStyle w:val="ListBullet"/>
        <w:spacing w:after="40"/>
        <w:jc w:val="both"/>
      </w:pPr>
      <w:r>
        <w:rPr>
          <w:b/>
          <w:i w:val="0"/>
        </w:rPr>
        <w:t>Train/test split:</w:t>
      </w:r>
      <w:r>
        <w:rPr>
          <w:b w:val="0"/>
          <w:i w:val="0"/>
        </w:rPr>
        <w:t xml:space="preserve"> 80 % training (5,634 customers) and 20 % testing (1,409 customers), stratified so both keep the 26.5 % churn rate.</w:t>
      </w:r>
    </w:p>
    <w:p>
      <w:pPr>
        <w:pStyle w:val="Heading2"/>
      </w:pPr>
      <w:r>
        <w:t>4.2 Handling Class Imbalance — SMOTE</w:t>
      </w:r>
    </w:p>
    <w:p>
      <w:pPr>
        <w:jc w:val="both"/>
      </w:pPr>
      <w:r>
        <w:rPr>
          <w:b w:val="0"/>
          <w:i w:val="0"/>
        </w:rPr>
        <w:t xml:space="preserve">SMOTE generates new synthetic churn examples along the lines joining each minority-class sample to its nearest minority neighbours, until both classes are equal in the training data. To avoid </w:t>
      </w:r>
      <w:r>
        <w:rPr>
          <w:b/>
          <w:i w:val="0"/>
        </w:rPr>
        <w:t>data leakage</w:t>
      </w:r>
      <w:r>
        <w:rPr>
          <w:b w:val="0"/>
          <w:i w:val="0"/>
        </w:rPr>
        <w:t>, SMOTE is placed inside an imblearn pipeline, so it runs only on the training portion of each cross-validation fold and is never applied to validation or test data.</w:t>
      </w:r>
    </w:p>
    <w:p>
      <w:pPr>
        <w:pStyle w:val="Heading2"/>
      </w:pPr>
      <w:r>
        <w:t>4.3 Evaluation Metrics</w:t>
      </w:r>
    </w:p>
    <w:p>
      <w:pPr>
        <w:jc w:val="both"/>
      </w:pPr>
      <w:r>
        <w:rPr>
          <w:b w:val="0"/>
          <w:i w:val="0"/>
        </w:rPr>
        <w:t>With TP, TN, FP and FN denoting true/false positives/negatives (positive = churn):</w:t>
      </w:r>
    </w:p>
    <w:p>
      <w:pPr>
        <w:pStyle w:val="ListBullet"/>
        <w:spacing w:after="40"/>
        <w:jc w:val="both"/>
      </w:pPr>
      <w:r>
        <w:rPr>
          <w:b/>
          <w:i w:val="0"/>
        </w:rPr>
        <w:t>Accuracy</w:t>
      </w:r>
      <w:r>
        <w:rPr>
          <w:b w:val="0"/>
          <w:i w:val="0"/>
        </w:rPr>
        <w:t xml:space="preserve"> = (TP + TN) / (TP + TN + FP + FN) — overall correctness; misleading on imbalanced data.</w:t>
      </w:r>
    </w:p>
    <w:p>
      <w:pPr>
        <w:pStyle w:val="ListBullet"/>
        <w:spacing w:after="40"/>
        <w:jc w:val="both"/>
      </w:pPr>
      <w:r>
        <w:rPr>
          <w:b/>
          <w:i w:val="0"/>
        </w:rPr>
        <w:t>Precision</w:t>
      </w:r>
      <w:r>
        <w:rPr>
          <w:b w:val="0"/>
          <w:i w:val="0"/>
        </w:rPr>
        <w:t xml:space="preserve"> = TP / (TP + FP) — of the customers flagged as churners, how many really churn.</w:t>
      </w:r>
    </w:p>
    <w:p>
      <w:pPr>
        <w:pStyle w:val="ListBullet"/>
        <w:spacing w:after="40"/>
        <w:jc w:val="both"/>
      </w:pPr>
      <w:r>
        <w:rPr>
          <w:b/>
          <w:i w:val="0"/>
        </w:rPr>
        <w:t>Recall</w:t>
      </w:r>
      <w:r>
        <w:rPr>
          <w:b w:val="0"/>
          <w:i w:val="0"/>
        </w:rPr>
        <w:t xml:space="preserve"> = TP / (TP + FN) — of the real churners, how many the model catches. This is the key business metric.</w:t>
      </w:r>
    </w:p>
    <w:p>
      <w:pPr>
        <w:pStyle w:val="ListBullet"/>
        <w:spacing w:after="40"/>
        <w:jc w:val="both"/>
      </w:pPr>
      <w:r>
        <w:rPr>
          <w:b/>
          <w:i w:val="0"/>
        </w:rPr>
        <w:t>F1-score</w:t>
      </w:r>
      <w:r>
        <w:rPr>
          <w:b w:val="0"/>
          <w:i w:val="0"/>
        </w:rPr>
        <w:t xml:space="preserve"> = 2 × Precision × Recall / (Precision + Recall) — balance of precision and recall.</w:t>
      </w:r>
    </w:p>
    <w:p>
      <w:pPr>
        <w:pStyle w:val="ListBullet"/>
        <w:spacing w:after="40"/>
        <w:jc w:val="both"/>
      </w:pPr>
      <w:r>
        <w:rPr>
          <w:b/>
          <w:i w:val="0"/>
        </w:rPr>
        <w:t>ROC-AUC</w:t>
      </w:r>
      <w:r>
        <w:rPr>
          <w:b w:val="0"/>
          <w:i w:val="0"/>
        </w:rPr>
        <w:t xml:space="preserve"> — the probability that the model ranks a random churner above a random non-churner. It does not depend on the threshold and is used as the </w:t>
      </w:r>
      <w:r>
        <w:rPr>
          <w:b/>
          <w:i w:val="0"/>
        </w:rPr>
        <w:t>primary metric for selecting the model</w:t>
      </w:r>
      <w:r>
        <w:rPr>
          <w:b w:val="0"/>
          <w:i w:val="0"/>
        </w:rPr>
        <w:t>.</w:t>
      </w:r>
    </w:p>
    <w:p>
      <w:pPr>
        <w:pStyle w:val="Heading1"/>
        <w:pageBreakBefore/>
        <w:spacing w:before="280"/>
      </w:pPr>
      <w:r>
        <w:t>5. EXPLORATORY DATA ANALYSIS</w:t>
      </w:r>
    </w:p>
    <w:p>
      <w:pPr>
        <w:jc w:val="both"/>
      </w:pPr>
      <w:r>
        <w:rPr>
          <w:b w:val="0"/>
          <w:i w:val="0"/>
        </w:rPr>
        <w:t xml:space="preserve">EDA was carried out to understand how each attribute relates to churn before modelling. Figure 5.1 confirms the imbalance and shows the single strongest pattern in the data: customers on </w:t>
      </w:r>
      <w:r>
        <w:rPr>
          <w:b/>
          <w:i w:val="0"/>
        </w:rPr>
        <w:t>month-to-month contracts churn at 42.7 %</w:t>
      </w:r>
      <w:r>
        <w:rPr>
          <w:b w:val="0"/>
          <w:i w:val="0"/>
        </w:rPr>
        <w:t>, against 11.3 % for one-year and only 2.8 % for two-year contracts.</w:t>
      </w:r>
    </w:p>
    <w:p>
      <w:pPr>
        <w:keepNext/>
        <w:spacing w:after="0"/>
        <w:jc w:val="center"/>
      </w:pPr>
      <w:r>
        <w:drawing>
          <wp:inline xmlns:a="http://schemas.openxmlformats.org/drawingml/2006/main" xmlns:pic="http://schemas.openxmlformats.org/drawingml/2006/picture">
            <wp:extent cx="4937760" cy="1795549"/>
            <wp:docPr id="2" name="Picture 2"/>
            <wp:cNvGraphicFramePr>
              <a:graphicFrameLocks noChangeAspect="1"/>
            </wp:cNvGraphicFramePr>
            <a:graphic>
              <a:graphicData uri="http://schemas.openxmlformats.org/drawingml/2006/picture">
                <pic:pic>
                  <pic:nvPicPr>
                    <pic:cNvPr id="0" name="fig1_churn_distribution.png"/>
                    <pic:cNvPicPr/>
                  </pic:nvPicPr>
                  <pic:blipFill>
                    <a:blip r:embed="rId12"/>
                    <a:stretch>
                      <a:fillRect/>
                    </a:stretch>
                  </pic:blipFill>
                  <pic:spPr>
                    <a:xfrm>
                      <a:off x="0" y="0"/>
                      <a:ext cx="4937760" cy="1795549"/>
                    </a:xfrm>
                    <a:prstGeom prst="rect"/>
                  </pic:spPr>
                </pic:pic>
              </a:graphicData>
            </a:graphic>
          </wp:inline>
        </w:drawing>
      </w:r>
    </w:p>
    <w:p>
      <w:pPr>
        <w:spacing w:after="160" w:line="240" w:lineRule="auto"/>
        <w:jc w:val="center"/>
      </w:pPr>
      <w:r>
        <w:rPr>
          <w:b w:val="0"/>
          <w:i/>
          <w:sz w:val="21"/>
        </w:rPr>
        <w:t>Figure 5.1: Overall churn distribution and churn by contract type</w:t>
      </w:r>
    </w:p>
    <w:p>
      <w:pPr>
        <w:jc w:val="both"/>
      </w:pPr>
      <w:r>
        <w:rPr>
          <w:b w:val="0"/>
          <w:i w:val="0"/>
        </w:rPr>
        <w:t xml:space="preserve">Figure 5.2 compares the distributions of the numeric features. Churners have a much shorter tenure (mean </w:t>
      </w:r>
      <w:r>
        <w:rPr>
          <w:b/>
          <w:i w:val="0"/>
        </w:rPr>
        <w:t>18.0 months</w:t>
      </w:r>
      <w:r>
        <w:rPr>
          <w:b w:val="0"/>
          <w:i w:val="0"/>
        </w:rPr>
        <w:t xml:space="preserve"> vs </w:t>
      </w:r>
      <w:r>
        <w:rPr>
          <w:b/>
          <w:i w:val="0"/>
        </w:rPr>
        <w:t>37.6 months</w:t>
      </w:r>
      <w:r>
        <w:rPr>
          <w:b w:val="0"/>
          <w:i w:val="0"/>
        </w:rPr>
        <w:t xml:space="preserve"> for customers who stayed), and </w:t>
      </w:r>
      <w:r>
        <w:rPr>
          <w:b/>
          <w:i w:val="0"/>
        </w:rPr>
        <w:t>55 % of all churners leave within their first 12 months</w:t>
      </w:r>
      <w:r>
        <w:rPr>
          <w:b w:val="0"/>
          <w:i w:val="0"/>
        </w:rPr>
        <w:t xml:space="preserve">. Churners also pay more each month (mean monthly charge </w:t>
      </w:r>
      <w:r>
        <w:rPr>
          <w:b/>
          <w:i w:val="0"/>
        </w:rPr>
        <w:t>$74.44</w:t>
      </w:r>
      <w:r>
        <w:rPr>
          <w:b w:val="0"/>
          <w:i w:val="0"/>
        </w:rPr>
        <w:t xml:space="preserve"> vs </w:t>
      </w:r>
      <w:r>
        <w:rPr>
          <w:b/>
          <w:i w:val="0"/>
        </w:rPr>
        <w:t>$61.27</w:t>
      </w:r>
      <w:r>
        <w:rPr>
          <w:b w:val="0"/>
          <w:i w:val="0"/>
        </w:rPr>
        <w:t>), while their total charges are lower because they leave early.</w:t>
      </w:r>
    </w:p>
    <w:p>
      <w:pPr>
        <w:keepNext/>
        <w:spacing w:after="0"/>
        <w:jc w:val="center"/>
      </w:pPr>
      <w:r>
        <w:drawing>
          <wp:inline xmlns:a="http://schemas.openxmlformats.org/drawingml/2006/main" xmlns:pic="http://schemas.openxmlformats.org/drawingml/2006/picture">
            <wp:extent cx="5257800" cy="1314450"/>
            <wp:docPr id="3" name="Picture 3"/>
            <wp:cNvGraphicFramePr>
              <a:graphicFrameLocks noChangeAspect="1"/>
            </wp:cNvGraphicFramePr>
            <a:graphic>
              <a:graphicData uri="http://schemas.openxmlformats.org/drawingml/2006/picture">
                <pic:pic>
                  <pic:nvPicPr>
                    <pic:cNvPr id="0" name="fig2_numeric_distributions.png"/>
                    <pic:cNvPicPr/>
                  </pic:nvPicPr>
                  <pic:blipFill>
                    <a:blip r:embed="rId13"/>
                    <a:stretch>
                      <a:fillRect/>
                    </a:stretch>
                  </pic:blipFill>
                  <pic:spPr>
                    <a:xfrm>
                      <a:off x="0" y="0"/>
                      <a:ext cx="5257800" cy="1314450"/>
                    </a:xfrm>
                    <a:prstGeom prst="rect"/>
                  </pic:spPr>
                </pic:pic>
              </a:graphicData>
            </a:graphic>
          </wp:inline>
        </w:drawing>
      </w:r>
    </w:p>
    <w:p>
      <w:pPr>
        <w:spacing w:after="160" w:line="240" w:lineRule="auto"/>
        <w:jc w:val="center"/>
      </w:pPr>
      <w:r>
        <w:rPr>
          <w:b w:val="0"/>
          <w:i/>
          <w:sz w:val="21"/>
        </w:rPr>
        <w:t>Figure 5.2: Distribution of tenure, monthly charges and total charges by churn status</w:t>
      </w:r>
    </w:p>
    <w:p>
      <w:pPr>
        <w:jc w:val="both"/>
      </w:pPr>
      <w:r>
        <w:rPr>
          <w:b w:val="0"/>
          <w:i w:val="0"/>
        </w:rPr>
        <w:t>Figure 5.3 shows churn rates across key categorical attributes:</w:t>
      </w:r>
    </w:p>
    <w:p>
      <w:pPr>
        <w:pStyle w:val="ListBullet"/>
        <w:spacing w:after="40"/>
        <w:jc w:val="both"/>
      </w:pPr>
      <w:r>
        <w:rPr>
          <w:b/>
          <w:i w:val="0"/>
        </w:rPr>
        <w:t>Internet service:</w:t>
      </w:r>
      <w:r>
        <w:rPr>
          <w:b w:val="0"/>
          <w:i w:val="0"/>
        </w:rPr>
        <w:t xml:space="preserve"> fibre-optic customers churn at 41.9 %, compared with 19.0 % for DSL and 7.4 % for customers without internet. This suggests price or service-quality issues with the fibre product.</w:t>
      </w:r>
    </w:p>
    <w:p>
      <w:pPr>
        <w:pStyle w:val="ListBullet"/>
        <w:spacing w:after="40"/>
        <w:jc w:val="both"/>
      </w:pPr>
      <w:r>
        <w:rPr>
          <w:b/>
          <w:i w:val="0"/>
        </w:rPr>
        <w:t>Payment method:</w:t>
      </w:r>
      <w:r>
        <w:rPr>
          <w:b w:val="0"/>
          <w:i w:val="0"/>
        </w:rPr>
        <w:t xml:space="preserve"> electronic-check users churn at 45.3 %, about three times the rate of automatic bank-transfer (16.7 %) or credit-card (15.2 %) users.</w:t>
      </w:r>
    </w:p>
    <w:p>
      <w:pPr>
        <w:pStyle w:val="ListBullet"/>
        <w:spacing w:after="40"/>
        <w:jc w:val="both"/>
      </w:pPr>
      <w:r>
        <w:rPr>
          <w:b/>
          <w:i w:val="0"/>
        </w:rPr>
        <w:t>Add-on services:</w:t>
      </w:r>
      <w:r>
        <w:rPr>
          <w:b w:val="0"/>
          <w:i w:val="0"/>
        </w:rPr>
        <w:t xml:space="preserve"> customers without Online Security churn at 41.8 % against 14.6 % with it, and the pattern for Tech Support is almost identical (41.6 % vs 15.2 %).</w:t>
      </w:r>
    </w:p>
    <w:p>
      <w:pPr>
        <w:pStyle w:val="ListBullet"/>
        <w:spacing w:after="40"/>
        <w:jc w:val="both"/>
      </w:pPr>
      <w:r>
        <w:rPr>
          <w:b/>
          <w:i w:val="0"/>
        </w:rPr>
        <w:t>Demographics:</w:t>
      </w:r>
      <w:r>
        <w:rPr>
          <w:b w:val="0"/>
          <w:i w:val="0"/>
        </w:rPr>
        <w:t xml:space="preserve"> senior citizens churn at 41.7 % against 23.6 % for others. Customers without a partner or dependents also churn more. Gender has no visible effect.</w:t>
      </w:r>
    </w:p>
    <w:p>
      <w:pPr>
        <w:keepNext/>
        <w:spacing w:after="0"/>
        <w:jc w:val="center"/>
      </w:pPr>
      <w:r>
        <w:drawing>
          <wp:inline xmlns:a="http://schemas.openxmlformats.org/drawingml/2006/main" xmlns:pic="http://schemas.openxmlformats.org/drawingml/2006/picture">
            <wp:extent cx="5257800" cy="2628900"/>
            <wp:docPr id="4" name="Picture 4"/>
            <wp:cNvGraphicFramePr>
              <a:graphicFrameLocks noChangeAspect="1"/>
            </wp:cNvGraphicFramePr>
            <a:graphic>
              <a:graphicData uri="http://schemas.openxmlformats.org/drawingml/2006/picture">
                <pic:pic>
                  <pic:nvPicPr>
                    <pic:cNvPr id="0" name="fig3_churn_rate_by_category.png"/>
                    <pic:cNvPicPr/>
                  </pic:nvPicPr>
                  <pic:blipFill>
                    <a:blip r:embed="rId14"/>
                    <a:stretch>
                      <a:fillRect/>
                    </a:stretch>
                  </pic:blipFill>
                  <pic:spPr>
                    <a:xfrm>
                      <a:off x="0" y="0"/>
                      <a:ext cx="5257800" cy="2628900"/>
                    </a:xfrm>
                    <a:prstGeom prst="rect"/>
                  </pic:spPr>
                </pic:pic>
              </a:graphicData>
            </a:graphic>
          </wp:inline>
        </w:drawing>
      </w:r>
    </w:p>
    <w:p>
      <w:pPr>
        <w:spacing w:after="160" w:line="240" w:lineRule="auto"/>
        <w:jc w:val="center"/>
      </w:pPr>
      <w:r>
        <w:rPr>
          <w:b w:val="0"/>
          <w:i/>
          <w:sz w:val="21"/>
        </w:rPr>
        <w:t>Figure 5.3: Churn rate (%) across key categorical attributes</w:t>
      </w:r>
    </w:p>
    <w:p>
      <w:pPr>
        <w:jc w:val="both"/>
      </w:pPr>
      <w:r>
        <w:rPr>
          <w:b w:val="0"/>
          <w:i w:val="0"/>
        </w:rPr>
        <w:t>Figure 5.4 shows the correlations among the numeric features. Tenure has the strongest (negative) correlation with churn (−0.35). TotalCharges is highly correlated with tenure (0.83) because it is approximately tenure × monthly charge. Tree-based models handle this redundancy well.</w:t>
      </w:r>
    </w:p>
    <w:p>
      <w:pPr>
        <w:keepNext/>
        <w:spacing w:after="0"/>
        <w:jc w:val="center"/>
      </w:pPr>
      <w:r>
        <w:drawing>
          <wp:inline xmlns:a="http://schemas.openxmlformats.org/drawingml/2006/main" xmlns:pic="http://schemas.openxmlformats.org/drawingml/2006/picture">
            <wp:extent cx="3291840" cy="2468880"/>
            <wp:docPr id="5" name="Picture 5"/>
            <wp:cNvGraphicFramePr>
              <a:graphicFrameLocks noChangeAspect="1"/>
            </wp:cNvGraphicFramePr>
            <a:graphic>
              <a:graphicData uri="http://schemas.openxmlformats.org/drawingml/2006/picture">
                <pic:pic>
                  <pic:nvPicPr>
                    <pic:cNvPr id="0" name="fig4_correlation.png"/>
                    <pic:cNvPicPr/>
                  </pic:nvPicPr>
                  <pic:blipFill>
                    <a:blip r:embed="rId15"/>
                    <a:stretch>
                      <a:fillRect/>
                    </a:stretch>
                  </pic:blipFill>
                  <pic:spPr>
                    <a:xfrm>
                      <a:off x="0" y="0"/>
                      <a:ext cx="3291840" cy="2468880"/>
                    </a:xfrm>
                    <a:prstGeom prst="rect"/>
                  </pic:spPr>
                </pic:pic>
              </a:graphicData>
            </a:graphic>
          </wp:inline>
        </w:drawing>
      </w:r>
    </w:p>
    <w:p>
      <w:pPr>
        <w:spacing w:after="160" w:line="240" w:lineRule="auto"/>
        <w:jc w:val="center"/>
      </w:pPr>
      <w:r>
        <w:rPr>
          <w:b w:val="0"/>
          <w:i/>
          <w:sz w:val="21"/>
        </w:rPr>
        <w:t>Figure 5.4: Correlation heat-map of numeric features and churn</w:t>
      </w:r>
    </w:p>
    <w:p>
      <w:pPr>
        <w:pStyle w:val="Heading1"/>
        <w:pageBreakBefore w:val="0"/>
        <w:spacing w:before="280"/>
      </w:pPr>
      <w:r>
        <w:t>6. MODEL IMPLEMENTATION</w:t>
      </w:r>
    </w:p>
    <w:p>
      <w:pPr>
        <w:jc w:val="both"/>
      </w:pPr>
      <w:r>
        <w:rPr>
          <w:b w:val="0"/>
          <w:i w:val="0"/>
        </w:rPr>
        <w:t>Eleven classifiers from four families were trained on exactly the same pre-processed, SMOTE-balanced training data, so that the comparison is fair:</w:t>
      </w:r>
    </w:p>
    <w:p>
      <w:pPr>
        <w:keepNext/>
        <w:spacing w:after="40" w:line="240" w:lineRule="auto"/>
        <w:jc w:val="center"/>
      </w:pPr>
      <w:r>
        <w:rPr>
          <w:b/>
          <w:i w:val="0"/>
          <w:sz w:val="21"/>
        </w:rPr>
        <w:t>Table 6.1: Algorithms compared and their initial settings</w:t>
      </w:r>
    </w:p>
    <w:tbl>
      <w:tblPr>
        <w:tblStyle w:val="TableGrid"/>
        <w:tblW w:type="auto" w:w="0"/>
        <w:jc w:val="center"/>
        <w:tblLayout w:type="fixed"/>
        <w:tblLook w:firstColumn="1" w:firstRow="1" w:lastColumn="0" w:lastRow="0" w:noHBand="0" w:noVBand="1" w:val="04A0"/>
      </w:tblPr>
      <w:tblGrid>
        <w:gridCol w:w="2160"/>
        <w:gridCol w:w="2880"/>
        <w:gridCol w:w="3312"/>
      </w:tblGrid>
      <w:tr>
        <w:trPr>
          <w:cantSplit/>
        </w:trPr>
        <w:tc>
          <w:tcPr>
            <w:tcW w:type="dxa" w:w="2160"/>
            <w:shd w:val="clear" w:color="auto" w:fill="D9E2F3"/>
          </w:tcPr>
          <w:p>
            <w:pPr>
              <w:keepNext/>
              <w:spacing w:line="240" w:lineRule="auto" w:after="20"/>
              <w:jc w:val="center"/>
            </w:pPr>
            <w:r/>
            <w:r>
              <w:rPr>
                <w:b/>
                <w:sz w:val="20"/>
              </w:rPr>
              <w:t>Family</w:t>
            </w:r>
          </w:p>
        </w:tc>
        <w:tc>
          <w:tcPr>
            <w:tcW w:type="dxa" w:w="2880"/>
            <w:shd w:val="clear" w:color="auto" w:fill="D9E2F3"/>
          </w:tcPr>
          <w:p>
            <w:pPr>
              <w:keepNext/>
              <w:spacing w:line="240" w:lineRule="auto" w:after="20"/>
              <w:jc w:val="center"/>
            </w:pPr>
            <w:r/>
            <w:r>
              <w:rPr>
                <w:b/>
                <w:sz w:val="20"/>
              </w:rPr>
              <w:t>Algorithm</w:t>
            </w:r>
          </w:p>
        </w:tc>
        <w:tc>
          <w:tcPr>
            <w:tcW w:type="dxa" w:w="3312"/>
            <w:shd w:val="clear" w:color="auto" w:fill="D9E2F3"/>
          </w:tcPr>
          <w:p>
            <w:pPr>
              <w:keepNext/>
              <w:spacing w:line="240" w:lineRule="auto" w:after="20"/>
              <w:jc w:val="center"/>
            </w:pPr>
            <w:r/>
            <w:r>
              <w:rPr>
                <w:b/>
                <w:sz w:val="20"/>
              </w:rPr>
              <w:t>Key settings</w:t>
            </w:r>
          </w:p>
        </w:tc>
      </w:tr>
      <w:tr>
        <w:trPr>
          <w:cantSplit/>
        </w:trPr>
        <w:tc>
          <w:tcPr>
            <w:tcW w:type="dxa" w:w="2160"/>
          </w:tcPr>
          <w:p>
            <w:pPr>
              <w:keepNext/>
              <w:spacing w:line="240" w:lineRule="auto" w:after="20"/>
              <w:jc w:val="left"/>
            </w:pPr>
            <w:r/>
            <w:r>
              <w:rPr>
                <w:b w:val="0"/>
                <w:sz w:val="20"/>
              </w:rPr>
              <w:t>Linear</w:t>
            </w:r>
          </w:p>
        </w:tc>
        <w:tc>
          <w:tcPr>
            <w:tcW w:type="dxa" w:w="2880"/>
          </w:tcPr>
          <w:p>
            <w:pPr>
              <w:keepNext/>
              <w:spacing w:line="240" w:lineRule="auto" w:after="20"/>
              <w:jc w:val="center"/>
            </w:pPr>
            <w:r/>
            <w:r>
              <w:rPr>
                <w:b w:val="0"/>
                <w:sz w:val="20"/>
              </w:rPr>
              <w:t>Logistic Regression</w:t>
            </w:r>
          </w:p>
        </w:tc>
        <w:tc>
          <w:tcPr>
            <w:tcW w:type="dxa" w:w="3312"/>
          </w:tcPr>
          <w:p>
            <w:pPr>
              <w:keepNext/>
              <w:spacing w:line="240" w:lineRule="auto" w:after="20"/>
              <w:jc w:val="center"/>
            </w:pPr>
            <w:r/>
            <w:r>
              <w:rPr>
                <w:b w:val="0"/>
                <w:sz w:val="20"/>
              </w:rPr>
              <w:t>L2 penalty, max_iter = 2000</w:t>
            </w:r>
          </w:p>
        </w:tc>
      </w:tr>
      <w:tr>
        <w:trPr>
          <w:cantSplit/>
        </w:trPr>
        <w:tc>
          <w:tcPr>
            <w:tcW w:type="dxa" w:w="2160"/>
          </w:tcPr>
          <w:p>
            <w:pPr>
              <w:keepNext/>
              <w:spacing w:line="240" w:lineRule="auto" w:after="20"/>
              <w:jc w:val="left"/>
            </w:pPr>
            <w:r/>
            <w:r>
              <w:rPr>
                <w:b w:val="0"/>
                <w:sz w:val="20"/>
              </w:rPr>
              <w:t>Instance-based</w:t>
            </w:r>
          </w:p>
        </w:tc>
        <w:tc>
          <w:tcPr>
            <w:tcW w:type="dxa" w:w="2880"/>
          </w:tcPr>
          <w:p>
            <w:pPr>
              <w:keepNext/>
              <w:spacing w:line="240" w:lineRule="auto" w:after="20"/>
              <w:jc w:val="center"/>
            </w:pPr>
            <w:r/>
            <w:r>
              <w:rPr>
                <w:b w:val="0"/>
                <w:sz w:val="20"/>
              </w:rPr>
              <w:t>K-Nearest Neighbours</w:t>
            </w:r>
          </w:p>
        </w:tc>
        <w:tc>
          <w:tcPr>
            <w:tcW w:type="dxa" w:w="3312"/>
          </w:tcPr>
          <w:p>
            <w:pPr>
              <w:keepNext/>
              <w:spacing w:line="240" w:lineRule="auto" w:after="20"/>
              <w:jc w:val="center"/>
            </w:pPr>
            <w:r/>
            <w:r>
              <w:rPr>
                <w:b w:val="0"/>
                <w:sz w:val="20"/>
              </w:rPr>
              <w:t>k = 15</w:t>
            </w:r>
          </w:p>
        </w:tc>
      </w:tr>
      <w:tr>
        <w:trPr>
          <w:cantSplit/>
        </w:trPr>
        <w:tc>
          <w:tcPr>
            <w:tcW w:type="dxa" w:w="2160"/>
          </w:tcPr>
          <w:p>
            <w:pPr>
              <w:keepNext/>
              <w:spacing w:line="240" w:lineRule="auto" w:after="20"/>
              <w:jc w:val="left"/>
            </w:pPr>
            <w:r/>
            <w:r>
              <w:rPr>
                <w:b w:val="0"/>
                <w:sz w:val="20"/>
              </w:rPr>
              <w:t>Probabilistic</w:t>
            </w:r>
          </w:p>
        </w:tc>
        <w:tc>
          <w:tcPr>
            <w:tcW w:type="dxa" w:w="2880"/>
          </w:tcPr>
          <w:p>
            <w:pPr>
              <w:keepNext/>
              <w:spacing w:line="240" w:lineRule="auto" w:after="20"/>
              <w:jc w:val="center"/>
            </w:pPr>
            <w:r/>
            <w:r>
              <w:rPr>
                <w:b w:val="0"/>
                <w:sz w:val="20"/>
              </w:rPr>
              <w:t>Gaussian Naive Bayes</w:t>
            </w:r>
          </w:p>
        </w:tc>
        <w:tc>
          <w:tcPr>
            <w:tcW w:type="dxa" w:w="3312"/>
          </w:tcPr>
          <w:p>
            <w:pPr>
              <w:keepNext/>
              <w:spacing w:line="240" w:lineRule="auto" w:after="20"/>
              <w:jc w:val="center"/>
            </w:pPr>
            <w:r/>
            <w:r>
              <w:rPr>
                <w:b w:val="0"/>
                <w:sz w:val="20"/>
              </w:rPr>
              <w:t>default</w:t>
            </w:r>
          </w:p>
        </w:tc>
      </w:tr>
      <w:tr>
        <w:trPr>
          <w:cantSplit/>
        </w:trPr>
        <w:tc>
          <w:tcPr>
            <w:tcW w:type="dxa" w:w="2160"/>
          </w:tcPr>
          <w:p>
            <w:pPr>
              <w:keepNext/>
              <w:spacing w:line="240" w:lineRule="auto" w:after="20"/>
              <w:jc w:val="left"/>
            </w:pPr>
            <w:r/>
            <w:r>
              <w:rPr>
                <w:b w:val="0"/>
                <w:sz w:val="20"/>
              </w:rPr>
              <w:t>Kernel</w:t>
            </w:r>
          </w:p>
        </w:tc>
        <w:tc>
          <w:tcPr>
            <w:tcW w:type="dxa" w:w="2880"/>
          </w:tcPr>
          <w:p>
            <w:pPr>
              <w:keepNext/>
              <w:spacing w:line="240" w:lineRule="auto" w:after="20"/>
              <w:jc w:val="center"/>
            </w:pPr>
            <w:r/>
            <w:r>
              <w:rPr>
                <w:b w:val="0"/>
                <w:sz w:val="20"/>
              </w:rPr>
              <w:t>Support Vector Machine</w:t>
            </w:r>
          </w:p>
        </w:tc>
        <w:tc>
          <w:tcPr>
            <w:tcW w:type="dxa" w:w="3312"/>
          </w:tcPr>
          <w:p>
            <w:pPr>
              <w:keepNext/>
              <w:spacing w:line="240" w:lineRule="auto" w:after="20"/>
              <w:jc w:val="center"/>
            </w:pPr>
            <w:r/>
            <w:r>
              <w:rPr>
                <w:b w:val="0"/>
                <w:sz w:val="20"/>
              </w:rPr>
              <w:t>RBF kernel, probability outputs</w:t>
            </w:r>
          </w:p>
        </w:tc>
      </w:tr>
      <w:tr>
        <w:trPr>
          <w:cantSplit/>
        </w:trPr>
        <w:tc>
          <w:tcPr>
            <w:tcW w:type="dxa" w:w="2160"/>
          </w:tcPr>
          <w:p>
            <w:pPr>
              <w:keepNext/>
              <w:spacing w:line="240" w:lineRule="auto" w:after="20"/>
              <w:jc w:val="left"/>
            </w:pPr>
            <w:r/>
            <w:r>
              <w:rPr>
                <w:b w:val="0"/>
                <w:sz w:val="20"/>
              </w:rPr>
              <w:t>Tree</w:t>
            </w:r>
          </w:p>
        </w:tc>
        <w:tc>
          <w:tcPr>
            <w:tcW w:type="dxa" w:w="2880"/>
          </w:tcPr>
          <w:p>
            <w:pPr>
              <w:keepNext/>
              <w:spacing w:line="240" w:lineRule="auto" w:after="20"/>
              <w:jc w:val="center"/>
            </w:pPr>
            <w:r/>
            <w:r>
              <w:rPr>
                <w:b w:val="0"/>
                <w:sz w:val="20"/>
              </w:rPr>
              <w:t>Decision Tree</w:t>
            </w:r>
          </w:p>
        </w:tc>
        <w:tc>
          <w:tcPr>
            <w:tcW w:type="dxa" w:w="3312"/>
          </w:tcPr>
          <w:p>
            <w:pPr>
              <w:keepNext/>
              <w:spacing w:line="240" w:lineRule="auto" w:after="20"/>
              <w:jc w:val="center"/>
            </w:pPr>
            <w:r/>
            <w:r>
              <w:rPr>
                <w:b w:val="0"/>
                <w:sz w:val="20"/>
              </w:rPr>
              <w:t>max_depth = 6</w:t>
            </w:r>
          </w:p>
        </w:tc>
      </w:tr>
      <w:tr>
        <w:trPr>
          <w:cantSplit/>
        </w:trPr>
        <w:tc>
          <w:tcPr>
            <w:tcW w:type="dxa" w:w="2160"/>
          </w:tcPr>
          <w:p>
            <w:pPr>
              <w:keepNext/>
              <w:spacing w:line="240" w:lineRule="auto" w:after="20"/>
              <w:jc w:val="left"/>
            </w:pPr>
            <w:r/>
            <w:r>
              <w:rPr>
                <w:b w:val="0"/>
                <w:sz w:val="20"/>
              </w:rPr>
              <w:t>Bagging ensemble</w:t>
            </w:r>
          </w:p>
        </w:tc>
        <w:tc>
          <w:tcPr>
            <w:tcW w:type="dxa" w:w="2880"/>
          </w:tcPr>
          <w:p>
            <w:pPr>
              <w:keepNext/>
              <w:spacing w:line="240" w:lineRule="auto" w:after="20"/>
              <w:jc w:val="center"/>
            </w:pPr>
            <w:r/>
            <w:r>
              <w:rPr>
                <w:b w:val="0"/>
                <w:sz w:val="20"/>
              </w:rPr>
              <w:t>Random Forest</w:t>
            </w:r>
          </w:p>
        </w:tc>
        <w:tc>
          <w:tcPr>
            <w:tcW w:type="dxa" w:w="3312"/>
          </w:tcPr>
          <w:p>
            <w:pPr>
              <w:keepNext/>
              <w:spacing w:line="240" w:lineRule="auto" w:after="20"/>
              <w:jc w:val="center"/>
            </w:pPr>
            <w:r/>
            <w:r>
              <w:rPr>
                <w:b w:val="0"/>
                <w:sz w:val="20"/>
              </w:rPr>
              <w:t>300 trees, max_depth = 10</w:t>
            </w:r>
          </w:p>
        </w:tc>
      </w:tr>
      <w:tr>
        <w:trPr>
          <w:cantSplit/>
        </w:trPr>
        <w:tc>
          <w:tcPr>
            <w:tcW w:type="dxa" w:w="2160"/>
          </w:tcPr>
          <w:p>
            <w:pPr>
              <w:keepNext/>
              <w:spacing w:line="240" w:lineRule="auto" w:after="20"/>
              <w:jc w:val="left"/>
            </w:pPr>
            <w:r/>
            <w:r>
              <w:rPr>
                <w:b w:val="0"/>
                <w:sz w:val="20"/>
              </w:rPr>
              <w:t>Boosting ensemble</w:t>
            </w:r>
          </w:p>
        </w:tc>
        <w:tc>
          <w:tcPr>
            <w:tcW w:type="dxa" w:w="2880"/>
          </w:tcPr>
          <w:p>
            <w:pPr>
              <w:keepNext/>
              <w:spacing w:line="240" w:lineRule="auto" w:after="20"/>
              <w:jc w:val="center"/>
            </w:pPr>
            <w:r/>
            <w:r>
              <w:rPr>
                <w:b w:val="0"/>
                <w:sz w:val="20"/>
              </w:rPr>
              <w:t>AdaBoost</w:t>
            </w:r>
          </w:p>
        </w:tc>
        <w:tc>
          <w:tcPr>
            <w:tcW w:type="dxa" w:w="3312"/>
          </w:tcPr>
          <w:p>
            <w:pPr>
              <w:keepNext/>
              <w:spacing w:line="240" w:lineRule="auto" w:after="20"/>
              <w:jc w:val="center"/>
            </w:pPr>
            <w:r/>
            <w:r>
              <w:rPr>
                <w:b w:val="0"/>
                <w:sz w:val="20"/>
              </w:rPr>
              <w:t>200 estimators</w:t>
            </w:r>
          </w:p>
        </w:tc>
      </w:tr>
      <w:tr>
        <w:trPr>
          <w:cantSplit/>
        </w:trPr>
        <w:tc>
          <w:tcPr>
            <w:tcW w:type="dxa" w:w="2160"/>
          </w:tcPr>
          <w:p>
            <w:pPr>
              <w:keepNext/>
              <w:spacing w:line="240" w:lineRule="auto" w:after="20"/>
              <w:jc w:val="left"/>
            </w:pPr>
            <w:r/>
            <w:r>
              <w:rPr>
                <w:b w:val="0"/>
                <w:sz w:val="20"/>
              </w:rPr>
              <w:t>Boosting ensemble</w:t>
            </w:r>
          </w:p>
        </w:tc>
        <w:tc>
          <w:tcPr>
            <w:tcW w:type="dxa" w:w="2880"/>
          </w:tcPr>
          <w:p>
            <w:pPr>
              <w:keepNext/>
              <w:spacing w:line="240" w:lineRule="auto" w:after="20"/>
              <w:jc w:val="center"/>
            </w:pPr>
            <w:r/>
            <w:r>
              <w:rPr>
                <w:b w:val="0"/>
                <w:sz w:val="20"/>
              </w:rPr>
              <w:t>Gradient Boosting</w:t>
            </w:r>
          </w:p>
        </w:tc>
        <w:tc>
          <w:tcPr>
            <w:tcW w:type="dxa" w:w="3312"/>
          </w:tcPr>
          <w:p>
            <w:pPr>
              <w:keepNext/>
              <w:spacing w:line="240" w:lineRule="auto" w:after="20"/>
              <w:jc w:val="center"/>
            </w:pPr>
            <w:r/>
            <w:r>
              <w:rPr>
                <w:b w:val="0"/>
                <w:sz w:val="20"/>
              </w:rPr>
              <w:t>100 trees, depth 3, lr = 0.1</w:t>
            </w:r>
          </w:p>
        </w:tc>
      </w:tr>
      <w:tr>
        <w:trPr>
          <w:cantSplit/>
        </w:trPr>
        <w:tc>
          <w:tcPr>
            <w:tcW w:type="dxa" w:w="2160"/>
          </w:tcPr>
          <w:p>
            <w:pPr>
              <w:keepNext/>
              <w:spacing w:line="240" w:lineRule="auto" w:after="20"/>
              <w:jc w:val="left"/>
            </w:pPr>
            <w:r/>
            <w:r>
              <w:rPr>
                <w:b w:val="0"/>
                <w:sz w:val="20"/>
              </w:rPr>
              <w:t>Boosting ensemble</w:t>
            </w:r>
          </w:p>
        </w:tc>
        <w:tc>
          <w:tcPr>
            <w:tcW w:type="dxa" w:w="2880"/>
          </w:tcPr>
          <w:p>
            <w:pPr>
              <w:keepNext/>
              <w:spacing w:line="240" w:lineRule="auto" w:after="20"/>
              <w:jc w:val="center"/>
            </w:pPr>
            <w:r/>
            <w:r>
              <w:rPr>
                <w:b w:val="0"/>
                <w:sz w:val="20"/>
              </w:rPr>
              <w:t>XGBoost</w:t>
            </w:r>
          </w:p>
        </w:tc>
        <w:tc>
          <w:tcPr>
            <w:tcW w:type="dxa" w:w="3312"/>
          </w:tcPr>
          <w:p>
            <w:pPr>
              <w:keepNext/>
              <w:spacing w:line="240" w:lineRule="auto" w:after="20"/>
              <w:jc w:val="center"/>
            </w:pPr>
            <w:r/>
            <w:r>
              <w:rPr>
                <w:b w:val="0"/>
                <w:sz w:val="20"/>
              </w:rPr>
              <w:t>300 trees, depth 4, lr = 0.05</w:t>
            </w:r>
          </w:p>
        </w:tc>
      </w:tr>
      <w:tr>
        <w:trPr>
          <w:cantSplit/>
        </w:trPr>
        <w:tc>
          <w:tcPr>
            <w:tcW w:type="dxa" w:w="2160"/>
          </w:tcPr>
          <w:p>
            <w:pPr>
              <w:keepNext/>
              <w:spacing w:line="240" w:lineRule="auto" w:after="20"/>
              <w:jc w:val="left"/>
            </w:pPr>
            <w:r/>
            <w:r>
              <w:rPr>
                <w:b w:val="0"/>
                <w:sz w:val="20"/>
              </w:rPr>
              <w:t>Boosting ensemble</w:t>
            </w:r>
          </w:p>
        </w:tc>
        <w:tc>
          <w:tcPr>
            <w:tcW w:type="dxa" w:w="2880"/>
          </w:tcPr>
          <w:p>
            <w:pPr>
              <w:keepNext/>
              <w:spacing w:line="240" w:lineRule="auto" w:after="20"/>
              <w:jc w:val="center"/>
            </w:pPr>
            <w:r/>
            <w:r>
              <w:rPr>
                <w:b w:val="0"/>
                <w:sz w:val="20"/>
              </w:rPr>
              <w:t>LightGBM</w:t>
            </w:r>
          </w:p>
        </w:tc>
        <w:tc>
          <w:tcPr>
            <w:tcW w:type="dxa" w:w="3312"/>
          </w:tcPr>
          <w:p>
            <w:pPr>
              <w:keepNext/>
              <w:spacing w:line="240" w:lineRule="auto" w:after="20"/>
              <w:jc w:val="center"/>
            </w:pPr>
            <w:r/>
            <w:r>
              <w:rPr>
                <w:b w:val="0"/>
                <w:sz w:val="20"/>
              </w:rPr>
              <w:t>300 trees, 15 leaves, lr = 0.05</w:t>
            </w:r>
          </w:p>
        </w:tc>
      </w:tr>
      <w:tr>
        <w:tc>
          <w:tcPr>
            <w:tcW w:type="dxa" w:w="2160"/>
          </w:tcPr>
          <w:p>
            <w:pPr>
              <w:spacing w:line="240" w:lineRule="auto" w:after="20"/>
              <w:jc w:val="left"/>
            </w:pPr>
            <w:r/>
            <w:r>
              <w:rPr>
                <w:b w:val="0"/>
                <w:sz w:val="20"/>
              </w:rPr>
              <w:t>Boosting ensemble</w:t>
            </w:r>
          </w:p>
        </w:tc>
        <w:tc>
          <w:tcPr>
            <w:tcW w:type="dxa" w:w="2880"/>
          </w:tcPr>
          <w:p>
            <w:pPr>
              <w:spacing w:line="240" w:lineRule="auto" w:after="20"/>
              <w:jc w:val="center"/>
            </w:pPr>
            <w:r/>
            <w:r>
              <w:rPr>
                <w:b w:val="0"/>
                <w:sz w:val="20"/>
              </w:rPr>
              <w:t>CatBoost</w:t>
            </w:r>
          </w:p>
        </w:tc>
        <w:tc>
          <w:tcPr>
            <w:tcW w:type="dxa" w:w="3312"/>
          </w:tcPr>
          <w:p>
            <w:pPr>
              <w:spacing w:line="240" w:lineRule="auto" w:after="20"/>
              <w:jc w:val="center"/>
            </w:pPr>
            <w:r/>
            <w:r>
              <w:rPr>
                <w:b w:val="0"/>
                <w:sz w:val="20"/>
              </w:rPr>
              <w:t>500 iterations, depth 5, lr = 0.05</w:t>
            </w:r>
          </w:p>
        </w:tc>
      </w:tr>
    </w:tbl>
    <w:p>
      <w:pPr>
        <w:spacing w:after="80" w:line="240" w:lineRule="auto"/>
        <w:jc w:val="both"/>
      </w:pPr>
    </w:p>
    <w:p>
      <w:pPr>
        <w:pStyle w:val="Heading2"/>
      </w:pPr>
      <w:r>
        <w:t>6.1 Hyper-parameter Tuning</w:t>
      </w:r>
    </w:p>
    <w:p>
      <w:pPr>
        <w:jc w:val="both"/>
      </w:pPr>
      <w:r>
        <w:rPr>
          <w:b w:val="0"/>
          <w:i w:val="0"/>
        </w:rPr>
        <w:t>The three models with the highest test ROC-AUC (XGBoost, Gradient Boosting and AdaBoost) were tuned with RandomizedSearchCV. Each search tried 30 parameter combinations, scored by 5-fold cross-validated ROC-AUC on the training set. The search covered the number of trees, learning rate, tree depth, row sub-sampling and (for XGBoost) column sub-sampling.</w:t>
      </w:r>
    </w:p>
    <w:p>
      <w:pPr>
        <w:pStyle w:val="Heading2"/>
      </w:pPr>
      <w:r>
        <w:t>6.2 Decision-threshold Optimisation</w:t>
      </w:r>
    </w:p>
    <w:p>
      <w:pPr>
        <w:jc w:val="both"/>
      </w:pPr>
      <w:r>
        <w:rPr>
          <w:b w:val="0"/>
          <w:i w:val="0"/>
        </w:rPr>
        <w:t xml:space="preserve">Classifiers output a probability, and by default a customer is labelled a churner when this exceeds 0.5. In churn prevention, a missed churner (false negative) costs a lost customer, while a false alarm costs only a discount offer. The threshold was therefore re-chosen to maximise F1-score. To keep the test set untouched, this was done on </w:t>
      </w:r>
      <w:r>
        <w:rPr>
          <w:b/>
          <w:i w:val="0"/>
        </w:rPr>
        <w:t>out-of-fold cross-validated predictions on the training data</w:t>
      </w:r>
      <w:r>
        <w:rPr>
          <w:b w:val="0"/>
          <w:i w:val="0"/>
        </w:rPr>
        <w:t>.</w:t>
      </w:r>
    </w:p>
    <w:p>
      <w:pPr>
        <w:pStyle w:val="Heading1"/>
        <w:pageBreakBefore/>
        <w:spacing w:before="280"/>
      </w:pPr>
      <w:r>
        <w:t>7. RESULTS AND DISCUSSION</w:t>
      </w:r>
    </w:p>
    <w:p>
      <w:pPr>
        <w:pStyle w:val="Heading2"/>
      </w:pPr>
      <w:r>
        <w:t>7.1 Comparison of All Algorithms</w:t>
      </w:r>
    </w:p>
    <w:p>
      <w:pPr>
        <w:keepNext/>
        <w:spacing w:after="40" w:line="240" w:lineRule="auto"/>
        <w:jc w:val="center"/>
      </w:pPr>
      <w:r>
        <w:rPr>
          <w:b/>
          <w:i w:val="0"/>
          <w:sz w:val="21"/>
        </w:rPr>
        <w:t>Table 7.1: Test-set performance of all algorithms (sorted by ROC-AUC)</w:t>
      </w:r>
    </w:p>
    <w:tbl>
      <w:tblPr>
        <w:tblStyle w:val="TableGrid"/>
        <w:tblW w:type="auto" w:w="0"/>
        <w:jc w:val="center"/>
        <w:tblLayout w:type="fixed"/>
        <w:tblLook w:firstColumn="1" w:firstRow="1" w:lastColumn="0" w:lastRow="0" w:noHBand="0" w:noVBand="1" w:val="04A0"/>
      </w:tblPr>
      <w:tblGrid>
        <w:gridCol w:w="2376"/>
        <w:gridCol w:w="1037"/>
        <w:gridCol w:w="1037"/>
        <w:gridCol w:w="979"/>
        <w:gridCol w:w="1037"/>
        <w:gridCol w:w="1008"/>
        <w:gridCol w:w="979"/>
      </w:tblGrid>
      <w:tr>
        <w:trPr>
          <w:cantSplit/>
        </w:trPr>
        <w:tc>
          <w:tcPr>
            <w:tcW w:type="dxa" w:w="2376"/>
            <w:shd w:val="clear" w:color="auto" w:fill="D9E2F3"/>
          </w:tcPr>
          <w:p>
            <w:pPr>
              <w:keepNext/>
              <w:spacing w:line="240" w:lineRule="auto" w:after="20"/>
              <w:jc w:val="center"/>
            </w:pPr>
            <w:r/>
            <w:r>
              <w:rPr>
                <w:b/>
                <w:sz w:val="19"/>
              </w:rPr>
              <w:t>Algorithm</w:t>
            </w:r>
          </w:p>
        </w:tc>
        <w:tc>
          <w:tcPr>
            <w:tcW w:type="dxa" w:w="1037"/>
            <w:shd w:val="clear" w:color="auto" w:fill="D9E2F3"/>
          </w:tcPr>
          <w:p>
            <w:pPr>
              <w:keepNext/>
              <w:spacing w:line="240" w:lineRule="auto" w:after="20"/>
              <w:jc w:val="center"/>
            </w:pPr>
            <w:r/>
            <w:r>
              <w:rPr>
                <w:b/>
                <w:sz w:val="19"/>
              </w:rPr>
              <w:t>Accuracy</w:t>
            </w:r>
          </w:p>
        </w:tc>
        <w:tc>
          <w:tcPr>
            <w:tcW w:type="dxa" w:w="1037"/>
            <w:shd w:val="clear" w:color="auto" w:fill="D9E2F3"/>
          </w:tcPr>
          <w:p>
            <w:pPr>
              <w:keepNext/>
              <w:spacing w:line="240" w:lineRule="auto" w:after="20"/>
              <w:jc w:val="center"/>
            </w:pPr>
            <w:r/>
            <w:r>
              <w:rPr>
                <w:b/>
                <w:sz w:val="19"/>
              </w:rPr>
              <w:t>Precision</w:t>
            </w:r>
          </w:p>
        </w:tc>
        <w:tc>
          <w:tcPr>
            <w:tcW w:type="dxa" w:w="979"/>
            <w:shd w:val="clear" w:color="auto" w:fill="D9E2F3"/>
          </w:tcPr>
          <w:p>
            <w:pPr>
              <w:keepNext/>
              <w:spacing w:line="240" w:lineRule="auto" w:after="20"/>
              <w:jc w:val="center"/>
            </w:pPr>
            <w:r/>
            <w:r>
              <w:rPr>
                <w:b/>
                <w:sz w:val="19"/>
              </w:rPr>
              <w:t>Recall</w:t>
            </w:r>
          </w:p>
        </w:tc>
        <w:tc>
          <w:tcPr>
            <w:tcW w:type="dxa" w:w="1037"/>
            <w:shd w:val="clear" w:color="auto" w:fill="D9E2F3"/>
          </w:tcPr>
          <w:p>
            <w:pPr>
              <w:keepNext/>
              <w:spacing w:line="240" w:lineRule="auto" w:after="20"/>
              <w:jc w:val="center"/>
            </w:pPr>
            <w:r/>
            <w:r>
              <w:rPr>
                <w:b/>
                <w:sz w:val="19"/>
              </w:rPr>
              <w:t>F1-Score</w:t>
            </w:r>
          </w:p>
        </w:tc>
        <w:tc>
          <w:tcPr>
            <w:tcW w:type="dxa" w:w="1008"/>
            <w:shd w:val="clear" w:color="auto" w:fill="D9E2F3"/>
          </w:tcPr>
          <w:p>
            <w:pPr>
              <w:keepNext/>
              <w:spacing w:line="240" w:lineRule="auto" w:after="20"/>
              <w:jc w:val="center"/>
            </w:pPr>
            <w:r/>
            <w:r>
              <w:rPr>
                <w:b/>
                <w:sz w:val="19"/>
              </w:rPr>
              <w:t>ROC-AUC</w:t>
            </w:r>
          </w:p>
        </w:tc>
        <w:tc>
          <w:tcPr>
            <w:tcW w:type="dxa" w:w="979"/>
            <w:shd w:val="clear" w:color="auto" w:fill="D9E2F3"/>
          </w:tcPr>
          <w:p>
            <w:pPr>
              <w:keepNext/>
              <w:spacing w:line="240" w:lineRule="auto" w:after="20"/>
              <w:jc w:val="center"/>
            </w:pPr>
            <w:r/>
            <w:r>
              <w:rPr>
                <w:b/>
                <w:sz w:val="19"/>
              </w:rPr>
              <w:t>CV AUC</w:t>
            </w:r>
          </w:p>
        </w:tc>
      </w:tr>
      <w:tr>
        <w:trPr>
          <w:cantSplit/>
        </w:trPr>
        <w:tc>
          <w:tcPr>
            <w:tcW w:type="dxa" w:w="2376"/>
            <w:shd w:val="clear" w:color="auto" w:fill="E2EFDA"/>
          </w:tcPr>
          <w:p>
            <w:pPr>
              <w:keepNext/>
              <w:spacing w:line="240" w:lineRule="auto" w:after="20"/>
              <w:jc w:val="left"/>
            </w:pPr>
            <w:r/>
            <w:r>
              <w:rPr>
                <w:b/>
                <w:sz w:val="19"/>
              </w:rPr>
              <w:t>XGBoost</w:t>
            </w:r>
          </w:p>
        </w:tc>
        <w:tc>
          <w:tcPr>
            <w:tcW w:type="dxa" w:w="1037"/>
            <w:shd w:val="clear" w:color="auto" w:fill="E2EFDA"/>
          </w:tcPr>
          <w:p>
            <w:pPr>
              <w:keepNext/>
              <w:spacing w:line="240" w:lineRule="auto" w:after="20"/>
              <w:jc w:val="center"/>
            </w:pPr>
            <w:r/>
            <w:r>
              <w:rPr>
                <w:b/>
                <w:sz w:val="19"/>
              </w:rPr>
              <w:t>0.7771</w:t>
            </w:r>
          </w:p>
        </w:tc>
        <w:tc>
          <w:tcPr>
            <w:tcW w:type="dxa" w:w="1037"/>
            <w:shd w:val="clear" w:color="auto" w:fill="E2EFDA"/>
          </w:tcPr>
          <w:p>
            <w:pPr>
              <w:keepNext/>
              <w:spacing w:line="240" w:lineRule="auto" w:after="20"/>
              <w:jc w:val="center"/>
            </w:pPr>
            <w:r/>
            <w:r>
              <w:rPr>
                <w:b/>
                <w:sz w:val="19"/>
              </w:rPr>
              <w:t>0.5732</w:t>
            </w:r>
          </w:p>
        </w:tc>
        <w:tc>
          <w:tcPr>
            <w:tcW w:type="dxa" w:w="979"/>
            <w:shd w:val="clear" w:color="auto" w:fill="E2EFDA"/>
          </w:tcPr>
          <w:p>
            <w:pPr>
              <w:keepNext/>
              <w:spacing w:line="240" w:lineRule="auto" w:after="20"/>
              <w:jc w:val="center"/>
            </w:pPr>
            <w:r/>
            <w:r>
              <w:rPr>
                <w:b/>
                <w:sz w:val="19"/>
              </w:rPr>
              <w:t>0.6283</w:t>
            </w:r>
          </w:p>
        </w:tc>
        <w:tc>
          <w:tcPr>
            <w:tcW w:type="dxa" w:w="1037"/>
            <w:shd w:val="clear" w:color="auto" w:fill="E2EFDA"/>
          </w:tcPr>
          <w:p>
            <w:pPr>
              <w:keepNext/>
              <w:spacing w:line="240" w:lineRule="auto" w:after="20"/>
              <w:jc w:val="center"/>
            </w:pPr>
            <w:r/>
            <w:r>
              <w:rPr>
                <w:b/>
                <w:sz w:val="19"/>
              </w:rPr>
              <w:t>0.5995</w:t>
            </w:r>
          </w:p>
        </w:tc>
        <w:tc>
          <w:tcPr>
            <w:tcW w:type="dxa" w:w="1008"/>
            <w:shd w:val="clear" w:color="auto" w:fill="E2EFDA"/>
          </w:tcPr>
          <w:p>
            <w:pPr>
              <w:keepNext/>
              <w:spacing w:line="240" w:lineRule="auto" w:after="20"/>
              <w:jc w:val="center"/>
            </w:pPr>
            <w:r/>
            <w:r>
              <w:rPr>
                <w:b/>
                <w:sz w:val="19"/>
              </w:rPr>
              <w:t>0.8420</w:t>
            </w:r>
          </w:p>
        </w:tc>
        <w:tc>
          <w:tcPr>
            <w:tcW w:type="dxa" w:w="979"/>
            <w:shd w:val="clear" w:color="auto" w:fill="E2EFDA"/>
          </w:tcPr>
          <w:p>
            <w:pPr>
              <w:keepNext/>
              <w:spacing w:line="240" w:lineRule="auto" w:after="20"/>
              <w:jc w:val="center"/>
            </w:pPr>
            <w:r/>
            <w:r>
              <w:rPr>
                <w:b/>
                <w:sz w:val="19"/>
              </w:rPr>
              <w:t>0.8417</w:t>
            </w:r>
          </w:p>
        </w:tc>
      </w:tr>
      <w:tr>
        <w:trPr>
          <w:cantSplit/>
        </w:trPr>
        <w:tc>
          <w:tcPr>
            <w:tcW w:type="dxa" w:w="2376"/>
          </w:tcPr>
          <w:p>
            <w:pPr>
              <w:keepNext/>
              <w:spacing w:line="240" w:lineRule="auto" w:after="20"/>
              <w:jc w:val="left"/>
            </w:pPr>
            <w:r/>
            <w:r>
              <w:rPr>
                <w:b w:val="0"/>
                <w:sz w:val="19"/>
              </w:rPr>
              <w:t>Gradient Boosting</w:t>
            </w:r>
          </w:p>
        </w:tc>
        <w:tc>
          <w:tcPr>
            <w:tcW w:type="dxa" w:w="1037"/>
          </w:tcPr>
          <w:p>
            <w:pPr>
              <w:keepNext/>
              <w:spacing w:line="240" w:lineRule="auto" w:after="20"/>
              <w:jc w:val="center"/>
            </w:pPr>
            <w:r/>
            <w:r>
              <w:rPr>
                <w:b w:val="0"/>
                <w:sz w:val="19"/>
              </w:rPr>
              <w:t>0.7821</w:t>
            </w:r>
          </w:p>
        </w:tc>
        <w:tc>
          <w:tcPr>
            <w:tcW w:type="dxa" w:w="1037"/>
          </w:tcPr>
          <w:p>
            <w:pPr>
              <w:keepNext/>
              <w:spacing w:line="240" w:lineRule="auto" w:after="20"/>
              <w:jc w:val="center"/>
            </w:pPr>
            <w:r/>
            <w:r>
              <w:rPr>
                <w:b w:val="0"/>
                <w:sz w:val="19"/>
              </w:rPr>
              <w:t>0.5763</w:t>
            </w:r>
          </w:p>
        </w:tc>
        <w:tc>
          <w:tcPr>
            <w:tcW w:type="dxa" w:w="979"/>
          </w:tcPr>
          <w:p>
            <w:pPr>
              <w:keepNext/>
              <w:spacing w:line="240" w:lineRule="auto" w:after="20"/>
              <w:jc w:val="center"/>
            </w:pPr>
            <w:r/>
            <w:r>
              <w:rPr>
                <w:b w:val="0"/>
                <w:sz w:val="19"/>
              </w:rPr>
              <w:t>0.6765</w:t>
            </w:r>
          </w:p>
        </w:tc>
        <w:tc>
          <w:tcPr>
            <w:tcW w:type="dxa" w:w="1037"/>
          </w:tcPr>
          <w:p>
            <w:pPr>
              <w:keepNext/>
              <w:spacing w:line="240" w:lineRule="auto" w:after="20"/>
              <w:jc w:val="center"/>
            </w:pPr>
            <w:r/>
            <w:r>
              <w:rPr>
                <w:b w:val="0"/>
                <w:sz w:val="19"/>
              </w:rPr>
              <w:t>0.6224</w:t>
            </w:r>
          </w:p>
        </w:tc>
        <w:tc>
          <w:tcPr>
            <w:tcW w:type="dxa" w:w="1008"/>
          </w:tcPr>
          <w:p>
            <w:pPr>
              <w:keepNext/>
              <w:spacing w:line="240" w:lineRule="auto" w:after="20"/>
              <w:jc w:val="center"/>
            </w:pPr>
            <w:r/>
            <w:r>
              <w:rPr>
                <w:b w:val="0"/>
                <w:sz w:val="19"/>
              </w:rPr>
              <w:t>0.8417</w:t>
            </w:r>
          </w:p>
        </w:tc>
        <w:tc>
          <w:tcPr>
            <w:tcW w:type="dxa" w:w="979"/>
          </w:tcPr>
          <w:p>
            <w:pPr>
              <w:keepNext/>
              <w:spacing w:line="240" w:lineRule="auto" w:after="20"/>
              <w:jc w:val="center"/>
            </w:pPr>
            <w:r/>
            <w:r>
              <w:rPr>
                <w:b w:val="0"/>
                <w:sz w:val="19"/>
              </w:rPr>
              <w:t>0.8450</w:t>
            </w:r>
          </w:p>
        </w:tc>
      </w:tr>
      <w:tr>
        <w:trPr>
          <w:cantSplit/>
        </w:trPr>
        <w:tc>
          <w:tcPr>
            <w:tcW w:type="dxa" w:w="2376"/>
          </w:tcPr>
          <w:p>
            <w:pPr>
              <w:keepNext/>
              <w:spacing w:line="240" w:lineRule="auto" w:after="20"/>
              <w:jc w:val="left"/>
            </w:pPr>
            <w:r/>
            <w:r>
              <w:rPr>
                <w:b w:val="0"/>
                <w:sz w:val="19"/>
              </w:rPr>
              <w:t>AdaBoost</w:t>
            </w:r>
          </w:p>
        </w:tc>
        <w:tc>
          <w:tcPr>
            <w:tcW w:type="dxa" w:w="1037"/>
          </w:tcPr>
          <w:p>
            <w:pPr>
              <w:keepNext/>
              <w:spacing w:line="240" w:lineRule="auto" w:after="20"/>
              <w:jc w:val="center"/>
            </w:pPr>
            <w:r/>
            <w:r>
              <w:rPr>
                <w:b w:val="0"/>
                <w:sz w:val="19"/>
              </w:rPr>
              <w:t>0.7779</w:t>
            </w:r>
          </w:p>
        </w:tc>
        <w:tc>
          <w:tcPr>
            <w:tcW w:type="dxa" w:w="1037"/>
          </w:tcPr>
          <w:p>
            <w:pPr>
              <w:keepNext/>
              <w:spacing w:line="240" w:lineRule="auto" w:after="20"/>
              <w:jc w:val="center"/>
            </w:pPr>
            <w:r/>
            <w:r>
              <w:rPr>
                <w:b w:val="0"/>
                <w:sz w:val="19"/>
              </w:rPr>
              <w:t>0.5673</w:t>
            </w:r>
          </w:p>
        </w:tc>
        <w:tc>
          <w:tcPr>
            <w:tcW w:type="dxa" w:w="979"/>
          </w:tcPr>
          <w:p>
            <w:pPr>
              <w:keepNext/>
              <w:spacing w:line="240" w:lineRule="auto" w:after="20"/>
              <w:jc w:val="center"/>
            </w:pPr>
            <w:r/>
            <w:r>
              <w:rPr>
                <w:b w:val="0"/>
                <w:sz w:val="19"/>
              </w:rPr>
              <w:t>0.6872</w:t>
            </w:r>
          </w:p>
        </w:tc>
        <w:tc>
          <w:tcPr>
            <w:tcW w:type="dxa" w:w="1037"/>
          </w:tcPr>
          <w:p>
            <w:pPr>
              <w:keepNext/>
              <w:spacing w:line="240" w:lineRule="auto" w:after="20"/>
              <w:jc w:val="center"/>
            </w:pPr>
            <w:r/>
            <w:r>
              <w:rPr>
                <w:b w:val="0"/>
                <w:sz w:val="19"/>
              </w:rPr>
              <w:t>0.6215</w:t>
            </w:r>
          </w:p>
        </w:tc>
        <w:tc>
          <w:tcPr>
            <w:tcW w:type="dxa" w:w="1008"/>
          </w:tcPr>
          <w:p>
            <w:pPr>
              <w:keepNext/>
              <w:spacing w:line="240" w:lineRule="auto" w:after="20"/>
              <w:jc w:val="center"/>
            </w:pPr>
            <w:r/>
            <w:r>
              <w:rPr>
                <w:b w:val="0"/>
                <w:sz w:val="19"/>
              </w:rPr>
              <w:t>0.8415</w:t>
            </w:r>
          </w:p>
        </w:tc>
        <w:tc>
          <w:tcPr>
            <w:tcW w:type="dxa" w:w="979"/>
          </w:tcPr>
          <w:p>
            <w:pPr>
              <w:keepNext/>
              <w:spacing w:line="240" w:lineRule="auto" w:after="20"/>
              <w:jc w:val="center"/>
            </w:pPr>
            <w:r/>
            <w:r>
              <w:rPr>
                <w:b w:val="0"/>
                <w:sz w:val="19"/>
              </w:rPr>
              <w:t>0.8451</w:t>
            </w:r>
          </w:p>
        </w:tc>
      </w:tr>
      <w:tr>
        <w:trPr>
          <w:cantSplit/>
        </w:trPr>
        <w:tc>
          <w:tcPr>
            <w:tcW w:type="dxa" w:w="2376"/>
          </w:tcPr>
          <w:p>
            <w:pPr>
              <w:keepNext/>
              <w:spacing w:line="240" w:lineRule="auto" w:after="20"/>
              <w:jc w:val="left"/>
            </w:pPr>
            <w:r/>
            <w:r>
              <w:rPr>
                <w:b w:val="0"/>
                <w:sz w:val="19"/>
              </w:rPr>
              <w:t>Logistic Regression</w:t>
            </w:r>
          </w:p>
        </w:tc>
        <w:tc>
          <w:tcPr>
            <w:tcW w:type="dxa" w:w="1037"/>
          </w:tcPr>
          <w:p>
            <w:pPr>
              <w:keepNext/>
              <w:spacing w:line="240" w:lineRule="auto" w:after="20"/>
              <w:jc w:val="center"/>
            </w:pPr>
            <w:r/>
            <w:r>
              <w:rPr>
                <w:b w:val="0"/>
                <w:sz w:val="19"/>
              </w:rPr>
              <w:t>0.7402</w:t>
            </w:r>
          </w:p>
        </w:tc>
        <w:tc>
          <w:tcPr>
            <w:tcW w:type="dxa" w:w="1037"/>
          </w:tcPr>
          <w:p>
            <w:pPr>
              <w:keepNext/>
              <w:spacing w:line="240" w:lineRule="auto" w:after="20"/>
              <w:jc w:val="center"/>
            </w:pPr>
            <w:r/>
            <w:r>
              <w:rPr>
                <w:b w:val="0"/>
                <w:sz w:val="19"/>
              </w:rPr>
              <w:t>0.5068</w:t>
            </w:r>
          </w:p>
        </w:tc>
        <w:tc>
          <w:tcPr>
            <w:tcW w:type="dxa" w:w="979"/>
          </w:tcPr>
          <w:p>
            <w:pPr>
              <w:keepNext/>
              <w:spacing w:line="240" w:lineRule="auto" w:after="20"/>
              <w:jc w:val="center"/>
            </w:pPr>
            <w:r/>
            <w:r>
              <w:rPr>
                <w:b w:val="0"/>
                <w:sz w:val="19"/>
              </w:rPr>
              <w:t>0.7995</w:t>
            </w:r>
          </w:p>
        </w:tc>
        <w:tc>
          <w:tcPr>
            <w:tcW w:type="dxa" w:w="1037"/>
          </w:tcPr>
          <w:p>
            <w:pPr>
              <w:keepNext/>
              <w:spacing w:line="240" w:lineRule="auto" w:after="20"/>
              <w:jc w:val="center"/>
            </w:pPr>
            <w:r/>
            <w:r>
              <w:rPr>
                <w:b w:val="0"/>
                <w:sz w:val="19"/>
              </w:rPr>
              <w:t>0.6203</w:t>
            </w:r>
          </w:p>
        </w:tc>
        <w:tc>
          <w:tcPr>
            <w:tcW w:type="dxa" w:w="1008"/>
          </w:tcPr>
          <w:p>
            <w:pPr>
              <w:keepNext/>
              <w:spacing w:line="240" w:lineRule="auto" w:after="20"/>
              <w:jc w:val="center"/>
            </w:pPr>
            <w:r/>
            <w:r>
              <w:rPr>
                <w:b w:val="0"/>
                <w:sz w:val="19"/>
              </w:rPr>
              <w:t>0.8405</w:t>
            </w:r>
          </w:p>
        </w:tc>
        <w:tc>
          <w:tcPr>
            <w:tcW w:type="dxa" w:w="979"/>
          </w:tcPr>
          <w:p>
            <w:pPr>
              <w:keepNext/>
              <w:spacing w:line="240" w:lineRule="auto" w:after="20"/>
              <w:jc w:val="center"/>
            </w:pPr>
            <w:r/>
            <w:r>
              <w:rPr>
                <w:b w:val="0"/>
                <w:sz w:val="19"/>
              </w:rPr>
              <w:t>0.8447</w:t>
            </w:r>
          </w:p>
        </w:tc>
      </w:tr>
      <w:tr>
        <w:trPr>
          <w:cantSplit/>
        </w:trPr>
        <w:tc>
          <w:tcPr>
            <w:tcW w:type="dxa" w:w="2376"/>
          </w:tcPr>
          <w:p>
            <w:pPr>
              <w:keepNext/>
              <w:spacing w:line="240" w:lineRule="auto" w:after="20"/>
              <w:jc w:val="left"/>
            </w:pPr>
            <w:r/>
            <w:r>
              <w:rPr>
                <w:b w:val="0"/>
                <w:sz w:val="19"/>
              </w:rPr>
              <w:t>LightGBM</w:t>
            </w:r>
          </w:p>
        </w:tc>
        <w:tc>
          <w:tcPr>
            <w:tcW w:type="dxa" w:w="1037"/>
          </w:tcPr>
          <w:p>
            <w:pPr>
              <w:keepNext/>
              <w:spacing w:line="240" w:lineRule="auto" w:after="20"/>
              <w:jc w:val="center"/>
            </w:pPr>
            <w:r/>
            <w:r>
              <w:rPr>
                <w:b w:val="0"/>
                <w:sz w:val="19"/>
              </w:rPr>
              <w:t>0.7878</w:t>
            </w:r>
          </w:p>
        </w:tc>
        <w:tc>
          <w:tcPr>
            <w:tcW w:type="dxa" w:w="1037"/>
          </w:tcPr>
          <w:p>
            <w:pPr>
              <w:keepNext/>
              <w:spacing w:line="240" w:lineRule="auto" w:after="20"/>
              <w:jc w:val="center"/>
            </w:pPr>
            <w:r/>
            <w:r>
              <w:rPr>
                <w:b w:val="0"/>
                <w:sz w:val="19"/>
              </w:rPr>
              <w:t>0.5984</w:t>
            </w:r>
          </w:p>
        </w:tc>
        <w:tc>
          <w:tcPr>
            <w:tcW w:type="dxa" w:w="979"/>
          </w:tcPr>
          <w:p>
            <w:pPr>
              <w:keepNext/>
              <w:spacing w:line="240" w:lineRule="auto" w:after="20"/>
              <w:jc w:val="center"/>
            </w:pPr>
            <w:r/>
            <w:r>
              <w:rPr>
                <w:b w:val="0"/>
                <w:sz w:val="19"/>
              </w:rPr>
              <w:t>0.6096</w:t>
            </w:r>
          </w:p>
        </w:tc>
        <w:tc>
          <w:tcPr>
            <w:tcW w:type="dxa" w:w="1037"/>
          </w:tcPr>
          <w:p>
            <w:pPr>
              <w:keepNext/>
              <w:spacing w:line="240" w:lineRule="auto" w:after="20"/>
              <w:jc w:val="center"/>
            </w:pPr>
            <w:r/>
            <w:r>
              <w:rPr>
                <w:b w:val="0"/>
                <w:sz w:val="19"/>
              </w:rPr>
              <w:t>0.6040</w:t>
            </w:r>
          </w:p>
        </w:tc>
        <w:tc>
          <w:tcPr>
            <w:tcW w:type="dxa" w:w="1008"/>
          </w:tcPr>
          <w:p>
            <w:pPr>
              <w:keepNext/>
              <w:spacing w:line="240" w:lineRule="auto" w:after="20"/>
              <w:jc w:val="center"/>
            </w:pPr>
            <w:r/>
            <w:r>
              <w:rPr>
                <w:b w:val="0"/>
                <w:sz w:val="19"/>
              </w:rPr>
              <w:t>0.8386</w:t>
            </w:r>
          </w:p>
        </w:tc>
        <w:tc>
          <w:tcPr>
            <w:tcW w:type="dxa" w:w="979"/>
          </w:tcPr>
          <w:p>
            <w:pPr>
              <w:keepNext/>
              <w:spacing w:line="240" w:lineRule="auto" w:after="20"/>
              <w:jc w:val="center"/>
            </w:pPr>
            <w:r/>
            <w:r>
              <w:rPr>
                <w:b w:val="0"/>
                <w:sz w:val="19"/>
              </w:rPr>
              <w:t>0.8378</w:t>
            </w:r>
          </w:p>
        </w:tc>
      </w:tr>
      <w:tr>
        <w:trPr>
          <w:cantSplit/>
        </w:trPr>
        <w:tc>
          <w:tcPr>
            <w:tcW w:type="dxa" w:w="2376"/>
          </w:tcPr>
          <w:p>
            <w:pPr>
              <w:keepNext/>
              <w:spacing w:line="240" w:lineRule="auto" w:after="20"/>
              <w:jc w:val="left"/>
            </w:pPr>
            <w:r/>
            <w:r>
              <w:rPr>
                <w:b w:val="0"/>
                <w:sz w:val="19"/>
              </w:rPr>
              <w:t>CatBoost</w:t>
            </w:r>
          </w:p>
        </w:tc>
        <w:tc>
          <w:tcPr>
            <w:tcW w:type="dxa" w:w="1037"/>
          </w:tcPr>
          <w:p>
            <w:pPr>
              <w:keepNext/>
              <w:spacing w:line="240" w:lineRule="auto" w:after="20"/>
              <w:jc w:val="center"/>
            </w:pPr>
            <w:r/>
            <w:r>
              <w:rPr>
                <w:b w:val="0"/>
                <w:sz w:val="19"/>
              </w:rPr>
              <w:t>0.7857</w:t>
            </w:r>
          </w:p>
        </w:tc>
        <w:tc>
          <w:tcPr>
            <w:tcW w:type="dxa" w:w="1037"/>
          </w:tcPr>
          <w:p>
            <w:pPr>
              <w:keepNext/>
              <w:spacing w:line="240" w:lineRule="auto" w:after="20"/>
              <w:jc w:val="center"/>
            </w:pPr>
            <w:r/>
            <w:r>
              <w:rPr>
                <w:b w:val="0"/>
                <w:sz w:val="19"/>
              </w:rPr>
              <w:t>0.5957</w:t>
            </w:r>
          </w:p>
        </w:tc>
        <w:tc>
          <w:tcPr>
            <w:tcW w:type="dxa" w:w="979"/>
          </w:tcPr>
          <w:p>
            <w:pPr>
              <w:keepNext/>
              <w:spacing w:line="240" w:lineRule="auto" w:after="20"/>
              <w:jc w:val="center"/>
            </w:pPr>
            <w:r/>
            <w:r>
              <w:rPr>
                <w:b w:val="0"/>
                <w:sz w:val="19"/>
              </w:rPr>
              <w:t>0.5989</w:t>
            </w:r>
          </w:p>
        </w:tc>
        <w:tc>
          <w:tcPr>
            <w:tcW w:type="dxa" w:w="1037"/>
          </w:tcPr>
          <w:p>
            <w:pPr>
              <w:keepNext/>
              <w:spacing w:line="240" w:lineRule="auto" w:after="20"/>
              <w:jc w:val="center"/>
            </w:pPr>
            <w:r/>
            <w:r>
              <w:rPr>
                <w:b w:val="0"/>
                <w:sz w:val="19"/>
              </w:rPr>
              <w:t>0.5973</w:t>
            </w:r>
          </w:p>
        </w:tc>
        <w:tc>
          <w:tcPr>
            <w:tcW w:type="dxa" w:w="1008"/>
          </w:tcPr>
          <w:p>
            <w:pPr>
              <w:keepNext/>
              <w:spacing w:line="240" w:lineRule="auto" w:after="20"/>
              <w:jc w:val="center"/>
            </w:pPr>
            <w:r/>
            <w:r>
              <w:rPr>
                <w:b w:val="0"/>
                <w:sz w:val="19"/>
              </w:rPr>
              <w:t>0.8380</w:t>
            </w:r>
          </w:p>
        </w:tc>
        <w:tc>
          <w:tcPr>
            <w:tcW w:type="dxa" w:w="979"/>
          </w:tcPr>
          <w:p>
            <w:pPr>
              <w:keepNext/>
              <w:spacing w:line="240" w:lineRule="auto" w:after="20"/>
              <w:jc w:val="center"/>
            </w:pPr>
            <w:r/>
            <w:r>
              <w:rPr>
                <w:b w:val="0"/>
                <w:sz w:val="19"/>
              </w:rPr>
              <w:t>0.8397</w:t>
            </w:r>
          </w:p>
        </w:tc>
      </w:tr>
      <w:tr>
        <w:trPr>
          <w:cantSplit/>
        </w:trPr>
        <w:tc>
          <w:tcPr>
            <w:tcW w:type="dxa" w:w="2376"/>
          </w:tcPr>
          <w:p>
            <w:pPr>
              <w:keepNext/>
              <w:spacing w:line="240" w:lineRule="auto" w:after="20"/>
              <w:jc w:val="left"/>
            </w:pPr>
            <w:r/>
            <w:r>
              <w:rPr>
                <w:b w:val="0"/>
                <w:sz w:val="19"/>
              </w:rPr>
              <w:t>Random Forest</w:t>
            </w:r>
          </w:p>
        </w:tc>
        <w:tc>
          <w:tcPr>
            <w:tcW w:type="dxa" w:w="1037"/>
          </w:tcPr>
          <w:p>
            <w:pPr>
              <w:keepNext/>
              <w:spacing w:line="240" w:lineRule="auto" w:after="20"/>
              <w:jc w:val="center"/>
            </w:pPr>
            <w:r/>
            <w:r>
              <w:rPr>
                <w:b w:val="0"/>
                <w:sz w:val="19"/>
              </w:rPr>
              <w:t>0.7608</w:t>
            </w:r>
          </w:p>
        </w:tc>
        <w:tc>
          <w:tcPr>
            <w:tcW w:type="dxa" w:w="1037"/>
          </w:tcPr>
          <w:p>
            <w:pPr>
              <w:keepNext/>
              <w:spacing w:line="240" w:lineRule="auto" w:after="20"/>
              <w:jc w:val="center"/>
            </w:pPr>
            <w:r/>
            <w:r>
              <w:rPr>
                <w:b w:val="0"/>
                <w:sz w:val="19"/>
              </w:rPr>
              <w:t>0.5394</w:t>
            </w:r>
          </w:p>
        </w:tc>
        <w:tc>
          <w:tcPr>
            <w:tcW w:type="dxa" w:w="979"/>
          </w:tcPr>
          <w:p>
            <w:pPr>
              <w:keepNext/>
              <w:spacing w:line="240" w:lineRule="auto" w:after="20"/>
              <w:jc w:val="center"/>
            </w:pPr>
            <w:r/>
            <w:r>
              <w:rPr>
                <w:b w:val="0"/>
                <w:sz w:val="19"/>
              </w:rPr>
              <w:t>0.6765</w:t>
            </w:r>
          </w:p>
        </w:tc>
        <w:tc>
          <w:tcPr>
            <w:tcW w:type="dxa" w:w="1037"/>
          </w:tcPr>
          <w:p>
            <w:pPr>
              <w:keepNext/>
              <w:spacing w:line="240" w:lineRule="auto" w:after="20"/>
              <w:jc w:val="center"/>
            </w:pPr>
            <w:r/>
            <w:r>
              <w:rPr>
                <w:b w:val="0"/>
                <w:sz w:val="19"/>
              </w:rPr>
              <w:t>0.6002</w:t>
            </w:r>
          </w:p>
        </w:tc>
        <w:tc>
          <w:tcPr>
            <w:tcW w:type="dxa" w:w="1008"/>
          </w:tcPr>
          <w:p>
            <w:pPr>
              <w:keepNext/>
              <w:spacing w:line="240" w:lineRule="auto" w:after="20"/>
              <w:jc w:val="center"/>
            </w:pPr>
            <w:r/>
            <w:r>
              <w:rPr>
                <w:b w:val="0"/>
                <w:sz w:val="19"/>
              </w:rPr>
              <w:t>0.8371</w:t>
            </w:r>
          </w:p>
        </w:tc>
        <w:tc>
          <w:tcPr>
            <w:tcW w:type="dxa" w:w="979"/>
          </w:tcPr>
          <w:p>
            <w:pPr>
              <w:keepNext/>
              <w:spacing w:line="240" w:lineRule="auto" w:after="20"/>
              <w:jc w:val="center"/>
            </w:pPr>
            <w:r/>
            <w:r>
              <w:rPr>
                <w:b w:val="0"/>
                <w:sz w:val="19"/>
              </w:rPr>
              <w:t>0.8405</w:t>
            </w:r>
          </w:p>
        </w:tc>
      </w:tr>
      <w:tr>
        <w:trPr>
          <w:cantSplit/>
        </w:trPr>
        <w:tc>
          <w:tcPr>
            <w:tcW w:type="dxa" w:w="2376"/>
          </w:tcPr>
          <w:p>
            <w:pPr>
              <w:keepNext/>
              <w:spacing w:line="240" w:lineRule="auto" w:after="20"/>
              <w:jc w:val="left"/>
            </w:pPr>
            <w:r/>
            <w:r>
              <w:rPr>
                <w:b w:val="0"/>
                <w:sz w:val="19"/>
              </w:rPr>
              <w:t>SVM (RBF)</w:t>
            </w:r>
          </w:p>
        </w:tc>
        <w:tc>
          <w:tcPr>
            <w:tcW w:type="dxa" w:w="1037"/>
          </w:tcPr>
          <w:p>
            <w:pPr>
              <w:keepNext/>
              <w:spacing w:line="240" w:lineRule="auto" w:after="20"/>
              <w:jc w:val="center"/>
            </w:pPr>
            <w:r/>
            <w:r>
              <w:rPr>
                <w:b w:val="0"/>
                <w:sz w:val="19"/>
              </w:rPr>
              <w:t>0.7523</w:t>
            </w:r>
          </w:p>
        </w:tc>
        <w:tc>
          <w:tcPr>
            <w:tcW w:type="dxa" w:w="1037"/>
          </w:tcPr>
          <w:p>
            <w:pPr>
              <w:keepNext/>
              <w:spacing w:line="240" w:lineRule="auto" w:after="20"/>
              <w:jc w:val="center"/>
            </w:pPr>
            <w:r/>
            <w:r>
              <w:rPr>
                <w:b w:val="0"/>
                <w:sz w:val="19"/>
              </w:rPr>
              <w:t>0.5234</w:t>
            </w:r>
          </w:p>
        </w:tc>
        <w:tc>
          <w:tcPr>
            <w:tcW w:type="dxa" w:w="979"/>
          </w:tcPr>
          <w:p>
            <w:pPr>
              <w:keepNext/>
              <w:spacing w:line="240" w:lineRule="auto" w:after="20"/>
              <w:jc w:val="center"/>
            </w:pPr>
            <w:r/>
            <w:r>
              <w:rPr>
                <w:b w:val="0"/>
                <w:sz w:val="19"/>
              </w:rPr>
              <w:t>0.7487</w:t>
            </w:r>
          </w:p>
        </w:tc>
        <w:tc>
          <w:tcPr>
            <w:tcW w:type="dxa" w:w="1037"/>
          </w:tcPr>
          <w:p>
            <w:pPr>
              <w:keepNext/>
              <w:spacing w:line="240" w:lineRule="auto" w:after="20"/>
              <w:jc w:val="center"/>
            </w:pPr>
            <w:r/>
            <w:r>
              <w:rPr>
                <w:b w:val="0"/>
                <w:sz w:val="19"/>
              </w:rPr>
              <w:t>0.6161</w:t>
            </w:r>
          </w:p>
        </w:tc>
        <w:tc>
          <w:tcPr>
            <w:tcW w:type="dxa" w:w="1008"/>
          </w:tcPr>
          <w:p>
            <w:pPr>
              <w:keepNext/>
              <w:spacing w:line="240" w:lineRule="auto" w:after="20"/>
              <w:jc w:val="center"/>
            </w:pPr>
            <w:r/>
            <w:r>
              <w:rPr>
                <w:b w:val="0"/>
                <w:sz w:val="19"/>
              </w:rPr>
              <w:t>0.8186</w:t>
            </w:r>
          </w:p>
        </w:tc>
        <w:tc>
          <w:tcPr>
            <w:tcW w:type="dxa" w:w="979"/>
          </w:tcPr>
          <w:p>
            <w:pPr>
              <w:keepNext/>
              <w:spacing w:line="240" w:lineRule="auto" w:after="20"/>
              <w:jc w:val="center"/>
            </w:pPr>
            <w:r/>
            <w:r>
              <w:rPr>
                <w:b w:val="0"/>
                <w:sz w:val="19"/>
              </w:rPr>
              <w:t>0.8266</w:t>
            </w:r>
          </w:p>
        </w:tc>
      </w:tr>
      <w:tr>
        <w:trPr>
          <w:cantSplit/>
        </w:trPr>
        <w:tc>
          <w:tcPr>
            <w:tcW w:type="dxa" w:w="2376"/>
          </w:tcPr>
          <w:p>
            <w:pPr>
              <w:keepNext/>
              <w:spacing w:line="240" w:lineRule="auto" w:after="20"/>
              <w:jc w:val="left"/>
            </w:pPr>
            <w:r/>
            <w:r>
              <w:rPr>
                <w:b w:val="0"/>
                <w:sz w:val="19"/>
              </w:rPr>
              <w:t>Decision Tree</w:t>
            </w:r>
          </w:p>
        </w:tc>
        <w:tc>
          <w:tcPr>
            <w:tcW w:type="dxa" w:w="1037"/>
          </w:tcPr>
          <w:p>
            <w:pPr>
              <w:keepNext/>
              <w:spacing w:line="240" w:lineRule="auto" w:after="20"/>
              <w:jc w:val="center"/>
            </w:pPr>
            <w:r/>
            <w:r>
              <w:rPr>
                <w:b w:val="0"/>
                <w:sz w:val="19"/>
              </w:rPr>
              <w:t>0.7615</w:t>
            </w:r>
          </w:p>
        </w:tc>
        <w:tc>
          <w:tcPr>
            <w:tcW w:type="dxa" w:w="1037"/>
          </w:tcPr>
          <w:p>
            <w:pPr>
              <w:keepNext/>
              <w:spacing w:line="240" w:lineRule="auto" w:after="20"/>
              <w:jc w:val="center"/>
            </w:pPr>
            <w:r/>
            <w:r>
              <w:rPr>
                <w:b w:val="0"/>
                <w:sz w:val="19"/>
              </w:rPr>
              <w:t>0.5411</w:t>
            </w:r>
          </w:p>
        </w:tc>
        <w:tc>
          <w:tcPr>
            <w:tcW w:type="dxa" w:w="979"/>
          </w:tcPr>
          <w:p>
            <w:pPr>
              <w:keepNext/>
              <w:spacing w:line="240" w:lineRule="auto" w:after="20"/>
              <w:jc w:val="center"/>
            </w:pPr>
            <w:r/>
            <w:r>
              <w:rPr>
                <w:b w:val="0"/>
                <w:sz w:val="19"/>
              </w:rPr>
              <w:t>0.6684</w:t>
            </w:r>
          </w:p>
        </w:tc>
        <w:tc>
          <w:tcPr>
            <w:tcW w:type="dxa" w:w="1037"/>
          </w:tcPr>
          <w:p>
            <w:pPr>
              <w:keepNext/>
              <w:spacing w:line="240" w:lineRule="auto" w:after="20"/>
              <w:jc w:val="center"/>
            </w:pPr>
            <w:r/>
            <w:r>
              <w:rPr>
                <w:b w:val="0"/>
                <w:sz w:val="19"/>
              </w:rPr>
              <w:t>0.5981</w:t>
            </w:r>
          </w:p>
        </w:tc>
        <w:tc>
          <w:tcPr>
            <w:tcW w:type="dxa" w:w="1008"/>
          </w:tcPr>
          <w:p>
            <w:pPr>
              <w:keepNext/>
              <w:spacing w:line="240" w:lineRule="auto" w:after="20"/>
              <w:jc w:val="center"/>
            </w:pPr>
            <w:r/>
            <w:r>
              <w:rPr>
                <w:b w:val="0"/>
                <w:sz w:val="19"/>
              </w:rPr>
              <w:t>0.8113</w:t>
            </w:r>
          </w:p>
        </w:tc>
        <w:tc>
          <w:tcPr>
            <w:tcW w:type="dxa" w:w="979"/>
          </w:tcPr>
          <w:p>
            <w:pPr>
              <w:keepNext/>
              <w:spacing w:line="240" w:lineRule="auto" w:after="20"/>
              <w:jc w:val="center"/>
            </w:pPr>
            <w:r/>
            <w:r>
              <w:rPr>
                <w:b w:val="0"/>
                <w:sz w:val="19"/>
              </w:rPr>
              <w:t>0.8165</w:t>
            </w:r>
          </w:p>
        </w:tc>
      </w:tr>
      <w:tr>
        <w:trPr>
          <w:cantSplit/>
        </w:trPr>
        <w:tc>
          <w:tcPr>
            <w:tcW w:type="dxa" w:w="2376"/>
          </w:tcPr>
          <w:p>
            <w:pPr>
              <w:keepNext/>
              <w:spacing w:line="240" w:lineRule="auto" w:after="20"/>
              <w:jc w:val="left"/>
            </w:pPr>
            <w:r/>
            <w:r>
              <w:rPr>
                <w:b w:val="0"/>
                <w:sz w:val="19"/>
              </w:rPr>
              <w:t>Naive Bayes</w:t>
            </w:r>
          </w:p>
        </w:tc>
        <w:tc>
          <w:tcPr>
            <w:tcW w:type="dxa" w:w="1037"/>
          </w:tcPr>
          <w:p>
            <w:pPr>
              <w:keepNext/>
              <w:spacing w:line="240" w:lineRule="auto" w:after="20"/>
              <w:jc w:val="center"/>
            </w:pPr>
            <w:r/>
            <w:r>
              <w:rPr>
                <w:b w:val="0"/>
                <w:sz w:val="19"/>
              </w:rPr>
              <w:t>0.6941</w:t>
            </w:r>
          </w:p>
        </w:tc>
        <w:tc>
          <w:tcPr>
            <w:tcW w:type="dxa" w:w="1037"/>
          </w:tcPr>
          <w:p>
            <w:pPr>
              <w:keepNext/>
              <w:spacing w:line="240" w:lineRule="auto" w:after="20"/>
              <w:jc w:val="center"/>
            </w:pPr>
            <w:r/>
            <w:r>
              <w:rPr>
                <w:b w:val="0"/>
                <w:sz w:val="19"/>
              </w:rPr>
              <w:t>0.4580</w:t>
            </w:r>
          </w:p>
        </w:tc>
        <w:tc>
          <w:tcPr>
            <w:tcW w:type="dxa" w:w="979"/>
          </w:tcPr>
          <w:p>
            <w:pPr>
              <w:keepNext/>
              <w:spacing w:line="240" w:lineRule="auto" w:after="20"/>
              <w:jc w:val="center"/>
            </w:pPr>
            <w:r/>
            <w:r>
              <w:rPr>
                <w:b w:val="0"/>
                <w:sz w:val="19"/>
              </w:rPr>
              <w:t>0.8316</w:t>
            </w:r>
          </w:p>
        </w:tc>
        <w:tc>
          <w:tcPr>
            <w:tcW w:type="dxa" w:w="1037"/>
          </w:tcPr>
          <w:p>
            <w:pPr>
              <w:keepNext/>
              <w:spacing w:line="240" w:lineRule="auto" w:after="20"/>
              <w:jc w:val="center"/>
            </w:pPr>
            <w:r/>
            <w:r>
              <w:rPr>
                <w:b w:val="0"/>
                <w:sz w:val="19"/>
              </w:rPr>
              <w:t>0.5907</w:t>
            </w:r>
          </w:p>
        </w:tc>
        <w:tc>
          <w:tcPr>
            <w:tcW w:type="dxa" w:w="1008"/>
          </w:tcPr>
          <w:p>
            <w:pPr>
              <w:keepNext/>
              <w:spacing w:line="240" w:lineRule="auto" w:after="20"/>
              <w:jc w:val="center"/>
            </w:pPr>
            <w:r/>
            <w:r>
              <w:rPr>
                <w:b w:val="0"/>
                <w:sz w:val="19"/>
              </w:rPr>
              <w:t>0.8074</w:t>
            </w:r>
          </w:p>
        </w:tc>
        <w:tc>
          <w:tcPr>
            <w:tcW w:type="dxa" w:w="979"/>
          </w:tcPr>
          <w:p>
            <w:pPr>
              <w:keepNext/>
              <w:spacing w:line="240" w:lineRule="auto" w:after="20"/>
              <w:jc w:val="center"/>
            </w:pPr>
            <w:r/>
            <w:r>
              <w:rPr>
                <w:b w:val="0"/>
                <w:sz w:val="19"/>
              </w:rPr>
              <w:t>0.8217</w:t>
            </w:r>
          </w:p>
        </w:tc>
      </w:tr>
      <w:tr>
        <w:tc>
          <w:tcPr>
            <w:tcW w:type="dxa" w:w="2376"/>
          </w:tcPr>
          <w:p>
            <w:pPr>
              <w:spacing w:line="240" w:lineRule="auto" w:after="20"/>
              <w:jc w:val="left"/>
            </w:pPr>
            <w:r/>
            <w:r>
              <w:rPr>
                <w:b w:val="0"/>
                <w:sz w:val="19"/>
              </w:rPr>
              <w:t>K-Nearest Neighbours</w:t>
            </w:r>
          </w:p>
        </w:tc>
        <w:tc>
          <w:tcPr>
            <w:tcW w:type="dxa" w:w="1037"/>
          </w:tcPr>
          <w:p>
            <w:pPr>
              <w:spacing w:line="240" w:lineRule="auto" w:after="20"/>
              <w:jc w:val="center"/>
            </w:pPr>
            <w:r/>
            <w:r>
              <w:rPr>
                <w:b w:val="0"/>
                <w:sz w:val="19"/>
              </w:rPr>
              <w:t>0.6870</w:t>
            </w:r>
          </w:p>
        </w:tc>
        <w:tc>
          <w:tcPr>
            <w:tcW w:type="dxa" w:w="1037"/>
          </w:tcPr>
          <w:p>
            <w:pPr>
              <w:spacing w:line="240" w:lineRule="auto" w:after="20"/>
              <w:jc w:val="center"/>
            </w:pPr>
            <w:r/>
            <w:r>
              <w:rPr>
                <w:b w:val="0"/>
                <w:sz w:val="19"/>
              </w:rPr>
              <w:t>0.4514</w:t>
            </w:r>
          </w:p>
        </w:tc>
        <w:tc>
          <w:tcPr>
            <w:tcW w:type="dxa" w:w="979"/>
          </w:tcPr>
          <w:p>
            <w:pPr>
              <w:spacing w:line="240" w:lineRule="auto" w:after="20"/>
              <w:jc w:val="center"/>
            </w:pPr>
            <w:r/>
            <w:r>
              <w:rPr>
                <w:b w:val="0"/>
                <w:sz w:val="19"/>
              </w:rPr>
              <w:t>0.8316</w:t>
            </w:r>
          </w:p>
        </w:tc>
        <w:tc>
          <w:tcPr>
            <w:tcW w:type="dxa" w:w="1037"/>
          </w:tcPr>
          <w:p>
            <w:pPr>
              <w:spacing w:line="240" w:lineRule="auto" w:after="20"/>
              <w:jc w:val="center"/>
            </w:pPr>
            <w:r/>
            <w:r>
              <w:rPr>
                <w:b w:val="0"/>
                <w:sz w:val="19"/>
              </w:rPr>
              <w:t>0.5851</w:t>
            </w:r>
          </w:p>
        </w:tc>
        <w:tc>
          <w:tcPr>
            <w:tcW w:type="dxa" w:w="1008"/>
          </w:tcPr>
          <w:p>
            <w:pPr>
              <w:spacing w:line="240" w:lineRule="auto" w:after="20"/>
              <w:jc w:val="center"/>
            </w:pPr>
            <w:r/>
            <w:r>
              <w:rPr>
                <w:b w:val="0"/>
                <w:sz w:val="19"/>
              </w:rPr>
              <w:t>0.8028</w:t>
            </w:r>
          </w:p>
        </w:tc>
        <w:tc>
          <w:tcPr>
            <w:tcW w:type="dxa" w:w="979"/>
          </w:tcPr>
          <w:p>
            <w:pPr>
              <w:spacing w:line="240" w:lineRule="auto" w:after="20"/>
              <w:jc w:val="center"/>
            </w:pPr>
            <w:r/>
            <w:r>
              <w:rPr>
                <w:b w:val="0"/>
                <w:sz w:val="19"/>
              </w:rPr>
              <w:t>0.8100</w:t>
            </w:r>
          </w:p>
        </w:tc>
      </w:tr>
    </w:tbl>
    <w:p>
      <w:pPr>
        <w:spacing w:after="80" w:line="240" w:lineRule="auto"/>
        <w:jc w:val="both"/>
      </w:pPr>
    </w:p>
    <w:p>
      <w:pPr>
        <w:jc w:val="both"/>
      </w:pPr>
      <w:r>
        <w:rPr>
          <w:b w:val="0"/>
          <w:i w:val="0"/>
        </w:rPr>
        <w:t>The boosting ensembles and Logistic Regression form a clear top group (ROC-AUC ≈ 0.84), with the four best models within 0.002 of each other. Single models that rely on local neighbourhoods or strong independence assumptions — KNN, Naive Bayes and a single Decision Tree — perform worst (ROC-AUC ≈ 0.80–0.81). KNN and Naive Bayes reach high recall only by flagging many loyal customers (precision ≈ 0.45). The close 5-fold CV and test scores show that the models are not over-fitting.</w:t>
      </w:r>
    </w:p>
    <w:p>
      <w:pPr>
        <w:keepNext/>
        <w:spacing w:after="0"/>
        <w:jc w:val="center"/>
      </w:pPr>
      <w:r>
        <w:drawing>
          <wp:inline xmlns:a="http://schemas.openxmlformats.org/drawingml/2006/main" xmlns:pic="http://schemas.openxmlformats.org/drawingml/2006/picture">
            <wp:extent cx="5257800" cy="1752600"/>
            <wp:docPr id="6" name="Picture 6"/>
            <wp:cNvGraphicFramePr>
              <a:graphicFrameLocks noChangeAspect="1"/>
            </wp:cNvGraphicFramePr>
            <a:graphic>
              <a:graphicData uri="http://schemas.openxmlformats.org/drawingml/2006/picture">
                <pic:pic>
                  <pic:nvPicPr>
                    <pic:cNvPr id="0" name="fig5_model_comparison.png"/>
                    <pic:cNvPicPr/>
                  </pic:nvPicPr>
                  <pic:blipFill>
                    <a:blip r:embed="rId16"/>
                    <a:stretch>
                      <a:fillRect/>
                    </a:stretch>
                  </pic:blipFill>
                  <pic:spPr>
                    <a:xfrm>
                      <a:off x="0" y="0"/>
                      <a:ext cx="5257800" cy="1752600"/>
                    </a:xfrm>
                    <a:prstGeom prst="rect"/>
                  </pic:spPr>
                </pic:pic>
              </a:graphicData>
            </a:graphic>
          </wp:inline>
        </w:drawing>
      </w:r>
    </w:p>
    <w:p>
      <w:pPr>
        <w:spacing w:after="160" w:line="240" w:lineRule="auto"/>
        <w:jc w:val="center"/>
      </w:pPr>
      <w:r>
        <w:rPr>
          <w:b w:val="0"/>
          <w:i/>
          <w:sz w:val="21"/>
        </w:rPr>
        <w:t>Figure 7.1: Metric comparison of all models (left) and ROC curves of the top six (right)</w:t>
      </w:r>
    </w:p>
    <w:p>
      <w:pPr>
        <w:pStyle w:val="Heading2"/>
      </w:pPr>
      <w:r>
        <w:t>7.2 Tuned Models</w:t>
      </w:r>
    </w:p>
    <w:p>
      <w:pPr>
        <w:keepNext/>
        <w:spacing w:after="40" w:line="240" w:lineRule="auto"/>
        <w:jc w:val="center"/>
      </w:pPr>
      <w:r>
        <w:rPr>
          <w:b/>
          <w:i w:val="0"/>
          <w:sz w:val="21"/>
        </w:rPr>
        <w:t>Table 7.2: Performance after hyper-parameter tuning</w:t>
      </w:r>
    </w:p>
    <w:tbl>
      <w:tblPr>
        <w:tblStyle w:val="TableGrid"/>
        <w:tblW w:type="auto" w:w="0"/>
        <w:jc w:val="center"/>
        <w:tblLayout w:type="fixed"/>
        <w:tblLook w:firstColumn="1" w:firstRow="1" w:lastColumn="0" w:lastRow="0" w:noHBand="0" w:noVBand="1" w:val="04A0"/>
      </w:tblPr>
      <w:tblGrid>
        <w:gridCol w:w="2736"/>
        <w:gridCol w:w="1224"/>
        <w:gridCol w:w="1296"/>
        <w:gridCol w:w="1152"/>
        <w:gridCol w:w="1008"/>
        <w:gridCol w:w="1080"/>
      </w:tblGrid>
      <w:tr>
        <w:trPr>
          <w:cantSplit/>
        </w:trPr>
        <w:tc>
          <w:tcPr>
            <w:tcW w:type="dxa" w:w="2736"/>
            <w:shd w:val="clear" w:color="auto" w:fill="D9E2F3"/>
          </w:tcPr>
          <w:p>
            <w:pPr>
              <w:keepNext/>
              <w:spacing w:line="240" w:lineRule="auto" w:after="20"/>
              <w:jc w:val="center"/>
            </w:pPr>
            <w:r/>
            <w:r>
              <w:rPr>
                <w:b/>
                <w:sz w:val="20"/>
              </w:rPr>
              <w:t>Model</w:t>
            </w:r>
          </w:p>
        </w:tc>
        <w:tc>
          <w:tcPr>
            <w:tcW w:type="dxa" w:w="1224"/>
            <w:shd w:val="clear" w:color="auto" w:fill="D9E2F3"/>
          </w:tcPr>
          <w:p>
            <w:pPr>
              <w:keepNext/>
              <w:spacing w:line="240" w:lineRule="auto" w:after="20"/>
              <w:jc w:val="center"/>
            </w:pPr>
            <w:r/>
            <w:r>
              <w:rPr>
                <w:b/>
                <w:sz w:val="20"/>
              </w:rPr>
              <w:t>CV ROC-AUC</w:t>
            </w:r>
          </w:p>
        </w:tc>
        <w:tc>
          <w:tcPr>
            <w:tcW w:type="dxa" w:w="1296"/>
            <w:shd w:val="clear" w:color="auto" w:fill="D9E2F3"/>
          </w:tcPr>
          <w:p>
            <w:pPr>
              <w:keepNext/>
              <w:spacing w:line="240" w:lineRule="auto" w:after="20"/>
              <w:jc w:val="center"/>
            </w:pPr>
            <w:r/>
            <w:r>
              <w:rPr>
                <w:b/>
                <w:sz w:val="20"/>
              </w:rPr>
              <w:t>Test ROC-AUC</w:t>
            </w:r>
          </w:p>
        </w:tc>
        <w:tc>
          <w:tcPr>
            <w:tcW w:type="dxa" w:w="1152"/>
            <w:shd w:val="clear" w:color="auto" w:fill="D9E2F3"/>
          </w:tcPr>
          <w:p>
            <w:pPr>
              <w:keepNext/>
              <w:spacing w:line="240" w:lineRule="auto" w:after="20"/>
              <w:jc w:val="center"/>
            </w:pPr>
            <w:r/>
            <w:r>
              <w:rPr>
                <w:b/>
                <w:sz w:val="20"/>
              </w:rPr>
              <w:t>Accuracy</w:t>
            </w:r>
          </w:p>
        </w:tc>
        <w:tc>
          <w:tcPr>
            <w:tcW w:type="dxa" w:w="1008"/>
            <w:shd w:val="clear" w:color="auto" w:fill="D9E2F3"/>
          </w:tcPr>
          <w:p>
            <w:pPr>
              <w:keepNext/>
              <w:spacing w:line="240" w:lineRule="auto" w:after="20"/>
              <w:jc w:val="center"/>
            </w:pPr>
            <w:r/>
            <w:r>
              <w:rPr>
                <w:b/>
                <w:sz w:val="20"/>
              </w:rPr>
              <w:t>Recall</w:t>
            </w:r>
          </w:p>
        </w:tc>
        <w:tc>
          <w:tcPr>
            <w:tcW w:type="dxa" w:w="1080"/>
            <w:shd w:val="clear" w:color="auto" w:fill="D9E2F3"/>
          </w:tcPr>
          <w:p>
            <w:pPr>
              <w:keepNext/>
              <w:spacing w:line="240" w:lineRule="auto" w:after="20"/>
              <w:jc w:val="center"/>
            </w:pPr>
            <w:r/>
            <w:r>
              <w:rPr>
                <w:b/>
                <w:sz w:val="20"/>
              </w:rPr>
              <w:t>F1-Score</w:t>
            </w:r>
          </w:p>
        </w:tc>
      </w:tr>
      <w:tr>
        <w:trPr>
          <w:cantSplit/>
        </w:trPr>
        <w:tc>
          <w:tcPr>
            <w:tcW w:type="dxa" w:w="2736"/>
            <w:shd w:val="clear" w:color="auto" w:fill="E2EFDA"/>
          </w:tcPr>
          <w:p>
            <w:pPr>
              <w:keepNext/>
              <w:spacing w:line="240" w:lineRule="auto" w:after="20"/>
              <w:jc w:val="left"/>
            </w:pPr>
            <w:r/>
            <w:r>
              <w:rPr>
                <w:b/>
                <w:sz w:val="20"/>
              </w:rPr>
              <w:t>XGBoost (tuned)</w:t>
            </w:r>
          </w:p>
        </w:tc>
        <w:tc>
          <w:tcPr>
            <w:tcW w:type="dxa" w:w="1224"/>
            <w:shd w:val="clear" w:color="auto" w:fill="E2EFDA"/>
          </w:tcPr>
          <w:p>
            <w:pPr>
              <w:keepNext/>
              <w:spacing w:line="240" w:lineRule="auto" w:after="20"/>
              <w:jc w:val="center"/>
            </w:pPr>
            <w:r/>
            <w:r>
              <w:rPr>
                <w:b/>
                <w:sz w:val="20"/>
              </w:rPr>
              <w:t>0.8473</w:t>
            </w:r>
          </w:p>
        </w:tc>
        <w:tc>
          <w:tcPr>
            <w:tcW w:type="dxa" w:w="1296"/>
            <w:shd w:val="clear" w:color="auto" w:fill="E2EFDA"/>
          </w:tcPr>
          <w:p>
            <w:pPr>
              <w:keepNext/>
              <w:spacing w:line="240" w:lineRule="auto" w:after="20"/>
              <w:jc w:val="center"/>
            </w:pPr>
            <w:r/>
            <w:r>
              <w:rPr>
                <w:b/>
                <w:sz w:val="20"/>
              </w:rPr>
              <w:t>0.8437</w:t>
            </w:r>
          </w:p>
        </w:tc>
        <w:tc>
          <w:tcPr>
            <w:tcW w:type="dxa" w:w="1152"/>
            <w:shd w:val="clear" w:color="auto" w:fill="E2EFDA"/>
          </w:tcPr>
          <w:p>
            <w:pPr>
              <w:keepNext/>
              <w:spacing w:line="240" w:lineRule="auto" w:after="20"/>
              <w:jc w:val="center"/>
            </w:pPr>
            <w:r/>
            <w:r>
              <w:rPr>
                <w:b/>
                <w:sz w:val="20"/>
              </w:rPr>
              <w:t>0.7807</w:t>
            </w:r>
          </w:p>
        </w:tc>
        <w:tc>
          <w:tcPr>
            <w:tcW w:type="dxa" w:w="1008"/>
            <w:shd w:val="clear" w:color="auto" w:fill="E2EFDA"/>
          </w:tcPr>
          <w:p>
            <w:pPr>
              <w:keepNext/>
              <w:spacing w:line="240" w:lineRule="auto" w:after="20"/>
              <w:jc w:val="center"/>
            </w:pPr>
            <w:r/>
            <w:r>
              <w:rPr>
                <w:b/>
                <w:sz w:val="20"/>
              </w:rPr>
              <w:t>0.7005</w:t>
            </w:r>
          </w:p>
        </w:tc>
        <w:tc>
          <w:tcPr>
            <w:tcW w:type="dxa" w:w="1080"/>
            <w:shd w:val="clear" w:color="auto" w:fill="E2EFDA"/>
          </w:tcPr>
          <w:p>
            <w:pPr>
              <w:keepNext/>
              <w:spacing w:line="240" w:lineRule="auto" w:after="20"/>
              <w:jc w:val="center"/>
            </w:pPr>
            <w:r/>
            <w:r>
              <w:rPr>
                <w:b/>
                <w:sz w:val="20"/>
              </w:rPr>
              <w:t>0.6291</w:t>
            </w:r>
          </w:p>
        </w:tc>
      </w:tr>
      <w:tr>
        <w:trPr>
          <w:cantSplit/>
        </w:trPr>
        <w:tc>
          <w:tcPr>
            <w:tcW w:type="dxa" w:w="2736"/>
          </w:tcPr>
          <w:p>
            <w:pPr>
              <w:keepNext/>
              <w:spacing w:line="240" w:lineRule="auto" w:after="20"/>
              <w:jc w:val="left"/>
            </w:pPr>
            <w:r/>
            <w:r>
              <w:rPr>
                <w:b w:val="0"/>
                <w:sz w:val="20"/>
              </w:rPr>
              <w:t>Gradient Boosting (tuned)</w:t>
            </w:r>
          </w:p>
        </w:tc>
        <w:tc>
          <w:tcPr>
            <w:tcW w:type="dxa" w:w="1224"/>
          </w:tcPr>
          <w:p>
            <w:pPr>
              <w:keepNext/>
              <w:spacing w:line="240" w:lineRule="auto" w:after="20"/>
              <w:jc w:val="center"/>
            </w:pPr>
            <w:r/>
            <w:r>
              <w:rPr>
                <w:b w:val="0"/>
                <w:sz w:val="20"/>
              </w:rPr>
              <w:t>0.8471</w:t>
            </w:r>
          </w:p>
        </w:tc>
        <w:tc>
          <w:tcPr>
            <w:tcW w:type="dxa" w:w="1296"/>
          </w:tcPr>
          <w:p>
            <w:pPr>
              <w:keepNext/>
              <w:spacing w:line="240" w:lineRule="auto" w:after="20"/>
              <w:jc w:val="center"/>
            </w:pPr>
            <w:r/>
            <w:r>
              <w:rPr>
                <w:b w:val="0"/>
                <w:sz w:val="20"/>
              </w:rPr>
              <w:t>0.8429</w:t>
            </w:r>
          </w:p>
        </w:tc>
        <w:tc>
          <w:tcPr>
            <w:tcW w:type="dxa" w:w="1152"/>
          </w:tcPr>
          <w:p>
            <w:pPr>
              <w:keepNext/>
              <w:spacing w:line="240" w:lineRule="auto" w:after="20"/>
              <w:jc w:val="center"/>
            </w:pPr>
            <w:r/>
            <w:r>
              <w:rPr>
                <w:b w:val="0"/>
                <w:sz w:val="20"/>
              </w:rPr>
              <w:t>0.7743</w:t>
            </w:r>
          </w:p>
        </w:tc>
        <w:tc>
          <w:tcPr>
            <w:tcW w:type="dxa" w:w="1008"/>
          </w:tcPr>
          <w:p>
            <w:pPr>
              <w:keepNext/>
              <w:spacing w:line="240" w:lineRule="auto" w:after="20"/>
              <w:jc w:val="center"/>
            </w:pPr>
            <w:r/>
            <w:r>
              <w:rPr>
                <w:b w:val="0"/>
                <w:sz w:val="20"/>
              </w:rPr>
              <w:t>0.7005</w:t>
            </w:r>
          </w:p>
        </w:tc>
        <w:tc>
          <w:tcPr>
            <w:tcW w:type="dxa" w:w="1080"/>
          </w:tcPr>
          <w:p>
            <w:pPr>
              <w:keepNext/>
              <w:spacing w:line="240" w:lineRule="auto" w:after="20"/>
              <w:jc w:val="center"/>
            </w:pPr>
            <w:r/>
            <w:r>
              <w:rPr>
                <w:b w:val="0"/>
                <w:sz w:val="20"/>
              </w:rPr>
              <w:t>0.6223</w:t>
            </w:r>
          </w:p>
        </w:tc>
      </w:tr>
      <w:tr>
        <w:tc>
          <w:tcPr>
            <w:tcW w:type="dxa" w:w="2736"/>
          </w:tcPr>
          <w:p>
            <w:pPr>
              <w:spacing w:line="240" w:lineRule="auto" w:after="20"/>
              <w:jc w:val="left"/>
            </w:pPr>
            <w:r/>
            <w:r>
              <w:rPr>
                <w:b w:val="0"/>
                <w:sz w:val="20"/>
              </w:rPr>
              <w:t>AdaBoost (tuned)</w:t>
            </w:r>
          </w:p>
        </w:tc>
        <w:tc>
          <w:tcPr>
            <w:tcW w:type="dxa" w:w="1224"/>
          </w:tcPr>
          <w:p>
            <w:pPr>
              <w:spacing w:line="240" w:lineRule="auto" w:after="20"/>
              <w:jc w:val="center"/>
            </w:pPr>
            <w:r/>
            <w:r>
              <w:rPr>
                <w:b w:val="0"/>
                <w:sz w:val="20"/>
              </w:rPr>
              <w:t>0.8478</w:t>
            </w:r>
          </w:p>
        </w:tc>
        <w:tc>
          <w:tcPr>
            <w:tcW w:type="dxa" w:w="1296"/>
          </w:tcPr>
          <w:p>
            <w:pPr>
              <w:spacing w:line="240" w:lineRule="auto" w:after="20"/>
              <w:jc w:val="center"/>
            </w:pPr>
            <w:r/>
            <w:r>
              <w:rPr>
                <w:b w:val="0"/>
                <w:sz w:val="20"/>
              </w:rPr>
              <w:t>0.8398</w:t>
            </w:r>
          </w:p>
        </w:tc>
        <w:tc>
          <w:tcPr>
            <w:tcW w:type="dxa" w:w="1152"/>
          </w:tcPr>
          <w:p>
            <w:pPr>
              <w:spacing w:line="240" w:lineRule="auto" w:after="20"/>
              <w:jc w:val="center"/>
            </w:pPr>
            <w:r/>
            <w:r>
              <w:rPr>
                <w:b w:val="0"/>
                <w:sz w:val="20"/>
              </w:rPr>
              <w:t>0.7757</w:t>
            </w:r>
          </w:p>
        </w:tc>
        <w:tc>
          <w:tcPr>
            <w:tcW w:type="dxa" w:w="1008"/>
          </w:tcPr>
          <w:p>
            <w:pPr>
              <w:spacing w:line="240" w:lineRule="auto" w:after="20"/>
              <w:jc w:val="center"/>
            </w:pPr>
            <w:r/>
            <w:r>
              <w:rPr>
                <w:b w:val="0"/>
                <w:sz w:val="20"/>
              </w:rPr>
              <w:t>0.7353</w:t>
            </w:r>
          </w:p>
        </w:tc>
        <w:tc>
          <w:tcPr>
            <w:tcW w:type="dxa" w:w="1080"/>
          </w:tcPr>
          <w:p>
            <w:pPr>
              <w:spacing w:line="240" w:lineRule="auto" w:after="20"/>
              <w:jc w:val="center"/>
            </w:pPr>
            <w:r/>
            <w:r>
              <w:rPr>
                <w:b w:val="0"/>
                <w:sz w:val="20"/>
              </w:rPr>
              <w:t>0.6351</w:t>
            </w:r>
          </w:p>
        </w:tc>
      </w:tr>
    </w:tbl>
    <w:p>
      <w:pPr>
        <w:spacing w:after="80" w:line="240" w:lineRule="auto"/>
        <w:jc w:val="both"/>
      </w:pPr>
    </w:p>
    <w:p>
      <w:pPr>
        <w:jc w:val="both"/>
      </w:pPr>
      <w:r>
        <w:rPr>
          <w:b w:val="0"/>
          <w:i w:val="0"/>
        </w:rPr>
        <w:t xml:space="preserve">Tuning raised XGBoost's recall from 0.628 to 0.701 and its F1-score from 0.600 to 0.629, while ROC-AUC rose slightly to 0.844. The best XGBoost settings (300 shallow trees of depth 2, learning rate 0.05, 70 % row and 60 % column sampling) favour many simple, strongly regularised trees, which suits a small tabular dataset. XGBoost has the highest test ROC-AUC and is selected as the </w:t>
      </w:r>
      <w:r>
        <w:rPr>
          <w:b/>
          <w:i w:val="0"/>
        </w:rPr>
        <w:t>final model</w:t>
      </w:r>
      <w:r>
        <w:rPr>
          <w:b w:val="0"/>
          <w:i w:val="0"/>
        </w:rPr>
        <w:t>.</w:t>
      </w:r>
    </w:p>
    <w:p>
      <w:pPr>
        <w:pStyle w:val="Heading2"/>
      </w:pPr>
      <w:r>
        <w:t>7.3 Final Model with Optimised Threshold</w:t>
      </w:r>
    </w:p>
    <w:p>
      <w:pPr>
        <w:keepNext/>
        <w:spacing w:after="40" w:line="240" w:lineRule="auto"/>
        <w:jc w:val="center"/>
      </w:pPr>
      <w:r>
        <w:rPr>
          <w:b/>
          <w:i w:val="0"/>
          <w:sz w:val="21"/>
        </w:rPr>
        <w:t>Table 7.3: Final tuned XGBoost — effect of the decision threshold</w:t>
      </w:r>
    </w:p>
    <w:tbl>
      <w:tblPr>
        <w:tblStyle w:val="TableGrid"/>
        <w:tblW w:type="auto" w:w="0"/>
        <w:jc w:val="center"/>
        <w:tblLayout w:type="fixed"/>
        <w:tblLook w:firstColumn="1" w:firstRow="1" w:lastColumn="0" w:lastRow="0" w:noHBand="0" w:noVBand="1" w:val="04A0"/>
      </w:tblPr>
      <w:tblGrid>
        <w:gridCol w:w="2880"/>
        <w:gridCol w:w="1152"/>
        <w:gridCol w:w="1152"/>
        <w:gridCol w:w="1080"/>
        <w:gridCol w:w="1152"/>
        <w:gridCol w:w="1152"/>
      </w:tblGrid>
      <w:tr>
        <w:trPr>
          <w:cantSplit/>
        </w:trPr>
        <w:tc>
          <w:tcPr>
            <w:tcW w:type="dxa" w:w="2880"/>
            <w:shd w:val="clear" w:color="auto" w:fill="D9E2F3"/>
          </w:tcPr>
          <w:p>
            <w:pPr>
              <w:keepNext/>
              <w:spacing w:line="240" w:lineRule="auto" w:after="20"/>
              <w:jc w:val="center"/>
            </w:pPr>
            <w:r/>
            <w:r>
              <w:rPr>
                <w:b/>
                <w:sz w:val="20"/>
              </w:rPr>
              <w:t>Setting</w:t>
            </w:r>
          </w:p>
        </w:tc>
        <w:tc>
          <w:tcPr>
            <w:tcW w:type="dxa" w:w="1152"/>
            <w:shd w:val="clear" w:color="auto" w:fill="D9E2F3"/>
          </w:tcPr>
          <w:p>
            <w:pPr>
              <w:keepNext/>
              <w:spacing w:line="240" w:lineRule="auto" w:after="20"/>
              <w:jc w:val="center"/>
            </w:pPr>
            <w:r/>
            <w:r>
              <w:rPr>
                <w:b/>
                <w:sz w:val="20"/>
              </w:rPr>
              <w:t>Accuracy</w:t>
            </w:r>
          </w:p>
        </w:tc>
        <w:tc>
          <w:tcPr>
            <w:tcW w:type="dxa" w:w="1152"/>
            <w:shd w:val="clear" w:color="auto" w:fill="D9E2F3"/>
          </w:tcPr>
          <w:p>
            <w:pPr>
              <w:keepNext/>
              <w:spacing w:line="240" w:lineRule="auto" w:after="20"/>
              <w:jc w:val="center"/>
            </w:pPr>
            <w:r/>
            <w:r>
              <w:rPr>
                <w:b/>
                <w:sz w:val="20"/>
              </w:rPr>
              <w:t>Precision</w:t>
            </w:r>
          </w:p>
        </w:tc>
        <w:tc>
          <w:tcPr>
            <w:tcW w:type="dxa" w:w="1080"/>
            <w:shd w:val="clear" w:color="auto" w:fill="D9E2F3"/>
          </w:tcPr>
          <w:p>
            <w:pPr>
              <w:keepNext/>
              <w:spacing w:line="240" w:lineRule="auto" w:after="20"/>
              <w:jc w:val="center"/>
            </w:pPr>
            <w:r/>
            <w:r>
              <w:rPr>
                <w:b/>
                <w:sz w:val="20"/>
              </w:rPr>
              <w:t>Recall</w:t>
            </w:r>
          </w:p>
        </w:tc>
        <w:tc>
          <w:tcPr>
            <w:tcW w:type="dxa" w:w="1152"/>
            <w:shd w:val="clear" w:color="auto" w:fill="D9E2F3"/>
          </w:tcPr>
          <w:p>
            <w:pPr>
              <w:keepNext/>
              <w:spacing w:line="240" w:lineRule="auto" w:after="20"/>
              <w:jc w:val="center"/>
            </w:pPr>
            <w:r/>
            <w:r>
              <w:rPr>
                <w:b/>
                <w:sz w:val="20"/>
              </w:rPr>
              <w:t>F1-Score</w:t>
            </w:r>
          </w:p>
        </w:tc>
        <w:tc>
          <w:tcPr>
            <w:tcW w:type="dxa" w:w="1152"/>
            <w:shd w:val="clear" w:color="auto" w:fill="D9E2F3"/>
          </w:tcPr>
          <w:p>
            <w:pPr>
              <w:keepNext/>
              <w:spacing w:line="240" w:lineRule="auto" w:after="20"/>
              <w:jc w:val="center"/>
            </w:pPr>
            <w:r/>
            <w:r>
              <w:rPr>
                <w:b/>
                <w:sz w:val="20"/>
              </w:rPr>
              <w:t>ROC-AUC</w:t>
            </w:r>
          </w:p>
        </w:tc>
      </w:tr>
      <w:tr>
        <w:trPr>
          <w:cantSplit/>
        </w:trPr>
        <w:tc>
          <w:tcPr>
            <w:tcW w:type="dxa" w:w="2880"/>
          </w:tcPr>
          <w:p>
            <w:pPr>
              <w:keepNext/>
              <w:spacing w:line="240" w:lineRule="auto" w:after="20"/>
              <w:jc w:val="left"/>
            </w:pPr>
            <w:r/>
            <w:r>
              <w:rPr>
                <w:b w:val="0"/>
                <w:sz w:val="20"/>
              </w:rPr>
              <w:t>Threshold 0.50 (default)</w:t>
            </w:r>
          </w:p>
        </w:tc>
        <w:tc>
          <w:tcPr>
            <w:tcW w:type="dxa" w:w="1152"/>
          </w:tcPr>
          <w:p>
            <w:pPr>
              <w:keepNext/>
              <w:spacing w:line="240" w:lineRule="auto" w:after="20"/>
              <w:jc w:val="center"/>
            </w:pPr>
            <w:r/>
            <w:r>
              <w:rPr>
                <w:b w:val="0"/>
                <w:sz w:val="20"/>
              </w:rPr>
              <w:t>0.7807</w:t>
            </w:r>
          </w:p>
        </w:tc>
        <w:tc>
          <w:tcPr>
            <w:tcW w:type="dxa" w:w="1152"/>
          </w:tcPr>
          <w:p>
            <w:pPr>
              <w:keepNext/>
              <w:spacing w:line="240" w:lineRule="auto" w:after="20"/>
              <w:jc w:val="center"/>
            </w:pPr>
            <w:r/>
            <w:r>
              <w:rPr>
                <w:b w:val="0"/>
                <w:sz w:val="20"/>
              </w:rPr>
              <w:t>0.5708</w:t>
            </w:r>
          </w:p>
        </w:tc>
        <w:tc>
          <w:tcPr>
            <w:tcW w:type="dxa" w:w="1080"/>
          </w:tcPr>
          <w:p>
            <w:pPr>
              <w:keepNext/>
              <w:spacing w:line="240" w:lineRule="auto" w:after="20"/>
              <w:jc w:val="center"/>
            </w:pPr>
            <w:r/>
            <w:r>
              <w:rPr>
                <w:b w:val="0"/>
                <w:sz w:val="20"/>
              </w:rPr>
              <w:t>0.7005</w:t>
            </w:r>
          </w:p>
        </w:tc>
        <w:tc>
          <w:tcPr>
            <w:tcW w:type="dxa" w:w="1152"/>
          </w:tcPr>
          <w:p>
            <w:pPr>
              <w:keepNext/>
              <w:spacing w:line="240" w:lineRule="auto" w:after="20"/>
              <w:jc w:val="center"/>
            </w:pPr>
            <w:r/>
            <w:r>
              <w:rPr>
                <w:b w:val="0"/>
                <w:sz w:val="20"/>
              </w:rPr>
              <w:t>0.6291</w:t>
            </w:r>
          </w:p>
        </w:tc>
        <w:tc>
          <w:tcPr>
            <w:tcW w:type="dxa" w:w="1152"/>
          </w:tcPr>
          <w:p>
            <w:pPr>
              <w:keepNext/>
              <w:spacing w:line="240" w:lineRule="auto" w:after="20"/>
              <w:jc w:val="center"/>
            </w:pPr>
            <w:r/>
            <w:r>
              <w:rPr>
                <w:b w:val="0"/>
                <w:sz w:val="20"/>
              </w:rPr>
              <w:t>0.8437</w:t>
            </w:r>
          </w:p>
        </w:tc>
      </w:tr>
      <w:tr>
        <w:tc>
          <w:tcPr>
            <w:tcW w:type="dxa" w:w="2880"/>
            <w:shd w:val="clear" w:color="auto" w:fill="E2EFDA"/>
          </w:tcPr>
          <w:p>
            <w:pPr>
              <w:spacing w:line="240" w:lineRule="auto" w:after="20"/>
              <w:jc w:val="left"/>
            </w:pPr>
            <w:r/>
            <w:r>
              <w:rPr>
                <w:b/>
                <w:sz w:val="20"/>
              </w:rPr>
              <w:t>Threshold 0.44 (optimised)</w:t>
            </w:r>
          </w:p>
        </w:tc>
        <w:tc>
          <w:tcPr>
            <w:tcW w:type="dxa" w:w="1152"/>
            <w:shd w:val="clear" w:color="auto" w:fill="E2EFDA"/>
          </w:tcPr>
          <w:p>
            <w:pPr>
              <w:spacing w:line="240" w:lineRule="auto" w:after="20"/>
              <w:jc w:val="center"/>
            </w:pPr>
            <w:r/>
            <w:r>
              <w:rPr>
                <w:b/>
                <w:sz w:val="20"/>
              </w:rPr>
              <w:t>0.7672</w:t>
            </w:r>
          </w:p>
        </w:tc>
        <w:tc>
          <w:tcPr>
            <w:tcW w:type="dxa" w:w="1152"/>
            <w:shd w:val="clear" w:color="auto" w:fill="E2EFDA"/>
          </w:tcPr>
          <w:p>
            <w:pPr>
              <w:spacing w:line="240" w:lineRule="auto" w:after="20"/>
              <w:jc w:val="center"/>
            </w:pPr>
            <w:r/>
            <w:r>
              <w:rPr>
                <w:b/>
                <w:sz w:val="20"/>
              </w:rPr>
              <w:t>0.5447</w:t>
            </w:r>
          </w:p>
        </w:tc>
        <w:tc>
          <w:tcPr>
            <w:tcW w:type="dxa" w:w="1080"/>
            <w:shd w:val="clear" w:color="auto" w:fill="E2EFDA"/>
          </w:tcPr>
          <w:p>
            <w:pPr>
              <w:spacing w:line="240" w:lineRule="auto" w:after="20"/>
              <w:jc w:val="center"/>
            </w:pPr>
            <w:r/>
            <w:r>
              <w:rPr>
                <w:b/>
                <w:sz w:val="20"/>
              </w:rPr>
              <w:t>0.7487</w:t>
            </w:r>
          </w:p>
        </w:tc>
        <w:tc>
          <w:tcPr>
            <w:tcW w:type="dxa" w:w="1152"/>
            <w:shd w:val="clear" w:color="auto" w:fill="E2EFDA"/>
          </w:tcPr>
          <w:p>
            <w:pPr>
              <w:spacing w:line="240" w:lineRule="auto" w:after="20"/>
              <w:jc w:val="center"/>
            </w:pPr>
            <w:r/>
            <w:r>
              <w:rPr>
                <w:b/>
                <w:sz w:val="20"/>
              </w:rPr>
              <w:t>0.6306</w:t>
            </w:r>
          </w:p>
        </w:tc>
        <w:tc>
          <w:tcPr>
            <w:tcW w:type="dxa" w:w="1152"/>
            <w:shd w:val="clear" w:color="auto" w:fill="E2EFDA"/>
          </w:tcPr>
          <w:p>
            <w:pPr>
              <w:spacing w:line="240" w:lineRule="auto" w:after="20"/>
              <w:jc w:val="center"/>
            </w:pPr>
            <w:r/>
            <w:r>
              <w:rPr>
                <w:b/>
                <w:sz w:val="20"/>
              </w:rPr>
              <w:t>0.8437</w:t>
            </w:r>
          </w:p>
        </w:tc>
      </w:tr>
    </w:tbl>
    <w:p>
      <w:pPr>
        <w:spacing w:after="80" w:line="240" w:lineRule="auto"/>
        <w:jc w:val="both"/>
      </w:pPr>
    </w:p>
    <w:p>
      <w:pPr>
        <w:jc w:val="both"/>
      </w:pPr>
      <w:r>
        <w:rPr>
          <w:b w:val="0"/>
          <w:i w:val="0"/>
        </w:rPr>
        <w:t xml:space="preserve">Lowering the threshold to 0.44 raises recall from 70.0% to </w:t>
      </w:r>
      <w:r>
        <w:rPr>
          <w:b/>
          <w:i w:val="0"/>
        </w:rPr>
        <w:t>74.9%</w:t>
      </w:r>
      <w:r>
        <w:rPr>
          <w:b w:val="0"/>
          <w:i w:val="0"/>
        </w:rPr>
        <w:t xml:space="preserve">, at a small cost in precision. On the 1,409 unseen test customers the final model correctly flags </w:t>
      </w:r>
      <w:r>
        <w:rPr>
          <w:b/>
          <w:i w:val="0"/>
        </w:rPr>
        <w:t>280 of 374 churners</w:t>
      </w:r>
      <w:r>
        <w:rPr>
          <w:b w:val="0"/>
          <w:i w:val="0"/>
        </w:rPr>
        <w:t xml:space="preserve"> and misses only 94. It also correctly clears 801 of 1035 loyal customers, raising 234 false alarms (Figure 7.2). For a retention campaign this is the right balance: a false alarm costs only a small incentive, while each caught churner preserves months of revenue.</w:t>
      </w:r>
    </w:p>
    <w:p>
      <w:pPr>
        <w:keepNext/>
        <w:spacing w:after="0"/>
        <w:jc w:val="center"/>
      </w:pPr>
      <w:r>
        <w:drawing>
          <wp:inline xmlns:a="http://schemas.openxmlformats.org/drawingml/2006/main" xmlns:pic="http://schemas.openxmlformats.org/drawingml/2006/picture">
            <wp:extent cx="5120640" cy="1890698"/>
            <wp:docPr id="7" name="Picture 7"/>
            <wp:cNvGraphicFramePr>
              <a:graphicFrameLocks noChangeAspect="1"/>
            </wp:cNvGraphicFramePr>
            <a:graphic>
              <a:graphicData uri="http://schemas.openxmlformats.org/drawingml/2006/picture">
                <pic:pic>
                  <pic:nvPicPr>
                    <pic:cNvPr id="0" name="fig6_confusion_threshold.png"/>
                    <pic:cNvPicPr/>
                  </pic:nvPicPr>
                  <pic:blipFill>
                    <a:blip r:embed="rId17"/>
                    <a:stretch>
                      <a:fillRect/>
                    </a:stretch>
                  </pic:blipFill>
                  <pic:spPr>
                    <a:xfrm>
                      <a:off x="0" y="0"/>
                      <a:ext cx="5120640" cy="1890698"/>
                    </a:xfrm>
                    <a:prstGeom prst="rect"/>
                  </pic:spPr>
                </pic:pic>
              </a:graphicData>
            </a:graphic>
          </wp:inline>
        </w:drawing>
      </w:r>
    </w:p>
    <w:p>
      <w:pPr>
        <w:spacing w:after="160" w:line="240" w:lineRule="auto"/>
        <w:jc w:val="center"/>
      </w:pPr>
      <w:r>
        <w:rPr>
          <w:b w:val="0"/>
          <w:i/>
          <w:sz w:val="21"/>
        </w:rPr>
        <w:t>Figure 7.2: Confusion matrix of the final model (left) and threshold selection curve (right)</w:t>
      </w:r>
    </w:p>
    <w:p>
      <w:pPr>
        <w:pStyle w:val="Heading2"/>
      </w:pPr>
      <w:r>
        <w:t>7.4 Feature Importance</w:t>
      </w:r>
    </w:p>
    <w:p>
      <w:pPr>
        <w:jc w:val="both"/>
      </w:pPr>
      <w:r>
        <w:rPr>
          <w:b w:val="0"/>
          <w:i w:val="0"/>
        </w:rPr>
        <w:t xml:space="preserve">Permutation importance measures how much the test ROC-AUC falls when one original column is randomly shuffled. Figure 7.3 shows that </w:t>
      </w:r>
      <w:r>
        <w:rPr>
          <w:b/>
          <w:i w:val="0"/>
        </w:rPr>
        <w:t>Contract (0.060), tenure (0.049), InternetService (0.011), OnlineSecurity (0.007)</w:t>
      </w:r>
      <w:r>
        <w:rPr>
          <w:b w:val="0"/>
          <w:i w:val="0"/>
        </w:rPr>
        <w:t xml:space="preserve"> are the most influential features. This agrees closely with the EDA. Gender, partner status and the streaming services contribute almost nothing.</w:t>
      </w:r>
    </w:p>
    <w:p>
      <w:pPr>
        <w:keepNext/>
        <w:spacing w:after="0"/>
        <w:jc w:val="center"/>
      </w:pPr>
      <w:r>
        <w:drawing>
          <wp:inline xmlns:a="http://schemas.openxmlformats.org/drawingml/2006/main" xmlns:pic="http://schemas.openxmlformats.org/drawingml/2006/picture">
            <wp:extent cx="4206240" cy="2891790"/>
            <wp:docPr id="8" name="Picture 8"/>
            <wp:cNvGraphicFramePr>
              <a:graphicFrameLocks noChangeAspect="1"/>
            </wp:cNvGraphicFramePr>
            <a:graphic>
              <a:graphicData uri="http://schemas.openxmlformats.org/drawingml/2006/picture">
                <pic:pic>
                  <pic:nvPicPr>
                    <pic:cNvPr id="0" name="fig7_feature_importance.png"/>
                    <pic:cNvPicPr/>
                  </pic:nvPicPr>
                  <pic:blipFill>
                    <a:blip r:embed="rId18"/>
                    <a:stretch>
                      <a:fillRect/>
                    </a:stretch>
                  </pic:blipFill>
                  <pic:spPr>
                    <a:xfrm>
                      <a:off x="0" y="0"/>
                      <a:ext cx="4206240" cy="2891790"/>
                    </a:xfrm>
                    <a:prstGeom prst="rect"/>
                  </pic:spPr>
                </pic:pic>
              </a:graphicData>
            </a:graphic>
          </wp:inline>
        </w:drawing>
      </w:r>
    </w:p>
    <w:p>
      <w:pPr>
        <w:spacing w:after="160" w:line="240" w:lineRule="auto"/>
        <w:jc w:val="center"/>
      </w:pPr>
      <w:r>
        <w:rPr>
          <w:b w:val="0"/>
          <w:i/>
          <w:sz w:val="21"/>
        </w:rPr>
        <w:t>Figure 7.3: Top features by permutation importance (final XGBoost model)</w:t>
      </w:r>
    </w:p>
    <w:p>
      <w:pPr>
        <w:pStyle w:val="Heading1"/>
        <w:pageBreakBefore w:val="0"/>
        <w:spacing w:before="280"/>
      </w:pPr>
      <w:r>
        <w:t>8. BUSINESS INSIGHTS AND RECOMMENDATIONS</w:t>
      </w:r>
    </w:p>
    <w:p>
      <w:pPr>
        <w:jc w:val="both"/>
      </w:pPr>
      <w:r>
        <w:rPr>
          <w:b w:val="0"/>
          <w:i w:val="0"/>
        </w:rPr>
        <w:t>The model is useful only if it changes decisions. Combining the EDA and the feature importance, the following actions are recommended:</w:t>
      </w:r>
    </w:p>
    <w:p>
      <w:pPr>
        <w:pStyle w:val="ListBullet"/>
        <w:spacing w:after="40"/>
        <w:jc w:val="both"/>
      </w:pPr>
      <w:r>
        <w:rPr>
          <w:b/>
          <w:i w:val="0"/>
        </w:rPr>
        <w:t>Lock in month-to-month customers.</w:t>
      </w:r>
      <w:r>
        <w:rPr>
          <w:b w:val="0"/>
          <w:i w:val="0"/>
        </w:rPr>
        <w:t xml:space="preserve"> They churn at 42.7 % against 2.8 % on two-year plans. Offer a discount or bonus data for switching to a 12- or 24-month contract, prioritising customers the model scores above the 0.44 threshold.</w:t>
      </w:r>
    </w:p>
    <w:p>
      <w:pPr>
        <w:pStyle w:val="ListBullet"/>
        <w:spacing w:after="40"/>
        <w:jc w:val="both"/>
      </w:pPr>
      <w:r>
        <w:rPr>
          <w:b/>
          <w:i w:val="0"/>
        </w:rPr>
        <w:t>Focus on the first year.</w:t>
      </w:r>
      <w:r>
        <w:rPr>
          <w:b w:val="0"/>
          <w:i w:val="0"/>
        </w:rPr>
        <w:t xml:space="preserve"> 55 % of churners leave within 12 months. An onboarding programme with welcome calls, setup help and a 3-month check-in should target new customers.</w:t>
      </w:r>
    </w:p>
    <w:p>
      <w:pPr>
        <w:pStyle w:val="ListBullet"/>
        <w:spacing w:after="40"/>
        <w:jc w:val="both"/>
      </w:pPr>
      <w:r>
        <w:rPr>
          <w:b/>
          <w:i w:val="0"/>
        </w:rPr>
        <w:t>Fix the fibre-optic experience.</w:t>
      </w:r>
      <w:r>
        <w:rPr>
          <w:b w:val="0"/>
          <w:i w:val="0"/>
        </w:rPr>
        <w:t xml:space="preserve"> Fibre customers churn at 41.9 % despite paying the most. The company should investigate fibre pricing and service quality, and bundle security and support add-ons into fibre plans.</w:t>
      </w:r>
    </w:p>
    <w:p>
      <w:pPr>
        <w:pStyle w:val="ListBullet"/>
        <w:spacing w:after="40"/>
        <w:jc w:val="both"/>
      </w:pPr>
      <w:r>
        <w:rPr>
          <w:b/>
          <w:i w:val="0"/>
        </w:rPr>
        <w:t>Bundle Online Security and Tech Support.</w:t>
      </w:r>
      <w:r>
        <w:rPr>
          <w:b w:val="0"/>
          <w:i w:val="0"/>
        </w:rPr>
        <w:t xml:space="preserve"> Customers with these add-ons churn about 2.8× less. Free trials of these services for high-risk customers are a low-cost retention lever.</w:t>
      </w:r>
    </w:p>
    <w:p>
      <w:pPr>
        <w:pStyle w:val="ListBullet"/>
        <w:spacing w:after="40"/>
        <w:jc w:val="both"/>
      </w:pPr>
      <w:r>
        <w:rPr>
          <w:b/>
          <w:i w:val="0"/>
        </w:rPr>
        <w:t>Move customers to automatic payment.</w:t>
      </w:r>
      <w:r>
        <w:rPr>
          <w:b w:val="0"/>
          <w:i w:val="0"/>
        </w:rPr>
        <w:t xml:space="preserve"> Electronic-check users churn at 45.3 %. A small incentive to switch to auto-pay reduces both churn and payment friction.</w:t>
      </w:r>
    </w:p>
    <w:p>
      <w:pPr>
        <w:pStyle w:val="ListBullet"/>
        <w:spacing w:after="40"/>
        <w:jc w:val="both"/>
      </w:pPr>
      <w:r>
        <w:rPr>
          <w:b/>
          <w:i w:val="0"/>
        </w:rPr>
        <w:t>Deploy the model as a monthly risk score.</w:t>
      </w:r>
      <w:r>
        <w:rPr>
          <w:b w:val="0"/>
          <w:i w:val="0"/>
        </w:rPr>
        <w:t xml:space="preserve"> Score every customer each month and pass the top-risk list, with the main risk factors, to the retention team.</w:t>
      </w:r>
    </w:p>
    <w:p>
      <w:pPr>
        <w:pStyle w:val="Heading1"/>
        <w:pageBreakBefore w:val="0"/>
        <w:spacing w:before="280"/>
      </w:pPr>
      <w:r>
        <w:t>9. CONCLUSION AND FUTURE SCOPE</w:t>
      </w:r>
    </w:p>
    <w:p>
      <w:pPr>
        <w:pStyle w:val="Heading2"/>
      </w:pPr>
      <w:r>
        <w:t>9.1 Conclusion</w:t>
      </w:r>
    </w:p>
    <w:p>
      <w:pPr>
        <w:jc w:val="both"/>
      </w:pPr>
      <w:r>
        <w:rPr>
          <w:b w:val="0"/>
          <w:i w:val="0"/>
        </w:rPr>
        <w:t xml:space="preserve">This project built a complete machine-learning pipeline to predict customer churn on the Kaggle Telco Customer Churn dataset. After cleaning, EDA and feature engineering, eleven algorithms were compared under identical conditions, with SMOTE applied correctly inside cross-validation. Gradient-boosting ensembles and Logistic Regression performed best. After tuning and threshold optimisation, the final </w:t>
      </w:r>
      <w:r>
        <w:rPr>
          <w:b/>
          <w:i w:val="0"/>
        </w:rPr>
        <w:t>XGBoost</w:t>
      </w:r>
      <w:r>
        <w:rPr>
          <w:b w:val="0"/>
          <w:i w:val="0"/>
        </w:rPr>
        <w:t xml:space="preserve"> model achieved a test </w:t>
      </w:r>
      <w:r>
        <w:rPr>
          <w:b/>
          <w:i w:val="0"/>
        </w:rPr>
        <w:t>ROC-AUC of 0.844</w:t>
      </w:r>
      <w:r>
        <w:rPr>
          <w:b w:val="0"/>
          <w:i w:val="0"/>
        </w:rPr>
        <w:t xml:space="preserve">, </w:t>
      </w:r>
      <w:r>
        <w:rPr>
          <w:b/>
          <w:i w:val="0"/>
        </w:rPr>
        <w:t>recall of 74.9%</w:t>
      </w:r>
      <w:r>
        <w:rPr>
          <w:b w:val="0"/>
          <w:i w:val="0"/>
        </w:rPr>
        <w:t xml:space="preserve"> and </w:t>
      </w:r>
      <w:r>
        <w:rPr>
          <w:b/>
          <w:i w:val="0"/>
        </w:rPr>
        <w:t>F1-score of 0.631</w:t>
      </w:r>
      <w:r>
        <w:rPr>
          <w:b w:val="0"/>
          <w:i w:val="0"/>
        </w:rPr>
        <w:t>, so it identifies three out of every four customers who are about to leave. The analysis also showed that churn is driven mainly by contract type, tenure, fibre-optic internet, the absence of security and support add-ons, and electronic-check payment. These insights translate directly into retention actions.</w:t>
      </w:r>
    </w:p>
    <w:p>
      <w:pPr>
        <w:pStyle w:val="Heading2"/>
      </w:pPr>
      <w:r>
        <w:t>9.2 Limitations</w:t>
      </w:r>
    </w:p>
    <w:p>
      <w:pPr>
        <w:pStyle w:val="ListBullet"/>
        <w:spacing w:after="40"/>
        <w:jc w:val="both"/>
      </w:pPr>
      <w:r>
        <w:rPr>
          <w:b w:val="0"/>
          <w:i w:val="0"/>
        </w:rPr>
        <w:t>The dataset is a single static snapshot of a fictional company. Real churn depends on behaviour over time, such as falling usage or complaints.</w:t>
      </w:r>
    </w:p>
    <w:p>
      <w:pPr>
        <w:pStyle w:val="ListBullet"/>
        <w:spacing w:after="40"/>
        <w:jc w:val="both"/>
      </w:pPr>
      <w:r>
        <w:rPr>
          <w:b w:val="0"/>
          <w:i w:val="0"/>
        </w:rPr>
        <w:t>There is no cost information, so the threshold was optimised for F1 rather than for actual profit.</w:t>
      </w:r>
    </w:p>
    <w:p>
      <w:pPr>
        <w:pStyle w:val="Heading2"/>
      </w:pPr>
      <w:r>
        <w:t>9.3 Future Scope</w:t>
      </w:r>
    </w:p>
    <w:p>
      <w:pPr>
        <w:pStyle w:val="ListBullet"/>
        <w:spacing w:after="40"/>
        <w:jc w:val="both"/>
      </w:pPr>
      <w:r>
        <w:rPr>
          <w:b w:val="0"/>
          <w:i w:val="0"/>
        </w:rPr>
        <w:t>Add time-series usage, complaint and customer-care data to capture behaviour that comes before churn.</w:t>
      </w:r>
    </w:p>
    <w:p>
      <w:pPr>
        <w:pStyle w:val="ListBullet"/>
        <w:spacing w:after="40"/>
        <w:jc w:val="both"/>
      </w:pPr>
      <w:r>
        <w:rPr>
          <w:b w:val="0"/>
          <w:i w:val="0"/>
        </w:rPr>
        <w:t>Use SHAP values to explain each individual prediction to the retention team.</w:t>
      </w:r>
    </w:p>
    <w:p>
      <w:pPr>
        <w:pStyle w:val="ListBullet"/>
        <w:spacing w:after="40"/>
        <w:jc w:val="both"/>
      </w:pPr>
      <w:r>
        <w:rPr>
          <w:b w:val="0"/>
          <w:i w:val="0"/>
        </w:rPr>
        <w:t>Optimise the threshold with a profit-based cost matrix (retention-offer cost vs customer lifetime value).</w:t>
      </w:r>
    </w:p>
    <w:p>
      <w:pPr>
        <w:pStyle w:val="ListBullet"/>
        <w:spacing w:after="40"/>
        <w:jc w:val="both"/>
      </w:pPr>
      <w:r>
        <w:rPr>
          <w:b w:val="0"/>
          <w:i w:val="0"/>
        </w:rPr>
        <w:t>Deploy the model as a web application or REST API (e.g., Flask/Streamlit) with monthly re-training and drift monitoring.</w:t>
      </w:r>
    </w:p>
    <w:p>
      <w:pPr>
        <w:pStyle w:val="Heading1"/>
        <w:pageBreakBefore w:val="0"/>
        <w:spacing w:before="280"/>
      </w:pPr>
      <w:r>
        <w:t>REFERENCES</w:t>
      </w:r>
    </w:p>
    <w:p>
      <w:pPr>
        <w:spacing w:after="60" w:line="276" w:lineRule="auto"/>
        <w:ind w:left="504" w:hanging="504"/>
        <w:jc w:val="left"/>
      </w:pPr>
      <w:r>
        <w:rPr>
          <w:b w:val="0"/>
          <w:i w:val="0"/>
          <w:sz w:val="22"/>
        </w:rPr>
        <w:t>[1] Kaggle. Telco Customer Churn dataset (blastchar). https://www.kaggle.com/datasets/blastchar/telco-customer-churn</w:t>
      </w:r>
    </w:p>
    <w:p>
      <w:pPr>
        <w:spacing w:after="60" w:line="276" w:lineRule="auto"/>
        <w:ind w:left="504" w:hanging="504"/>
        <w:jc w:val="left"/>
      </w:pPr>
      <w:r>
        <w:rPr>
          <w:b w:val="0"/>
          <w:i w:val="0"/>
          <w:sz w:val="22"/>
        </w:rPr>
        <w:t>[2] Huang, B., Kechadi, M. T., &amp; Buckley, B. (2012). Customer churn prediction in telecommunications. Expert Systems with Applications, 39(1), 1414–1425.</w:t>
      </w:r>
    </w:p>
    <w:p>
      <w:pPr>
        <w:spacing w:after="60" w:line="276" w:lineRule="auto"/>
        <w:ind w:left="504" w:hanging="504"/>
        <w:jc w:val="left"/>
      </w:pPr>
      <w:r>
        <w:rPr>
          <w:b w:val="0"/>
          <w:i w:val="0"/>
          <w:sz w:val="22"/>
        </w:rPr>
        <w:t>[3] Verbeke, W., Dejaeger, K., Martens, D., Hur, J., &amp; Baesens, B. (2012). New insights into churn prediction in the telecommunication sector: A profit driven data mining approach. European Journal of Operational Research, 218(1), 211–229.</w:t>
      </w:r>
    </w:p>
    <w:p>
      <w:pPr>
        <w:spacing w:after="60" w:line="276" w:lineRule="auto"/>
        <w:ind w:left="504" w:hanging="504"/>
        <w:jc w:val="left"/>
      </w:pPr>
      <w:r>
        <w:rPr>
          <w:b w:val="0"/>
          <w:i w:val="0"/>
          <w:sz w:val="22"/>
        </w:rPr>
        <w:t>[4] Ahmad, A. K., Jafar, A., &amp; Aljoumaa, K. (2019). Customer churn prediction in telecom using machine learning in big data platform. Journal of Big Data, 6, 28.</w:t>
      </w:r>
    </w:p>
    <w:p>
      <w:pPr>
        <w:spacing w:after="60" w:line="276" w:lineRule="auto"/>
        <w:ind w:left="504" w:hanging="504"/>
        <w:jc w:val="left"/>
      </w:pPr>
      <w:r>
        <w:rPr>
          <w:b w:val="0"/>
          <w:i w:val="0"/>
          <w:sz w:val="22"/>
        </w:rPr>
        <w:t>[5] Chawla, N. V., Bowyer, K. W., Hall, L. O., &amp; Kegelmeyer, W. P. (2002). SMOTE: Synthetic Minority Over-sampling Technique. Journal of Artificial Intelligence Research, 16, 321–357.</w:t>
      </w:r>
    </w:p>
    <w:p>
      <w:pPr>
        <w:spacing w:after="60" w:line="276" w:lineRule="auto"/>
        <w:ind w:left="504" w:hanging="504"/>
        <w:jc w:val="left"/>
      </w:pPr>
      <w:r>
        <w:rPr>
          <w:b w:val="0"/>
          <w:i w:val="0"/>
          <w:sz w:val="22"/>
        </w:rPr>
        <w:t>[6] Breiman, L. (2001). Random Forests. Machine Learning, 45(1), 5–32.</w:t>
      </w:r>
    </w:p>
    <w:p>
      <w:pPr>
        <w:spacing w:after="60" w:line="276" w:lineRule="auto"/>
        <w:ind w:left="504" w:hanging="504"/>
        <w:jc w:val="left"/>
      </w:pPr>
      <w:r>
        <w:rPr>
          <w:b w:val="0"/>
          <w:i w:val="0"/>
          <w:sz w:val="22"/>
        </w:rPr>
        <w:t>[7] Friedman, J. H. (2001). Greedy function approximation: A gradient boosting machine. Annals of Statistics, 29(5), 1189–1232.</w:t>
      </w:r>
    </w:p>
    <w:p>
      <w:pPr>
        <w:spacing w:after="60" w:line="276" w:lineRule="auto"/>
        <w:ind w:left="504" w:hanging="504"/>
        <w:jc w:val="left"/>
      </w:pPr>
      <w:r>
        <w:rPr>
          <w:b w:val="0"/>
          <w:i w:val="0"/>
          <w:sz w:val="22"/>
        </w:rPr>
        <w:t>[8] Chen, T., &amp; Guestrin, C. (2016). XGBoost: A scalable tree boosting system. Proceedings of the 22nd ACM SIGKDD Conference, 785–794.</w:t>
      </w:r>
    </w:p>
    <w:p>
      <w:pPr>
        <w:spacing w:after="60" w:line="276" w:lineRule="auto"/>
        <w:ind w:left="504" w:hanging="504"/>
        <w:jc w:val="left"/>
      </w:pPr>
      <w:r>
        <w:rPr>
          <w:b w:val="0"/>
          <w:i w:val="0"/>
          <w:sz w:val="22"/>
        </w:rPr>
        <w:t>[9] Ke, G., et al. (2017). LightGBM: A highly efficient gradient boosting decision tree. Advances in Neural Information Processing Systems 30.</w:t>
      </w:r>
    </w:p>
    <w:p>
      <w:pPr>
        <w:spacing w:after="60" w:line="276" w:lineRule="auto"/>
        <w:ind w:left="504" w:hanging="504"/>
        <w:jc w:val="left"/>
      </w:pPr>
      <w:r>
        <w:rPr>
          <w:b w:val="0"/>
          <w:i w:val="0"/>
          <w:sz w:val="22"/>
        </w:rPr>
        <w:t>[10] Prokhorenkova, L., et al. (2018). CatBoost: Unbiased boosting with categorical features. Advances in Neural Information Processing Systems 31.</w:t>
      </w:r>
    </w:p>
    <w:p>
      <w:pPr>
        <w:spacing w:after="60" w:line="276" w:lineRule="auto"/>
        <w:ind w:left="504" w:hanging="504"/>
        <w:jc w:val="left"/>
      </w:pPr>
      <w:r>
        <w:rPr>
          <w:b w:val="0"/>
          <w:i w:val="0"/>
          <w:sz w:val="22"/>
        </w:rPr>
        <w:t>[11] Pedregosa, F., et al. (2011). Scikit-learn: Machine learning in Python. Journal of Machine Learning Research, 12, 2825–2830.</w:t>
      </w:r>
    </w:p>
    <w:sectPr w:rsidR="00FC693F" w:rsidRPr="0006063C" w:rsidSect="00034616">
      <w:footerReference w:type="default" r:id="rId9"/>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