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3F550" w14:textId="77777777" w:rsidR="00192DA0" w:rsidRDefault="00000000">
      <w:pPr>
        <w:spacing w:after="60"/>
        <w:jc w:val="center"/>
      </w:pPr>
      <w:r>
        <w:rPr>
          <w:b/>
          <w:bCs/>
          <w:sz w:val="32"/>
          <w:szCs w:val="32"/>
        </w:rPr>
        <w:t>Sanskrit–English Neural Machine Translation with a From-Scratch Transformer</w:t>
      </w:r>
    </w:p>
    <w:p w14:paraId="7396EA08" w14:textId="30CD751F" w:rsidR="00192DA0" w:rsidRDefault="00192DA0" w:rsidP="00724ABC">
      <w:pPr>
        <w:spacing w:after="200"/>
      </w:pPr>
    </w:p>
    <w:p w14:paraId="05838196" w14:textId="77777777" w:rsidR="00B424DA" w:rsidRPr="00B424DA" w:rsidRDefault="00B424DA" w:rsidP="00B424DA">
      <w:pPr>
        <w:spacing w:after="100" w:line="264" w:lineRule="auto"/>
        <w:jc w:val="both"/>
        <w:rPr>
          <w:color w:val="000000"/>
          <w:sz w:val="20"/>
          <w:szCs w:val="20"/>
        </w:rPr>
      </w:pPr>
      <w:r w:rsidRPr="00B424DA">
        <w:rPr>
          <w:color w:val="000000"/>
          <w:sz w:val="20"/>
          <w:szCs w:val="20"/>
        </w:rPr>
        <w:t>1  Introduction</w:t>
      </w:r>
    </w:p>
    <w:p w14:paraId="210EFFCE" w14:textId="77777777" w:rsidR="00B424DA" w:rsidRPr="00B424DA" w:rsidRDefault="00B424DA" w:rsidP="00B424DA">
      <w:pPr>
        <w:spacing w:after="100" w:line="264" w:lineRule="auto"/>
        <w:jc w:val="both"/>
        <w:rPr>
          <w:color w:val="000000"/>
          <w:sz w:val="20"/>
          <w:szCs w:val="20"/>
        </w:rPr>
      </w:pPr>
      <w:r w:rsidRPr="00B424DA">
        <w:rPr>
          <w:color w:val="000000"/>
          <w:sz w:val="20"/>
          <w:szCs w:val="20"/>
        </w:rPr>
        <w:t xml:space="preserve">This report describes a neural machine translation (NMT) system that translates Sanskrit into English. The system is an all </w:t>
      </w:r>
      <w:proofErr w:type="spellStart"/>
      <w:r w:rsidRPr="00B424DA">
        <w:rPr>
          <w:color w:val="000000"/>
          <w:sz w:val="20"/>
          <w:szCs w:val="20"/>
        </w:rPr>
        <w:t>PyTorch</w:t>
      </w:r>
      <w:proofErr w:type="spellEnd"/>
      <w:r w:rsidRPr="00B424DA">
        <w:rPr>
          <w:color w:val="000000"/>
          <w:sz w:val="20"/>
          <w:szCs w:val="20"/>
        </w:rPr>
        <w:t xml:space="preserve"> implementation of a Transformer encoder–decoder (Vaswani et al., 2017) from scratch (no </w:t>
      </w:r>
      <w:proofErr w:type="spellStart"/>
      <w:r w:rsidRPr="00B424DA">
        <w:rPr>
          <w:color w:val="000000"/>
          <w:sz w:val="20"/>
          <w:szCs w:val="20"/>
        </w:rPr>
        <w:t>nn</w:t>
      </w:r>
      <w:proofErr w:type="spellEnd"/>
      <w:r w:rsidRPr="00B424DA">
        <w:rPr>
          <w:color w:val="000000"/>
          <w:sz w:val="20"/>
          <w:szCs w:val="20"/>
        </w:rPr>
        <w:t xml:space="preserve">.).No pre-trained translation model is used throughout, and no external API used. The model is trained only from a set of 10000 parallel pairs, and 1000 pairs of development data are used to select the model, 1000 pairs of test data are used for the final evaluation of the model. The Sanskrit and English CSV files have a common </w:t>
      </w:r>
      <w:proofErr w:type="spellStart"/>
      <w:r w:rsidRPr="00B424DA">
        <w:rPr>
          <w:color w:val="000000"/>
          <w:sz w:val="20"/>
          <w:szCs w:val="20"/>
        </w:rPr>
        <w:t>Source_id</w:t>
      </w:r>
      <w:proofErr w:type="spellEnd"/>
      <w:r w:rsidRPr="00B424DA">
        <w:rPr>
          <w:color w:val="000000"/>
          <w:sz w:val="20"/>
          <w:szCs w:val="20"/>
        </w:rPr>
        <w:t xml:space="preserve"> key to join each pair.</w:t>
      </w:r>
    </w:p>
    <w:p w14:paraId="57785109" w14:textId="77777777" w:rsidR="00B424DA" w:rsidRPr="00B424DA" w:rsidRDefault="00B424DA" w:rsidP="00B424DA">
      <w:pPr>
        <w:spacing w:after="100" w:line="264" w:lineRule="auto"/>
        <w:jc w:val="both"/>
        <w:rPr>
          <w:color w:val="000000"/>
          <w:sz w:val="20"/>
          <w:szCs w:val="20"/>
        </w:rPr>
      </w:pPr>
      <w:r w:rsidRPr="00B424DA">
        <w:rPr>
          <w:color w:val="000000"/>
          <w:sz w:val="20"/>
          <w:szCs w:val="20"/>
        </w:rPr>
        <w:t>It is also a difficult source language for NMT under a low-resource constraint: Sanskrit is highly inflected, it has a large amount of compounding (</w:t>
      </w:r>
      <w:proofErr w:type="spellStart"/>
      <w:r w:rsidRPr="00B424DA">
        <w:rPr>
          <w:color w:val="000000"/>
          <w:sz w:val="20"/>
          <w:szCs w:val="20"/>
        </w:rPr>
        <w:t>samāsa</w:t>
      </w:r>
      <w:proofErr w:type="spellEnd"/>
      <w:r w:rsidRPr="00B424DA">
        <w:rPr>
          <w:color w:val="000000"/>
          <w:sz w:val="20"/>
          <w:szCs w:val="20"/>
        </w:rPr>
        <w:t xml:space="preserve">), and euphonic fusion (sandhi) is applied at word boundaries and there are very few word forms on the surface. To this, our design addresses with </w:t>
      </w:r>
      <w:proofErr w:type="spellStart"/>
      <w:r w:rsidRPr="00B424DA">
        <w:rPr>
          <w:color w:val="000000"/>
          <w:sz w:val="20"/>
          <w:szCs w:val="20"/>
        </w:rPr>
        <w:t>subword</w:t>
      </w:r>
      <w:proofErr w:type="spellEnd"/>
      <w:r w:rsidRPr="00B424DA">
        <w:rPr>
          <w:color w:val="000000"/>
          <w:sz w:val="20"/>
          <w:szCs w:val="20"/>
        </w:rPr>
        <w:t xml:space="preserve"> (BPE) tokenization and a carefully kept Transformer. Additionally, the assignment weights efficiency at 30% (inference time 15% + parameter count 15%) and scales against the smallest/fastest submission, while the translation quality (BLEU + </w:t>
      </w:r>
      <w:proofErr w:type="spellStart"/>
      <w:r w:rsidRPr="00B424DA">
        <w:rPr>
          <w:color w:val="000000"/>
          <w:sz w:val="20"/>
          <w:szCs w:val="20"/>
        </w:rPr>
        <w:t>BERTScore</w:t>
      </w:r>
      <w:proofErr w:type="spellEnd"/>
      <w:r w:rsidRPr="00B424DA">
        <w:rPr>
          <w:color w:val="000000"/>
          <w:sz w:val="20"/>
          <w:szCs w:val="20"/>
        </w:rPr>
        <w:t xml:space="preserve">, 70%) scales against the best submission. A small model with tied embeddings, on the other hand, gives a small bit of loss in terms of quality that yields a huge boost in terms of efficiency. After pre-training, the final system contains 11,469,824 parameters, with a test set BLEU of 7.47 and </w:t>
      </w:r>
      <w:proofErr w:type="spellStart"/>
      <w:r w:rsidRPr="00B424DA">
        <w:rPr>
          <w:color w:val="000000"/>
          <w:sz w:val="20"/>
          <w:szCs w:val="20"/>
        </w:rPr>
        <w:t>BERTScore</w:t>
      </w:r>
      <w:proofErr w:type="spellEnd"/>
      <w:r w:rsidRPr="00B424DA">
        <w:rPr>
          <w:color w:val="000000"/>
          <w:sz w:val="20"/>
          <w:szCs w:val="20"/>
        </w:rPr>
        <w:t xml:space="preserve"> F1 of 0.3229, and performs a full translation of the test set (1400 sentences) in 140.0 s on Google </w:t>
      </w:r>
      <w:proofErr w:type="spellStart"/>
      <w:r w:rsidRPr="00B424DA">
        <w:rPr>
          <w:color w:val="000000"/>
          <w:sz w:val="20"/>
          <w:szCs w:val="20"/>
        </w:rPr>
        <w:t>Colab</w:t>
      </w:r>
      <w:proofErr w:type="spellEnd"/>
      <w:r w:rsidRPr="00B424DA">
        <w:rPr>
          <w:color w:val="000000"/>
          <w:sz w:val="20"/>
          <w:szCs w:val="20"/>
        </w:rPr>
        <w:t xml:space="preserve"> T4 GPU.</w:t>
      </w:r>
    </w:p>
    <w:p w14:paraId="3DC99FE2" w14:textId="77777777" w:rsidR="00B424DA" w:rsidRPr="00B424DA" w:rsidRDefault="00B424DA" w:rsidP="00B424DA">
      <w:pPr>
        <w:spacing w:after="100" w:line="264" w:lineRule="auto"/>
        <w:jc w:val="both"/>
        <w:rPr>
          <w:color w:val="000000"/>
          <w:sz w:val="20"/>
          <w:szCs w:val="20"/>
        </w:rPr>
      </w:pPr>
      <w:r w:rsidRPr="00B424DA">
        <w:rPr>
          <w:color w:val="000000"/>
          <w:sz w:val="20"/>
          <w:szCs w:val="20"/>
        </w:rPr>
        <w:t>2  Architecture</w:t>
      </w:r>
    </w:p>
    <w:p w14:paraId="20E6C363" w14:textId="7B07843A" w:rsidR="00192DA0" w:rsidRPr="00B424DA" w:rsidRDefault="00B424DA" w:rsidP="00B424DA">
      <w:pPr>
        <w:spacing w:after="100" w:line="264" w:lineRule="auto"/>
        <w:jc w:val="both"/>
        <w:rPr>
          <w:sz w:val="20"/>
          <w:szCs w:val="20"/>
        </w:rPr>
      </w:pPr>
      <w:r w:rsidRPr="00B424DA">
        <w:rPr>
          <w:color w:val="000000"/>
          <w:sz w:val="20"/>
          <w:szCs w:val="20"/>
        </w:rPr>
        <w:t>The model is a typical pre-norm Transformer encoder-decoder. Scaled Token Embeddings and fixed sinusoidal positional encodings: Dropout is applied to the sum. To stabilize training of small models, all residual blocks are pre-norm (</w:t>
      </w:r>
      <w:proofErr w:type="spellStart"/>
      <w:r w:rsidRPr="00B424DA">
        <w:rPr>
          <w:color w:val="000000"/>
          <w:sz w:val="20"/>
          <w:szCs w:val="20"/>
        </w:rPr>
        <w:t>LayerNorm</w:t>
      </w:r>
      <w:proofErr w:type="spellEnd"/>
      <w:r w:rsidRPr="00B424DA">
        <w:rPr>
          <w:color w:val="000000"/>
          <w:sz w:val="20"/>
          <w:szCs w:val="20"/>
        </w:rPr>
        <w:t xml:space="preserve">-before-sublayer, residual-addition-after) and a final </w:t>
      </w:r>
      <w:proofErr w:type="spellStart"/>
      <w:r w:rsidRPr="00B424DA">
        <w:rPr>
          <w:color w:val="000000"/>
          <w:sz w:val="20"/>
          <w:szCs w:val="20"/>
        </w:rPr>
        <w:t>LayerNorm</w:t>
      </w:r>
      <w:proofErr w:type="spellEnd"/>
      <w:r w:rsidRPr="00B424DA">
        <w:rPr>
          <w:color w:val="000000"/>
          <w:sz w:val="20"/>
          <w:szCs w:val="20"/>
        </w:rPr>
        <w:t xml:space="preserve"> is used at the end of both stacks. All parameters with dimension &gt;1 are initialized with Xavier-uniform.</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000"/>
      </w:tblGrid>
      <w:tr w:rsidR="00192DA0" w14:paraId="32FFF3AC" w14:textId="77777777">
        <w:tblPrEx>
          <w:tblCellMar>
            <w:top w:w="0" w:type="dxa"/>
            <w:bottom w:w="0" w:type="dxa"/>
          </w:tblCellMar>
        </w:tblPrEx>
        <w:trPr>
          <w:tblHeader/>
        </w:trPr>
        <w:tc>
          <w:tcPr>
            <w:tcW w:w="4200" w:type="dxa"/>
            <w:shd w:val="clear" w:color="auto" w:fill="EEEEEE"/>
            <w:tcMar>
              <w:top w:w="60" w:type="dxa"/>
              <w:left w:w="90" w:type="dxa"/>
              <w:bottom w:w="60" w:type="dxa"/>
              <w:right w:w="90" w:type="dxa"/>
            </w:tcMar>
          </w:tcPr>
          <w:p w14:paraId="4FE27B1D" w14:textId="77777777" w:rsidR="00192DA0" w:rsidRDefault="00000000">
            <w:r>
              <w:rPr>
                <w:b/>
                <w:bCs/>
                <w:sz w:val="19"/>
                <w:szCs w:val="19"/>
              </w:rPr>
              <w:t>Component</w:t>
            </w:r>
          </w:p>
        </w:tc>
        <w:tc>
          <w:tcPr>
            <w:tcW w:w="5000" w:type="dxa"/>
            <w:shd w:val="clear" w:color="auto" w:fill="EEEEEE"/>
            <w:tcMar>
              <w:top w:w="60" w:type="dxa"/>
              <w:left w:w="90" w:type="dxa"/>
              <w:bottom w:w="60" w:type="dxa"/>
              <w:right w:w="90" w:type="dxa"/>
            </w:tcMar>
          </w:tcPr>
          <w:p w14:paraId="3E99F2AF" w14:textId="77777777" w:rsidR="00192DA0" w:rsidRDefault="00000000">
            <w:r>
              <w:rPr>
                <w:b/>
                <w:bCs/>
                <w:sz w:val="19"/>
                <w:szCs w:val="19"/>
              </w:rPr>
              <w:t>Value</w:t>
            </w:r>
          </w:p>
        </w:tc>
      </w:tr>
      <w:tr w:rsidR="00192DA0" w14:paraId="7CC5444F" w14:textId="77777777">
        <w:tblPrEx>
          <w:tblCellMar>
            <w:top w:w="0" w:type="dxa"/>
            <w:bottom w:w="0" w:type="dxa"/>
          </w:tblCellMar>
        </w:tblPrEx>
        <w:tc>
          <w:tcPr>
            <w:tcW w:w="4200" w:type="dxa"/>
            <w:tcMar>
              <w:top w:w="60" w:type="dxa"/>
              <w:left w:w="90" w:type="dxa"/>
              <w:bottom w:w="60" w:type="dxa"/>
              <w:right w:w="90" w:type="dxa"/>
            </w:tcMar>
          </w:tcPr>
          <w:p w14:paraId="2033EDFF" w14:textId="77777777" w:rsidR="00192DA0" w:rsidRDefault="00000000">
            <w:r>
              <w:rPr>
                <w:sz w:val="19"/>
                <w:szCs w:val="19"/>
              </w:rPr>
              <w:t>Encoder / decoder layers</w:t>
            </w:r>
          </w:p>
        </w:tc>
        <w:tc>
          <w:tcPr>
            <w:tcW w:w="5000" w:type="dxa"/>
            <w:tcMar>
              <w:top w:w="60" w:type="dxa"/>
              <w:left w:w="90" w:type="dxa"/>
              <w:bottom w:w="60" w:type="dxa"/>
              <w:right w:w="90" w:type="dxa"/>
            </w:tcMar>
          </w:tcPr>
          <w:p w14:paraId="033E0151" w14:textId="77777777" w:rsidR="00192DA0" w:rsidRDefault="00000000">
            <w:r>
              <w:rPr>
                <w:sz w:val="19"/>
                <w:szCs w:val="19"/>
              </w:rPr>
              <w:t>4 / 4</w:t>
            </w:r>
          </w:p>
        </w:tc>
      </w:tr>
      <w:tr w:rsidR="00192DA0" w14:paraId="47B3CBD1" w14:textId="77777777">
        <w:tblPrEx>
          <w:tblCellMar>
            <w:top w:w="0" w:type="dxa"/>
            <w:bottom w:w="0" w:type="dxa"/>
          </w:tblCellMar>
        </w:tblPrEx>
        <w:tc>
          <w:tcPr>
            <w:tcW w:w="4200" w:type="dxa"/>
            <w:tcMar>
              <w:top w:w="60" w:type="dxa"/>
              <w:left w:w="90" w:type="dxa"/>
              <w:bottom w:w="60" w:type="dxa"/>
              <w:right w:w="90" w:type="dxa"/>
            </w:tcMar>
          </w:tcPr>
          <w:p w14:paraId="36DA7A45" w14:textId="77777777" w:rsidR="00192DA0" w:rsidRDefault="00000000">
            <w:r>
              <w:rPr>
                <w:sz w:val="19"/>
                <w:szCs w:val="19"/>
              </w:rPr>
              <w:t xml:space="preserve">Model dimension </w:t>
            </w:r>
            <w:proofErr w:type="spellStart"/>
            <w:r>
              <w:rPr>
                <w:sz w:val="19"/>
                <w:szCs w:val="19"/>
              </w:rPr>
              <w:t>d_model</w:t>
            </w:r>
            <w:proofErr w:type="spellEnd"/>
          </w:p>
        </w:tc>
        <w:tc>
          <w:tcPr>
            <w:tcW w:w="5000" w:type="dxa"/>
            <w:tcMar>
              <w:top w:w="60" w:type="dxa"/>
              <w:left w:w="90" w:type="dxa"/>
              <w:bottom w:w="60" w:type="dxa"/>
              <w:right w:w="90" w:type="dxa"/>
            </w:tcMar>
          </w:tcPr>
          <w:p w14:paraId="7691854D" w14:textId="77777777" w:rsidR="00192DA0" w:rsidRDefault="00000000">
            <w:r>
              <w:rPr>
                <w:sz w:val="19"/>
                <w:szCs w:val="19"/>
              </w:rPr>
              <w:t>256</w:t>
            </w:r>
          </w:p>
        </w:tc>
      </w:tr>
      <w:tr w:rsidR="00192DA0" w14:paraId="3A7345B2" w14:textId="77777777">
        <w:tblPrEx>
          <w:tblCellMar>
            <w:top w:w="0" w:type="dxa"/>
            <w:bottom w:w="0" w:type="dxa"/>
          </w:tblCellMar>
        </w:tblPrEx>
        <w:tc>
          <w:tcPr>
            <w:tcW w:w="4200" w:type="dxa"/>
            <w:tcMar>
              <w:top w:w="60" w:type="dxa"/>
              <w:left w:w="90" w:type="dxa"/>
              <w:bottom w:w="60" w:type="dxa"/>
              <w:right w:w="90" w:type="dxa"/>
            </w:tcMar>
          </w:tcPr>
          <w:p w14:paraId="579ED9AE" w14:textId="77777777" w:rsidR="00192DA0" w:rsidRDefault="00000000">
            <w:r>
              <w:rPr>
                <w:sz w:val="19"/>
                <w:szCs w:val="19"/>
              </w:rPr>
              <w:t>Attention heads</w:t>
            </w:r>
          </w:p>
        </w:tc>
        <w:tc>
          <w:tcPr>
            <w:tcW w:w="5000" w:type="dxa"/>
            <w:tcMar>
              <w:top w:w="60" w:type="dxa"/>
              <w:left w:w="90" w:type="dxa"/>
              <w:bottom w:w="60" w:type="dxa"/>
              <w:right w:w="90" w:type="dxa"/>
            </w:tcMar>
          </w:tcPr>
          <w:p w14:paraId="0411D05E" w14:textId="77777777" w:rsidR="00192DA0" w:rsidRDefault="00000000">
            <w:r>
              <w:rPr>
                <w:sz w:val="19"/>
                <w:szCs w:val="19"/>
              </w:rPr>
              <w:t>8 (</w:t>
            </w:r>
            <w:proofErr w:type="spellStart"/>
            <w:r>
              <w:rPr>
                <w:sz w:val="19"/>
                <w:szCs w:val="19"/>
              </w:rPr>
              <w:t>d_k</w:t>
            </w:r>
            <w:proofErr w:type="spellEnd"/>
            <w:r>
              <w:rPr>
                <w:sz w:val="19"/>
                <w:szCs w:val="19"/>
              </w:rPr>
              <w:t xml:space="preserve"> = 32)</w:t>
            </w:r>
          </w:p>
        </w:tc>
      </w:tr>
      <w:tr w:rsidR="00192DA0" w14:paraId="0A07A5DE" w14:textId="77777777">
        <w:tblPrEx>
          <w:tblCellMar>
            <w:top w:w="0" w:type="dxa"/>
            <w:bottom w:w="0" w:type="dxa"/>
          </w:tblCellMar>
        </w:tblPrEx>
        <w:tc>
          <w:tcPr>
            <w:tcW w:w="4200" w:type="dxa"/>
            <w:tcMar>
              <w:top w:w="60" w:type="dxa"/>
              <w:left w:w="90" w:type="dxa"/>
              <w:bottom w:w="60" w:type="dxa"/>
              <w:right w:w="90" w:type="dxa"/>
            </w:tcMar>
          </w:tcPr>
          <w:p w14:paraId="73458332" w14:textId="77777777" w:rsidR="00192DA0" w:rsidRDefault="00000000">
            <w:r>
              <w:rPr>
                <w:sz w:val="19"/>
                <w:szCs w:val="19"/>
              </w:rPr>
              <w:t xml:space="preserve">Feed-forward dimension </w:t>
            </w:r>
            <w:proofErr w:type="spellStart"/>
            <w:r>
              <w:rPr>
                <w:sz w:val="19"/>
                <w:szCs w:val="19"/>
              </w:rPr>
              <w:t>d_ff</w:t>
            </w:r>
            <w:proofErr w:type="spellEnd"/>
          </w:p>
        </w:tc>
        <w:tc>
          <w:tcPr>
            <w:tcW w:w="5000" w:type="dxa"/>
            <w:tcMar>
              <w:top w:w="60" w:type="dxa"/>
              <w:left w:w="90" w:type="dxa"/>
              <w:bottom w:w="60" w:type="dxa"/>
              <w:right w:w="90" w:type="dxa"/>
            </w:tcMar>
          </w:tcPr>
          <w:p w14:paraId="4CC70495" w14:textId="77777777" w:rsidR="00192DA0" w:rsidRDefault="00000000">
            <w:r>
              <w:rPr>
                <w:sz w:val="19"/>
                <w:szCs w:val="19"/>
              </w:rPr>
              <w:t xml:space="preserve">1024, </w:t>
            </w:r>
            <w:proofErr w:type="spellStart"/>
            <w:r>
              <w:rPr>
                <w:sz w:val="19"/>
                <w:szCs w:val="19"/>
              </w:rPr>
              <w:t>ReLU</w:t>
            </w:r>
            <w:proofErr w:type="spellEnd"/>
          </w:p>
        </w:tc>
      </w:tr>
      <w:tr w:rsidR="00192DA0" w14:paraId="49C56FFD" w14:textId="77777777">
        <w:tblPrEx>
          <w:tblCellMar>
            <w:top w:w="0" w:type="dxa"/>
            <w:bottom w:w="0" w:type="dxa"/>
          </w:tblCellMar>
        </w:tblPrEx>
        <w:tc>
          <w:tcPr>
            <w:tcW w:w="4200" w:type="dxa"/>
            <w:tcMar>
              <w:top w:w="60" w:type="dxa"/>
              <w:left w:w="90" w:type="dxa"/>
              <w:bottom w:w="60" w:type="dxa"/>
              <w:right w:w="90" w:type="dxa"/>
            </w:tcMar>
          </w:tcPr>
          <w:p w14:paraId="6272F20A" w14:textId="77777777" w:rsidR="00192DA0" w:rsidRDefault="00000000">
            <w:r>
              <w:rPr>
                <w:sz w:val="19"/>
                <w:szCs w:val="19"/>
              </w:rPr>
              <w:t>Source / target BPE vocabulary</w:t>
            </w:r>
          </w:p>
        </w:tc>
        <w:tc>
          <w:tcPr>
            <w:tcW w:w="5000" w:type="dxa"/>
            <w:tcMar>
              <w:top w:w="60" w:type="dxa"/>
              <w:left w:w="90" w:type="dxa"/>
              <w:bottom w:w="60" w:type="dxa"/>
              <w:right w:w="90" w:type="dxa"/>
            </w:tcMar>
          </w:tcPr>
          <w:p w14:paraId="6EBC52E8" w14:textId="77777777" w:rsidR="00192DA0" w:rsidRDefault="00000000">
            <w:r>
              <w:rPr>
                <w:sz w:val="19"/>
                <w:szCs w:val="19"/>
              </w:rPr>
              <w:t>8,000 / 8,000 (</w:t>
            </w:r>
            <w:proofErr w:type="spellStart"/>
            <w:r>
              <w:rPr>
                <w:sz w:val="19"/>
                <w:szCs w:val="19"/>
              </w:rPr>
              <w:t>SentencePiece</w:t>
            </w:r>
            <w:proofErr w:type="spellEnd"/>
            <w:r>
              <w:rPr>
                <w:sz w:val="19"/>
                <w:szCs w:val="19"/>
              </w:rPr>
              <w:t>)</w:t>
            </w:r>
          </w:p>
        </w:tc>
      </w:tr>
      <w:tr w:rsidR="00192DA0" w14:paraId="203A6180" w14:textId="77777777">
        <w:tblPrEx>
          <w:tblCellMar>
            <w:top w:w="0" w:type="dxa"/>
            <w:bottom w:w="0" w:type="dxa"/>
          </w:tblCellMar>
        </w:tblPrEx>
        <w:tc>
          <w:tcPr>
            <w:tcW w:w="4200" w:type="dxa"/>
            <w:tcMar>
              <w:top w:w="60" w:type="dxa"/>
              <w:left w:w="90" w:type="dxa"/>
              <w:bottom w:w="60" w:type="dxa"/>
              <w:right w:w="90" w:type="dxa"/>
            </w:tcMar>
          </w:tcPr>
          <w:p w14:paraId="3666115B" w14:textId="77777777" w:rsidR="00192DA0" w:rsidRDefault="00000000">
            <w:r>
              <w:rPr>
                <w:sz w:val="19"/>
                <w:szCs w:val="19"/>
              </w:rPr>
              <w:t>Output projection</w:t>
            </w:r>
          </w:p>
        </w:tc>
        <w:tc>
          <w:tcPr>
            <w:tcW w:w="5000" w:type="dxa"/>
            <w:tcMar>
              <w:top w:w="60" w:type="dxa"/>
              <w:left w:w="90" w:type="dxa"/>
              <w:bottom w:w="60" w:type="dxa"/>
              <w:right w:w="90" w:type="dxa"/>
            </w:tcMar>
          </w:tcPr>
          <w:p w14:paraId="04B49EBD" w14:textId="77777777" w:rsidR="00192DA0" w:rsidRDefault="00000000">
            <w:r>
              <w:rPr>
                <w:sz w:val="19"/>
                <w:szCs w:val="19"/>
              </w:rPr>
              <w:t>Tied to target embedding matrix (no bias)</w:t>
            </w:r>
          </w:p>
        </w:tc>
      </w:tr>
      <w:tr w:rsidR="00192DA0" w14:paraId="0C513392" w14:textId="77777777">
        <w:tblPrEx>
          <w:tblCellMar>
            <w:top w:w="0" w:type="dxa"/>
            <w:bottom w:w="0" w:type="dxa"/>
          </w:tblCellMar>
        </w:tblPrEx>
        <w:tc>
          <w:tcPr>
            <w:tcW w:w="4200" w:type="dxa"/>
            <w:tcMar>
              <w:top w:w="60" w:type="dxa"/>
              <w:left w:w="90" w:type="dxa"/>
              <w:bottom w:w="60" w:type="dxa"/>
              <w:right w:w="90" w:type="dxa"/>
            </w:tcMar>
          </w:tcPr>
          <w:p w14:paraId="7ABB1EBF" w14:textId="77777777" w:rsidR="00192DA0" w:rsidRDefault="00000000">
            <w:r>
              <w:rPr>
                <w:sz w:val="19"/>
                <w:szCs w:val="19"/>
              </w:rPr>
              <w:t>Positional encoding</w:t>
            </w:r>
          </w:p>
        </w:tc>
        <w:tc>
          <w:tcPr>
            <w:tcW w:w="5000" w:type="dxa"/>
            <w:tcMar>
              <w:top w:w="60" w:type="dxa"/>
              <w:left w:w="90" w:type="dxa"/>
              <w:bottom w:w="60" w:type="dxa"/>
              <w:right w:w="90" w:type="dxa"/>
            </w:tcMar>
          </w:tcPr>
          <w:p w14:paraId="77978EE1" w14:textId="77777777" w:rsidR="00192DA0" w:rsidRDefault="00000000">
            <w:r>
              <w:rPr>
                <w:sz w:val="19"/>
                <w:szCs w:val="19"/>
              </w:rPr>
              <w:t>Sinusoidal, fixed</w:t>
            </w:r>
          </w:p>
        </w:tc>
      </w:tr>
      <w:tr w:rsidR="00192DA0" w14:paraId="07A32BD4" w14:textId="77777777">
        <w:tblPrEx>
          <w:tblCellMar>
            <w:top w:w="0" w:type="dxa"/>
            <w:bottom w:w="0" w:type="dxa"/>
          </w:tblCellMar>
        </w:tblPrEx>
        <w:tc>
          <w:tcPr>
            <w:tcW w:w="4200" w:type="dxa"/>
            <w:tcMar>
              <w:top w:w="60" w:type="dxa"/>
              <w:left w:w="90" w:type="dxa"/>
              <w:bottom w:w="60" w:type="dxa"/>
              <w:right w:w="90" w:type="dxa"/>
            </w:tcMar>
          </w:tcPr>
          <w:p w14:paraId="223415D3" w14:textId="77777777" w:rsidR="00192DA0" w:rsidRDefault="00000000">
            <w:r>
              <w:rPr>
                <w:sz w:val="19"/>
                <w:szCs w:val="19"/>
              </w:rPr>
              <w:t>Norm placement</w:t>
            </w:r>
          </w:p>
        </w:tc>
        <w:tc>
          <w:tcPr>
            <w:tcW w:w="5000" w:type="dxa"/>
            <w:tcMar>
              <w:top w:w="60" w:type="dxa"/>
              <w:left w:w="90" w:type="dxa"/>
              <w:bottom w:w="60" w:type="dxa"/>
              <w:right w:w="90" w:type="dxa"/>
            </w:tcMar>
          </w:tcPr>
          <w:p w14:paraId="4335F274" w14:textId="77777777" w:rsidR="00192DA0" w:rsidRDefault="00000000">
            <w:r>
              <w:rPr>
                <w:sz w:val="19"/>
                <w:szCs w:val="19"/>
              </w:rPr>
              <w:t xml:space="preserve">Pre-norm residual blocks + final </w:t>
            </w:r>
            <w:proofErr w:type="spellStart"/>
            <w:r>
              <w:rPr>
                <w:sz w:val="19"/>
                <w:szCs w:val="19"/>
              </w:rPr>
              <w:t>LayerNorm</w:t>
            </w:r>
            <w:proofErr w:type="spellEnd"/>
          </w:p>
        </w:tc>
      </w:tr>
      <w:tr w:rsidR="00192DA0" w14:paraId="052A8152" w14:textId="77777777">
        <w:tblPrEx>
          <w:tblCellMar>
            <w:top w:w="0" w:type="dxa"/>
            <w:bottom w:w="0" w:type="dxa"/>
          </w:tblCellMar>
        </w:tblPrEx>
        <w:tc>
          <w:tcPr>
            <w:tcW w:w="4200" w:type="dxa"/>
            <w:tcMar>
              <w:top w:w="60" w:type="dxa"/>
              <w:left w:w="90" w:type="dxa"/>
              <w:bottom w:w="60" w:type="dxa"/>
              <w:right w:w="90" w:type="dxa"/>
            </w:tcMar>
          </w:tcPr>
          <w:p w14:paraId="19D515C5" w14:textId="77777777" w:rsidR="00192DA0" w:rsidRDefault="00000000">
            <w:r>
              <w:rPr>
                <w:sz w:val="19"/>
                <w:szCs w:val="19"/>
              </w:rPr>
              <w:t>Total parameters</w:t>
            </w:r>
          </w:p>
        </w:tc>
        <w:tc>
          <w:tcPr>
            <w:tcW w:w="5000" w:type="dxa"/>
            <w:tcMar>
              <w:top w:w="60" w:type="dxa"/>
              <w:left w:w="90" w:type="dxa"/>
              <w:bottom w:w="60" w:type="dxa"/>
              <w:right w:w="90" w:type="dxa"/>
            </w:tcMar>
          </w:tcPr>
          <w:p w14:paraId="1EB0F16C" w14:textId="77777777" w:rsidR="00192DA0" w:rsidRDefault="00000000">
            <w:r>
              <w:rPr>
                <w:sz w:val="19"/>
                <w:szCs w:val="19"/>
              </w:rPr>
              <w:t>11,469,824</w:t>
            </w:r>
          </w:p>
        </w:tc>
      </w:tr>
    </w:tbl>
    <w:p w14:paraId="4AAFEC66" w14:textId="77777777" w:rsidR="00192DA0" w:rsidRDefault="00000000">
      <w:pPr>
        <w:spacing w:before="60" w:after="160"/>
        <w:jc w:val="center"/>
      </w:pPr>
      <w:r>
        <w:rPr>
          <w:color w:val="444444"/>
          <w:sz w:val="18"/>
          <w:szCs w:val="18"/>
        </w:rPr>
        <w:t>Table 1: Architecture summary.</w:t>
      </w:r>
    </w:p>
    <w:p w14:paraId="5A0CD514" w14:textId="77777777" w:rsidR="00192DA0" w:rsidRDefault="00000000">
      <w:pPr>
        <w:pStyle w:val="Heading2"/>
        <w:spacing w:before="160" w:after="70"/>
      </w:pPr>
      <w:r>
        <w:rPr>
          <w:b/>
          <w:bCs/>
          <w:color w:val="000000"/>
          <w:sz w:val="22"/>
          <w:szCs w:val="22"/>
        </w:rPr>
        <w:t>2.1  Encoder</w:t>
      </w:r>
    </w:p>
    <w:p w14:paraId="395739CE" w14:textId="77777777" w:rsidR="00192DA0" w:rsidRDefault="00000000">
      <w:pPr>
        <w:spacing w:after="100" w:line="264" w:lineRule="auto"/>
        <w:jc w:val="both"/>
      </w:pPr>
      <w:r>
        <w:t>The encoder maps the BPE-tokenized Sanskrit sequence (wrapped in &lt;s&gt; … &lt;/s&gt;) to a sequence of contextual representations. Each of the 4 layers contains (</w:t>
      </w:r>
      <w:proofErr w:type="spellStart"/>
      <w:r>
        <w:t>i</w:t>
      </w:r>
      <w:proofErr w:type="spellEnd"/>
      <w:r>
        <w:t>) multi-head self-attention over all source positions, masked only at padding positions, and (ii) a position-wise feed-forward network, each wrapped in a pre-norm residual block with dropout.</w:t>
      </w:r>
    </w:p>
    <w:p w14:paraId="62516FFF" w14:textId="77777777" w:rsidR="00192DA0" w:rsidRDefault="00000000">
      <w:pPr>
        <w:pStyle w:val="Heading2"/>
        <w:spacing w:before="160" w:after="70"/>
      </w:pPr>
      <w:r>
        <w:rPr>
          <w:b/>
          <w:bCs/>
          <w:color w:val="000000"/>
          <w:sz w:val="22"/>
          <w:szCs w:val="22"/>
        </w:rPr>
        <w:t>2.2  Decoder</w:t>
      </w:r>
    </w:p>
    <w:p w14:paraId="69427382" w14:textId="77777777" w:rsidR="00192DA0" w:rsidRDefault="00000000">
      <w:pPr>
        <w:spacing w:after="100" w:line="264" w:lineRule="auto"/>
        <w:jc w:val="both"/>
      </w:pPr>
      <w:r>
        <w:t>Each of the 4 decoder layers has three sublayers: causally masked self-attention over the generated prefix, cross-attention from decoder queries to the encoder memory (keys/values), and a feed-forward network. The causal mask is the conjunction of a lower-triangular matrix and the target padding mask, so the decoder can attend neither to future tokens nor to padding. The output projection to target-vocabulary logits reuses the target embedding matrix (weight tying; Press &amp; Wolf, 2017), which removes ≈2M parameters and typically improves generalization in low-resource settings.</w:t>
      </w:r>
    </w:p>
    <w:p w14:paraId="35563551" w14:textId="77777777" w:rsidR="00192DA0" w:rsidRDefault="00000000">
      <w:pPr>
        <w:pStyle w:val="Heading2"/>
        <w:spacing w:before="160" w:after="70"/>
      </w:pPr>
      <w:r>
        <w:rPr>
          <w:b/>
          <w:bCs/>
          <w:color w:val="000000"/>
          <w:sz w:val="22"/>
          <w:szCs w:val="22"/>
        </w:rPr>
        <w:lastRenderedPageBreak/>
        <w:t>2.3  Attention</w:t>
      </w:r>
    </w:p>
    <w:p w14:paraId="47483E44" w14:textId="77777777" w:rsidR="00192DA0" w:rsidRDefault="00000000">
      <w:pPr>
        <w:spacing w:after="100" w:line="264" w:lineRule="auto"/>
        <w:jc w:val="both"/>
      </w:pPr>
      <w:r>
        <w:t xml:space="preserve">All attention is scaled dot-product attention: Attention(Q, K, V) = </w:t>
      </w:r>
      <w:proofErr w:type="spellStart"/>
      <w:r>
        <w:t>softmax</w:t>
      </w:r>
      <w:proofErr w:type="spellEnd"/>
      <w:r>
        <w:t>(QKᵀ/√</w:t>
      </w:r>
      <w:proofErr w:type="spellStart"/>
      <w:r>
        <w:t>d_k</w:t>
      </w:r>
      <w:proofErr w:type="spellEnd"/>
      <w:r>
        <w:t xml:space="preserve">)V, computed in 8 parallel heads of dimension 32 obtained by learned linear projections W_Q, W_K, W_V, with a learned output projection W_O after head concatenation. Masked positions receive a score of −∞ before the </w:t>
      </w:r>
      <w:proofErr w:type="spellStart"/>
      <w:r>
        <w:t>softmax</w:t>
      </w:r>
      <w:proofErr w:type="spellEnd"/>
      <w:r>
        <w:t>; dropout is applied to the attention weights. Three attention types appear in the network: encoder self-attention, decoder (causal) self-attention, and encoder–decoder cross-attention, which is where source–target alignment is learned.</w:t>
      </w:r>
    </w:p>
    <w:p w14:paraId="39898860" w14:textId="77777777" w:rsidR="00192DA0" w:rsidRDefault="00000000">
      <w:pPr>
        <w:pStyle w:val="Heading2"/>
        <w:spacing w:before="160" w:after="70"/>
      </w:pPr>
      <w:r>
        <w:rPr>
          <w:b/>
          <w:bCs/>
          <w:color w:val="000000"/>
          <w:sz w:val="22"/>
          <w:szCs w:val="22"/>
        </w:rPr>
        <w:t>2.4  Beam search</w:t>
      </w:r>
    </w:p>
    <w:p w14:paraId="6C41A443" w14:textId="77777777" w:rsidR="00192DA0" w:rsidRDefault="00000000">
      <w:pPr>
        <w:spacing w:after="100" w:line="264" w:lineRule="auto"/>
        <w:jc w:val="both"/>
      </w:pPr>
      <w:r>
        <w:t xml:space="preserve">Final translations are decoded with beam search of width 5. At each step the beam expands every unfinished hypothesis by the full vocabulary, keeps the top-k cumulative log-probabilities, and moves hypotheses that emit &lt;/s&gt; to a finished pool. Completed hypotheses are re-ranked with the length normalization of Wu et al. (2016), dividing the cumulative log-probability by ((5 + |y|)/6)^α with α = 0.7, which counteracts the intrinsic bias of beam search toward short outputs. Decoding stops when the beam is empty or 5 finished hypotheses exist, up to 128 </w:t>
      </w:r>
      <w:proofErr w:type="spellStart"/>
      <w:r>
        <w:t>subword</w:t>
      </w:r>
      <w:proofErr w:type="spellEnd"/>
      <w:r>
        <w:t xml:space="preserve"> tokens. During training, per-epoch development BLEU is computed with fast batched greedy decoding; beam search is reserved for final dev/test evaluation and the submission file.</w:t>
      </w:r>
    </w:p>
    <w:p w14:paraId="2D4792EE" w14:textId="77777777" w:rsidR="00192DA0" w:rsidRDefault="00000000">
      <w:pPr>
        <w:pStyle w:val="Heading1"/>
        <w:spacing w:before="220" w:after="90"/>
      </w:pPr>
      <w:r>
        <w:rPr>
          <w:b/>
          <w:bCs/>
          <w:color w:val="000000"/>
          <w:sz w:val="25"/>
          <w:szCs w:val="25"/>
        </w:rPr>
        <w:t>3  Training Procedure</w:t>
      </w:r>
    </w:p>
    <w:p w14:paraId="2DDC8037" w14:textId="77777777" w:rsidR="00192DA0" w:rsidRDefault="00000000">
      <w:pPr>
        <w:pStyle w:val="Heading2"/>
        <w:spacing w:before="160" w:after="70"/>
      </w:pPr>
      <w:r>
        <w:rPr>
          <w:b/>
          <w:bCs/>
          <w:color w:val="000000"/>
          <w:sz w:val="22"/>
          <w:szCs w:val="22"/>
        </w:rPr>
        <w:t>3.1  Preprocessing</w:t>
      </w:r>
    </w:p>
    <w:p w14:paraId="7F2F89F4" w14:textId="77777777" w:rsidR="00192DA0" w:rsidRDefault="00000000">
      <w:pPr>
        <w:spacing w:after="100" w:line="264" w:lineRule="auto"/>
        <w:jc w:val="both"/>
      </w:pPr>
      <w:r>
        <w:t xml:space="preserve">The Sanskrit and English CSVs are inner-joined on </w:t>
      </w:r>
      <w:proofErr w:type="spellStart"/>
      <w:r>
        <w:t>Source_id</w:t>
      </w:r>
      <w:proofErr w:type="spellEnd"/>
      <w:r>
        <w:t xml:space="preserve"> to obtain aligned pairs. Whitespace is collapsed to single spaces and trimmed, and empty rows are dropped, yielding 10,000 training and 1,000 development pairs. No aggressive cleaning, lower-casing, or script normalization is applied — </w:t>
      </w:r>
      <w:proofErr w:type="spellStart"/>
      <w:r>
        <w:t>SentencePiece</w:t>
      </w:r>
      <w:proofErr w:type="spellEnd"/>
      <w:r>
        <w:t xml:space="preserve"> operates on raw text and destructive normalization of Devanagari risks losing meaning-bearing diacritics. Sentences are truncated to 128 </w:t>
      </w:r>
      <w:proofErr w:type="spellStart"/>
      <w:r>
        <w:t>subword</w:t>
      </w:r>
      <w:proofErr w:type="spellEnd"/>
      <w:r>
        <w:t xml:space="preserve"> tokens (the 95th-percentile lengths measured on the training data are well below this).</w:t>
      </w:r>
    </w:p>
    <w:p w14:paraId="5DCC5CE2" w14:textId="77777777" w:rsidR="00192DA0" w:rsidRDefault="00000000">
      <w:pPr>
        <w:pStyle w:val="Heading2"/>
        <w:spacing w:before="160" w:after="70"/>
      </w:pPr>
      <w:r>
        <w:rPr>
          <w:b/>
          <w:bCs/>
          <w:color w:val="000000"/>
          <w:sz w:val="22"/>
          <w:szCs w:val="22"/>
        </w:rPr>
        <w:t>3.2  Tokenization</w:t>
      </w:r>
    </w:p>
    <w:p w14:paraId="04144510" w14:textId="77777777" w:rsidR="00192DA0" w:rsidRDefault="00000000">
      <w:pPr>
        <w:spacing w:after="100" w:line="264" w:lineRule="auto"/>
        <w:jc w:val="both"/>
      </w:pPr>
      <w:r>
        <w:t xml:space="preserve">We train two independent </w:t>
      </w:r>
      <w:proofErr w:type="spellStart"/>
      <w:r>
        <w:t>SentencePiece</w:t>
      </w:r>
      <w:proofErr w:type="spellEnd"/>
      <w:r>
        <w:t xml:space="preserve"> BPE models — one on the Sanskrit training sentences, one on the English training sentences — each with a vocabulary of 8,000 and character coverage 0.9995. Training uses </w:t>
      </w:r>
      <w:r>
        <w:rPr>
          <w:b/>
          <w:bCs/>
        </w:rPr>
        <w:t>only the training split</w:t>
      </w:r>
      <w:r>
        <w:t xml:space="preserve">, so no information leaks from dev/test into the tokenizer. </w:t>
      </w:r>
      <w:proofErr w:type="spellStart"/>
      <w:r>
        <w:t>Subword</w:t>
      </w:r>
      <w:proofErr w:type="spellEnd"/>
      <w:r>
        <w:t xml:space="preserve"> tokenization is essential for Sanskrit: sandhi and compounding make the word-level vocabulary effectively unbounded, whereas BPE decomposes unseen surface forms into known morph-like units. Special tokens are pinned to fixed ids (&lt;pad&gt;=0, &lt;s&gt;=1, &lt;/s&gt;=2, &lt;</w:t>
      </w:r>
      <w:proofErr w:type="spellStart"/>
      <w:r>
        <w:t>unk</w:t>
      </w:r>
      <w:proofErr w:type="spellEnd"/>
      <w:r>
        <w:t>&gt;=3) shared by the model's padding index and the decoding logic.</w:t>
      </w:r>
    </w:p>
    <w:p w14:paraId="18AA2D10" w14:textId="77777777" w:rsidR="00192DA0" w:rsidRDefault="00000000">
      <w:pPr>
        <w:pStyle w:val="Heading2"/>
        <w:spacing w:before="160" w:after="70"/>
      </w:pPr>
      <w:r>
        <w:rPr>
          <w:b/>
          <w:bCs/>
          <w:color w:val="000000"/>
          <w:sz w:val="22"/>
          <w:szCs w:val="22"/>
        </w:rPr>
        <w:t>3.3  Hyperparameters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700"/>
        <w:gridCol w:w="2100"/>
        <w:gridCol w:w="2300"/>
      </w:tblGrid>
      <w:tr w:rsidR="00192DA0" w14:paraId="29071F0D" w14:textId="77777777">
        <w:tblPrEx>
          <w:tblCellMar>
            <w:top w:w="0" w:type="dxa"/>
            <w:bottom w:w="0" w:type="dxa"/>
          </w:tblCellMar>
        </w:tblPrEx>
        <w:trPr>
          <w:tblHeader/>
        </w:trPr>
        <w:tc>
          <w:tcPr>
            <w:tcW w:w="2100" w:type="dxa"/>
            <w:shd w:val="clear" w:color="auto" w:fill="EEEEEE"/>
            <w:tcMar>
              <w:top w:w="60" w:type="dxa"/>
              <w:left w:w="90" w:type="dxa"/>
              <w:bottom w:w="60" w:type="dxa"/>
              <w:right w:w="90" w:type="dxa"/>
            </w:tcMar>
          </w:tcPr>
          <w:p w14:paraId="538F85C5" w14:textId="77777777" w:rsidR="00192DA0" w:rsidRDefault="00000000">
            <w:r>
              <w:rPr>
                <w:b/>
                <w:bCs/>
                <w:sz w:val="19"/>
                <w:szCs w:val="19"/>
              </w:rPr>
              <w:t>Hyperparameter</w:t>
            </w:r>
          </w:p>
        </w:tc>
        <w:tc>
          <w:tcPr>
            <w:tcW w:w="2700" w:type="dxa"/>
            <w:shd w:val="clear" w:color="auto" w:fill="EEEEEE"/>
            <w:tcMar>
              <w:top w:w="60" w:type="dxa"/>
              <w:left w:w="90" w:type="dxa"/>
              <w:bottom w:w="60" w:type="dxa"/>
              <w:right w:w="90" w:type="dxa"/>
            </w:tcMar>
          </w:tcPr>
          <w:p w14:paraId="440BB0EE" w14:textId="77777777" w:rsidR="00192DA0" w:rsidRDefault="00000000">
            <w:r>
              <w:rPr>
                <w:b/>
                <w:bCs/>
                <w:sz w:val="19"/>
                <w:szCs w:val="19"/>
              </w:rPr>
              <w:t>Value</w:t>
            </w:r>
          </w:p>
        </w:tc>
        <w:tc>
          <w:tcPr>
            <w:tcW w:w="2100" w:type="dxa"/>
            <w:shd w:val="clear" w:color="auto" w:fill="EEEEEE"/>
            <w:tcMar>
              <w:top w:w="60" w:type="dxa"/>
              <w:left w:w="90" w:type="dxa"/>
              <w:bottom w:w="60" w:type="dxa"/>
              <w:right w:w="90" w:type="dxa"/>
            </w:tcMar>
          </w:tcPr>
          <w:p w14:paraId="0F8F768D" w14:textId="77777777" w:rsidR="00192DA0" w:rsidRDefault="00000000">
            <w:r>
              <w:rPr>
                <w:b/>
                <w:bCs/>
                <w:sz w:val="19"/>
                <w:szCs w:val="19"/>
              </w:rPr>
              <w:t>Hyperparameter</w:t>
            </w:r>
          </w:p>
        </w:tc>
        <w:tc>
          <w:tcPr>
            <w:tcW w:w="2300" w:type="dxa"/>
            <w:shd w:val="clear" w:color="auto" w:fill="EEEEEE"/>
            <w:tcMar>
              <w:top w:w="60" w:type="dxa"/>
              <w:left w:w="90" w:type="dxa"/>
              <w:bottom w:w="60" w:type="dxa"/>
              <w:right w:w="90" w:type="dxa"/>
            </w:tcMar>
          </w:tcPr>
          <w:p w14:paraId="0DC3BBC5" w14:textId="77777777" w:rsidR="00192DA0" w:rsidRDefault="00000000">
            <w:r>
              <w:rPr>
                <w:b/>
                <w:bCs/>
                <w:sz w:val="19"/>
                <w:szCs w:val="19"/>
              </w:rPr>
              <w:t>Value</w:t>
            </w:r>
          </w:p>
        </w:tc>
      </w:tr>
      <w:tr w:rsidR="00192DA0" w14:paraId="2CEEBE6B" w14:textId="77777777">
        <w:tblPrEx>
          <w:tblCellMar>
            <w:top w:w="0" w:type="dxa"/>
            <w:bottom w:w="0" w:type="dxa"/>
          </w:tblCellMar>
        </w:tblPrEx>
        <w:tc>
          <w:tcPr>
            <w:tcW w:w="2100" w:type="dxa"/>
            <w:tcMar>
              <w:top w:w="60" w:type="dxa"/>
              <w:left w:w="90" w:type="dxa"/>
              <w:bottom w:w="60" w:type="dxa"/>
              <w:right w:w="90" w:type="dxa"/>
            </w:tcMar>
          </w:tcPr>
          <w:p w14:paraId="113F0F31" w14:textId="77777777" w:rsidR="00192DA0" w:rsidRDefault="00000000">
            <w:r>
              <w:rPr>
                <w:sz w:val="19"/>
                <w:szCs w:val="19"/>
              </w:rPr>
              <w:t>Batch size</w:t>
            </w:r>
          </w:p>
        </w:tc>
        <w:tc>
          <w:tcPr>
            <w:tcW w:w="2700" w:type="dxa"/>
            <w:tcMar>
              <w:top w:w="60" w:type="dxa"/>
              <w:left w:w="90" w:type="dxa"/>
              <w:bottom w:w="60" w:type="dxa"/>
              <w:right w:w="90" w:type="dxa"/>
            </w:tcMar>
          </w:tcPr>
          <w:p w14:paraId="3B3679A2" w14:textId="77777777" w:rsidR="00192DA0" w:rsidRDefault="00000000">
            <w:r>
              <w:rPr>
                <w:sz w:val="19"/>
                <w:szCs w:val="19"/>
              </w:rPr>
              <w:t>64</w:t>
            </w:r>
          </w:p>
        </w:tc>
        <w:tc>
          <w:tcPr>
            <w:tcW w:w="2100" w:type="dxa"/>
            <w:tcMar>
              <w:top w:w="60" w:type="dxa"/>
              <w:left w:w="90" w:type="dxa"/>
              <w:bottom w:w="60" w:type="dxa"/>
              <w:right w:w="90" w:type="dxa"/>
            </w:tcMar>
          </w:tcPr>
          <w:p w14:paraId="33E5037C" w14:textId="77777777" w:rsidR="00192DA0" w:rsidRDefault="00000000">
            <w:r>
              <w:rPr>
                <w:sz w:val="19"/>
                <w:szCs w:val="19"/>
              </w:rPr>
              <w:t>Label smoothing</w:t>
            </w:r>
          </w:p>
        </w:tc>
        <w:tc>
          <w:tcPr>
            <w:tcW w:w="2300" w:type="dxa"/>
            <w:tcMar>
              <w:top w:w="60" w:type="dxa"/>
              <w:left w:w="90" w:type="dxa"/>
              <w:bottom w:w="60" w:type="dxa"/>
              <w:right w:w="90" w:type="dxa"/>
            </w:tcMar>
          </w:tcPr>
          <w:p w14:paraId="73C37865" w14:textId="77777777" w:rsidR="00192DA0" w:rsidRDefault="00000000">
            <w:r>
              <w:rPr>
                <w:sz w:val="19"/>
                <w:szCs w:val="19"/>
              </w:rPr>
              <w:t>0.1</w:t>
            </w:r>
          </w:p>
        </w:tc>
      </w:tr>
      <w:tr w:rsidR="00192DA0" w14:paraId="4C4D1E59" w14:textId="77777777">
        <w:tblPrEx>
          <w:tblCellMar>
            <w:top w:w="0" w:type="dxa"/>
            <w:bottom w:w="0" w:type="dxa"/>
          </w:tblCellMar>
        </w:tblPrEx>
        <w:tc>
          <w:tcPr>
            <w:tcW w:w="2100" w:type="dxa"/>
            <w:tcMar>
              <w:top w:w="60" w:type="dxa"/>
              <w:left w:w="90" w:type="dxa"/>
              <w:bottom w:w="60" w:type="dxa"/>
              <w:right w:w="90" w:type="dxa"/>
            </w:tcMar>
          </w:tcPr>
          <w:p w14:paraId="5E0BCEEF" w14:textId="77777777" w:rsidR="00192DA0" w:rsidRDefault="00000000">
            <w:r>
              <w:rPr>
                <w:sz w:val="19"/>
                <w:szCs w:val="19"/>
              </w:rPr>
              <w:t>Max epochs</w:t>
            </w:r>
          </w:p>
        </w:tc>
        <w:tc>
          <w:tcPr>
            <w:tcW w:w="2700" w:type="dxa"/>
            <w:tcMar>
              <w:top w:w="60" w:type="dxa"/>
              <w:left w:w="90" w:type="dxa"/>
              <w:bottom w:w="60" w:type="dxa"/>
              <w:right w:w="90" w:type="dxa"/>
            </w:tcMar>
          </w:tcPr>
          <w:p w14:paraId="060E8C48" w14:textId="77777777" w:rsidR="00192DA0" w:rsidRDefault="00000000">
            <w:r>
              <w:rPr>
                <w:sz w:val="19"/>
                <w:szCs w:val="19"/>
              </w:rPr>
              <w:t>40</w:t>
            </w:r>
          </w:p>
        </w:tc>
        <w:tc>
          <w:tcPr>
            <w:tcW w:w="2100" w:type="dxa"/>
            <w:tcMar>
              <w:top w:w="60" w:type="dxa"/>
              <w:left w:w="90" w:type="dxa"/>
              <w:bottom w:w="60" w:type="dxa"/>
              <w:right w:w="90" w:type="dxa"/>
            </w:tcMar>
          </w:tcPr>
          <w:p w14:paraId="77285762" w14:textId="77777777" w:rsidR="00192DA0" w:rsidRDefault="00000000">
            <w:r>
              <w:rPr>
                <w:sz w:val="19"/>
                <w:szCs w:val="19"/>
              </w:rPr>
              <w:t>Dropout</w:t>
            </w:r>
          </w:p>
        </w:tc>
        <w:tc>
          <w:tcPr>
            <w:tcW w:w="2300" w:type="dxa"/>
            <w:tcMar>
              <w:top w:w="60" w:type="dxa"/>
              <w:left w:w="90" w:type="dxa"/>
              <w:bottom w:w="60" w:type="dxa"/>
              <w:right w:w="90" w:type="dxa"/>
            </w:tcMar>
          </w:tcPr>
          <w:p w14:paraId="61AD3167" w14:textId="77777777" w:rsidR="00192DA0" w:rsidRDefault="00000000">
            <w:r>
              <w:rPr>
                <w:sz w:val="19"/>
                <w:szCs w:val="19"/>
              </w:rPr>
              <w:t>0.3</w:t>
            </w:r>
          </w:p>
        </w:tc>
      </w:tr>
      <w:tr w:rsidR="00192DA0" w14:paraId="0B124201" w14:textId="77777777">
        <w:tblPrEx>
          <w:tblCellMar>
            <w:top w:w="0" w:type="dxa"/>
            <w:bottom w:w="0" w:type="dxa"/>
          </w:tblCellMar>
        </w:tblPrEx>
        <w:tc>
          <w:tcPr>
            <w:tcW w:w="2100" w:type="dxa"/>
            <w:tcMar>
              <w:top w:w="60" w:type="dxa"/>
              <w:left w:w="90" w:type="dxa"/>
              <w:bottom w:w="60" w:type="dxa"/>
              <w:right w:w="90" w:type="dxa"/>
            </w:tcMar>
          </w:tcPr>
          <w:p w14:paraId="459225AE" w14:textId="77777777" w:rsidR="00192DA0" w:rsidRDefault="00000000">
            <w:r>
              <w:rPr>
                <w:sz w:val="19"/>
                <w:szCs w:val="19"/>
              </w:rPr>
              <w:t>Early-stop patience</w:t>
            </w:r>
          </w:p>
        </w:tc>
        <w:tc>
          <w:tcPr>
            <w:tcW w:w="2700" w:type="dxa"/>
            <w:tcMar>
              <w:top w:w="60" w:type="dxa"/>
              <w:left w:w="90" w:type="dxa"/>
              <w:bottom w:w="60" w:type="dxa"/>
              <w:right w:w="90" w:type="dxa"/>
            </w:tcMar>
          </w:tcPr>
          <w:p w14:paraId="12BC6CE4" w14:textId="77777777" w:rsidR="00192DA0" w:rsidRDefault="00000000">
            <w:r>
              <w:rPr>
                <w:sz w:val="19"/>
                <w:szCs w:val="19"/>
              </w:rPr>
              <w:t>6 epochs (dev BLEU)</w:t>
            </w:r>
          </w:p>
        </w:tc>
        <w:tc>
          <w:tcPr>
            <w:tcW w:w="2100" w:type="dxa"/>
            <w:tcMar>
              <w:top w:w="60" w:type="dxa"/>
              <w:left w:w="90" w:type="dxa"/>
              <w:bottom w:w="60" w:type="dxa"/>
              <w:right w:w="90" w:type="dxa"/>
            </w:tcMar>
          </w:tcPr>
          <w:p w14:paraId="61AA10C9" w14:textId="77777777" w:rsidR="00192DA0" w:rsidRDefault="00000000">
            <w:r>
              <w:rPr>
                <w:sz w:val="19"/>
                <w:szCs w:val="19"/>
              </w:rPr>
              <w:t>Gradient clipping</w:t>
            </w:r>
          </w:p>
        </w:tc>
        <w:tc>
          <w:tcPr>
            <w:tcW w:w="2300" w:type="dxa"/>
            <w:tcMar>
              <w:top w:w="60" w:type="dxa"/>
              <w:left w:w="90" w:type="dxa"/>
              <w:bottom w:w="60" w:type="dxa"/>
              <w:right w:w="90" w:type="dxa"/>
            </w:tcMar>
          </w:tcPr>
          <w:p w14:paraId="5452E46E" w14:textId="77777777" w:rsidR="00192DA0" w:rsidRDefault="00000000">
            <w:r>
              <w:rPr>
                <w:sz w:val="19"/>
                <w:szCs w:val="19"/>
              </w:rPr>
              <w:t>1.0 (global norm)</w:t>
            </w:r>
          </w:p>
        </w:tc>
      </w:tr>
      <w:tr w:rsidR="00192DA0" w14:paraId="433B9EB8" w14:textId="77777777">
        <w:tblPrEx>
          <w:tblCellMar>
            <w:top w:w="0" w:type="dxa"/>
            <w:bottom w:w="0" w:type="dxa"/>
          </w:tblCellMar>
        </w:tblPrEx>
        <w:tc>
          <w:tcPr>
            <w:tcW w:w="2100" w:type="dxa"/>
            <w:tcMar>
              <w:top w:w="60" w:type="dxa"/>
              <w:left w:w="90" w:type="dxa"/>
              <w:bottom w:w="60" w:type="dxa"/>
              <w:right w:w="90" w:type="dxa"/>
            </w:tcMar>
          </w:tcPr>
          <w:p w14:paraId="567AE55F" w14:textId="77777777" w:rsidR="00192DA0" w:rsidRDefault="00000000">
            <w:r>
              <w:rPr>
                <w:sz w:val="19"/>
                <w:szCs w:val="19"/>
              </w:rPr>
              <w:t>Optimizer</w:t>
            </w:r>
          </w:p>
        </w:tc>
        <w:tc>
          <w:tcPr>
            <w:tcW w:w="2700" w:type="dxa"/>
            <w:tcMar>
              <w:top w:w="60" w:type="dxa"/>
              <w:left w:w="90" w:type="dxa"/>
              <w:bottom w:w="60" w:type="dxa"/>
              <w:right w:w="90" w:type="dxa"/>
            </w:tcMar>
          </w:tcPr>
          <w:p w14:paraId="43BE5284" w14:textId="77777777" w:rsidR="00192DA0" w:rsidRDefault="00000000">
            <w:r>
              <w:rPr>
                <w:sz w:val="19"/>
                <w:szCs w:val="19"/>
              </w:rPr>
              <w:t>Adam (β₁=0.9, β₂=0.98, ε=1e-9)</w:t>
            </w:r>
          </w:p>
        </w:tc>
        <w:tc>
          <w:tcPr>
            <w:tcW w:w="2100" w:type="dxa"/>
            <w:tcMar>
              <w:top w:w="60" w:type="dxa"/>
              <w:left w:w="90" w:type="dxa"/>
              <w:bottom w:w="60" w:type="dxa"/>
              <w:right w:w="90" w:type="dxa"/>
            </w:tcMar>
          </w:tcPr>
          <w:p w14:paraId="77706618" w14:textId="77777777" w:rsidR="00192DA0" w:rsidRDefault="00000000">
            <w:r>
              <w:rPr>
                <w:sz w:val="19"/>
                <w:szCs w:val="19"/>
              </w:rPr>
              <w:t>Beam size / α</w:t>
            </w:r>
          </w:p>
        </w:tc>
        <w:tc>
          <w:tcPr>
            <w:tcW w:w="2300" w:type="dxa"/>
            <w:tcMar>
              <w:top w:w="60" w:type="dxa"/>
              <w:left w:w="90" w:type="dxa"/>
              <w:bottom w:w="60" w:type="dxa"/>
              <w:right w:w="90" w:type="dxa"/>
            </w:tcMar>
          </w:tcPr>
          <w:p w14:paraId="2E09A640" w14:textId="77777777" w:rsidR="00192DA0" w:rsidRDefault="00000000">
            <w:r>
              <w:rPr>
                <w:sz w:val="19"/>
                <w:szCs w:val="19"/>
              </w:rPr>
              <w:t>5 / 0.7</w:t>
            </w:r>
          </w:p>
        </w:tc>
      </w:tr>
      <w:tr w:rsidR="00192DA0" w14:paraId="0811D9B8" w14:textId="77777777">
        <w:tblPrEx>
          <w:tblCellMar>
            <w:top w:w="0" w:type="dxa"/>
            <w:bottom w:w="0" w:type="dxa"/>
          </w:tblCellMar>
        </w:tblPrEx>
        <w:tc>
          <w:tcPr>
            <w:tcW w:w="2100" w:type="dxa"/>
            <w:tcMar>
              <w:top w:w="60" w:type="dxa"/>
              <w:left w:w="90" w:type="dxa"/>
              <w:bottom w:w="60" w:type="dxa"/>
              <w:right w:w="90" w:type="dxa"/>
            </w:tcMar>
          </w:tcPr>
          <w:p w14:paraId="6144DEE5" w14:textId="77777777" w:rsidR="00192DA0" w:rsidRDefault="00000000">
            <w:r>
              <w:rPr>
                <w:sz w:val="19"/>
                <w:szCs w:val="19"/>
              </w:rPr>
              <w:t>LR schedule</w:t>
            </w:r>
          </w:p>
        </w:tc>
        <w:tc>
          <w:tcPr>
            <w:tcW w:w="2700" w:type="dxa"/>
            <w:tcMar>
              <w:top w:w="60" w:type="dxa"/>
              <w:left w:w="90" w:type="dxa"/>
              <w:bottom w:w="60" w:type="dxa"/>
              <w:right w:w="90" w:type="dxa"/>
            </w:tcMar>
          </w:tcPr>
          <w:p w14:paraId="2A27E02B" w14:textId="77777777" w:rsidR="00192DA0" w:rsidRDefault="00000000">
            <w:r>
              <w:rPr>
                <w:sz w:val="19"/>
                <w:szCs w:val="19"/>
              </w:rPr>
              <w:t>Noam, warmup 4000 steps</w:t>
            </w:r>
          </w:p>
        </w:tc>
        <w:tc>
          <w:tcPr>
            <w:tcW w:w="2100" w:type="dxa"/>
            <w:tcMar>
              <w:top w:w="60" w:type="dxa"/>
              <w:left w:w="90" w:type="dxa"/>
              <w:bottom w:w="60" w:type="dxa"/>
              <w:right w:w="90" w:type="dxa"/>
            </w:tcMar>
          </w:tcPr>
          <w:p w14:paraId="56CF9774" w14:textId="77777777" w:rsidR="00192DA0" w:rsidRDefault="00000000">
            <w:r>
              <w:rPr>
                <w:sz w:val="19"/>
                <w:szCs w:val="19"/>
              </w:rPr>
              <w:t>Max length</w:t>
            </w:r>
          </w:p>
        </w:tc>
        <w:tc>
          <w:tcPr>
            <w:tcW w:w="2300" w:type="dxa"/>
            <w:tcMar>
              <w:top w:w="60" w:type="dxa"/>
              <w:left w:w="90" w:type="dxa"/>
              <w:bottom w:w="60" w:type="dxa"/>
              <w:right w:w="90" w:type="dxa"/>
            </w:tcMar>
          </w:tcPr>
          <w:p w14:paraId="74F22211" w14:textId="77777777" w:rsidR="00192DA0" w:rsidRDefault="00000000">
            <w:r>
              <w:rPr>
                <w:sz w:val="19"/>
                <w:szCs w:val="19"/>
              </w:rPr>
              <w:t xml:space="preserve">128 </w:t>
            </w:r>
            <w:proofErr w:type="spellStart"/>
            <w:r>
              <w:rPr>
                <w:sz w:val="19"/>
                <w:szCs w:val="19"/>
              </w:rPr>
              <w:t>subwords</w:t>
            </w:r>
            <w:proofErr w:type="spellEnd"/>
          </w:p>
        </w:tc>
      </w:tr>
    </w:tbl>
    <w:p w14:paraId="2FDA1EEB" w14:textId="77777777" w:rsidR="00192DA0" w:rsidRDefault="00000000">
      <w:pPr>
        <w:spacing w:before="60" w:after="160"/>
        <w:jc w:val="center"/>
      </w:pPr>
      <w:r>
        <w:rPr>
          <w:color w:val="444444"/>
          <w:sz w:val="18"/>
          <w:szCs w:val="18"/>
        </w:rPr>
        <w:t>Table 2: Training hyperparameters.</w:t>
      </w:r>
    </w:p>
    <w:p w14:paraId="5DE0E440" w14:textId="77777777" w:rsidR="00192DA0" w:rsidRDefault="00000000">
      <w:pPr>
        <w:pStyle w:val="Heading2"/>
        <w:spacing w:before="160" w:after="70"/>
      </w:pPr>
      <w:r>
        <w:rPr>
          <w:b/>
          <w:bCs/>
          <w:color w:val="000000"/>
          <w:sz w:val="22"/>
          <w:szCs w:val="22"/>
        </w:rPr>
        <w:t>3.4  Optimization</w:t>
      </w:r>
    </w:p>
    <w:p w14:paraId="17A16503" w14:textId="77777777" w:rsidR="00192DA0" w:rsidRDefault="00000000">
      <w:pPr>
        <w:spacing w:after="100" w:line="264" w:lineRule="auto"/>
        <w:jc w:val="both"/>
      </w:pPr>
      <w:r>
        <w:t xml:space="preserve">Training minimizes token-level cross-entropy with label smoothing 0.1, ignoring padding positions, under teacher forcing (the decoder input is the gold target shifted right). The learning rate follows the Noam schedule of the original Transformer paper — </w:t>
      </w:r>
      <w:proofErr w:type="spellStart"/>
      <w:r>
        <w:t>lr</w:t>
      </w:r>
      <w:proofErr w:type="spellEnd"/>
      <w:r>
        <w:t xml:space="preserve"> = </w:t>
      </w:r>
      <w:proofErr w:type="spellStart"/>
      <w:r>
        <w:t>d_model</w:t>
      </w:r>
      <w:proofErr w:type="spellEnd"/>
      <w:r>
        <w:t>^−0.5 · min(step^−0.5, step · warmup^−1.5) with 4,000 warmup steps — which ramps up linearly and then decays as the inverse square root of the step count. Gradients are clipped to a global norm of 1.0. After every epoch, development BLEU is computed with greedy decoding; the checkpoint with the best dev BLEU is kept, and training stops early after 6 epochs without improvement. In our run, dev BLEU kept improving within the patience window, so training completed the full 40 epochs in 34.1 minutes on a T4; the best checkpoint (greedy dev BLEU 6.85, at epoch 37) was restored for evaluation.</w:t>
      </w:r>
    </w:p>
    <w:p w14:paraId="25ACDDF0" w14:textId="77777777" w:rsidR="00192DA0" w:rsidRDefault="00000000">
      <w:pPr>
        <w:pStyle w:val="Heading2"/>
        <w:spacing w:before="160" w:after="70"/>
      </w:pPr>
      <w:r>
        <w:rPr>
          <w:b/>
          <w:bCs/>
          <w:color w:val="000000"/>
          <w:sz w:val="22"/>
          <w:szCs w:val="22"/>
        </w:rPr>
        <w:t>3.5  Regularization</w:t>
      </w:r>
    </w:p>
    <w:p w14:paraId="73CAFC5A" w14:textId="77777777" w:rsidR="00192DA0" w:rsidRDefault="00000000">
      <w:pPr>
        <w:spacing w:after="100" w:line="264" w:lineRule="auto"/>
        <w:jc w:val="both"/>
      </w:pPr>
      <w:r>
        <w:lastRenderedPageBreak/>
        <w:t>Four mechanisms guard against overfitting the 10k-pair corpus: dropout 0.3 applied to embeddings, attention weights, feed-forward and residual branches; label smoothing 0.1; early stopping on dev BLEU; and weight tying, which reduces the number of free parameters. The relatively high dropout is intentional given the small dataset relative to model capacity.</w:t>
      </w:r>
    </w:p>
    <w:p w14:paraId="4D40036D" w14:textId="77777777" w:rsidR="00192DA0" w:rsidRDefault="00000000">
      <w:pPr>
        <w:pStyle w:val="Heading1"/>
        <w:spacing w:before="220" w:after="90"/>
      </w:pPr>
      <w:r>
        <w:rPr>
          <w:b/>
          <w:bCs/>
          <w:color w:val="000000"/>
          <w:sz w:val="25"/>
          <w:szCs w:val="25"/>
        </w:rPr>
        <w:t>4  Results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00"/>
        <w:gridCol w:w="2000"/>
      </w:tblGrid>
      <w:tr w:rsidR="00192DA0" w14:paraId="37AB5304" w14:textId="77777777">
        <w:tblPrEx>
          <w:tblCellMar>
            <w:top w:w="0" w:type="dxa"/>
            <w:bottom w:w="0" w:type="dxa"/>
          </w:tblCellMar>
        </w:tblPrEx>
        <w:trPr>
          <w:tblHeader/>
        </w:trPr>
        <w:tc>
          <w:tcPr>
            <w:tcW w:w="5200" w:type="dxa"/>
            <w:shd w:val="clear" w:color="auto" w:fill="EEEEEE"/>
            <w:tcMar>
              <w:top w:w="60" w:type="dxa"/>
              <w:left w:w="90" w:type="dxa"/>
              <w:bottom w:w="60" w:type="dxa"/>
              <w:right w:w="90" w:type="dxa"/>
            </w:tcMar>
          </w:tcPr>
          <w:p w14:paraId="2BD05AD2" w14:textId="77777777" w:rsidR="00192DA0" w:rsidRDefault="00000000">
            <w:r>
              <w:rPr>
                <w:b/>
                <w:bCs/>
                <w:sz w:val="19"/>
                <w:szCs w:val="19"/>
              </w:rPr>
              <w:t>Metric</w:t>
            </w:r>
          </w:p>
        </w:tc>
        <w:tc>
          <w:tcPr>
            <w:tcW w:w="2000" w:type="dxa"/>
            <w:shd w:val="clear" w:color="auto" w:fill="EEEEEE"/>
            <w:tcMar>
              <w:top w:w="60" w:type="dxa"/>
              <w:left w:w="90" w:type="dxa"/>
              <w:bottom w:w="60" w:type="dxa"/>
              <w:right w:w="90" w:type="dxa"/>
            </w:tcMar>
          </w:tcPr>
          <w:p w14:paraId="7338E52E" w14:textId="77777777" w:rsidR="00192DA0" w:rsidRDefault="00000000">
            <w:r>
              <w:rPr>
                <w:b/>
                <w:bCs/>
                <w:sz w:val="19"/>
                <w:szCs w:val="19"/>
              </w:rPr>
              <w:t>Dev</w:t>
            </w:r>
          </w:p>
        </w:tc>
        <w:tc>
          <w:tcPr>
            <w:tcW w:w="2000" w:type="dxa"/>
            <w:shd w:val="clear" w:color="auto" w:fill="EEEEEE"/>
            <w:tcMar>
              <w:top w:w="60" w:type="dxa"/>
              <w:left w:w="90" w:type="dxa"/>
              <w:bottom w:w="60" w:type="dxa"/>
              <w:right w:w="90" w:type="dxa"/>
            </w:tcMar>
          </w:tcPr>
          <w:p w14:paraId="68BD0D12" w14:textId="77777777" w:rsidR="00192DA0" w:rsidRDefault="00000000">
            <w:r>
              <w:rPr>
                <w:b/>
                <w:bCs/>
                <w:sz w:val="19"/>
                <w:szCs w:val="19"/>
              </w:rPr>
              <w:t>Test</w:t>
            </w:r>
          </w:p>
        </w:tc>
      </w:tr>
      <w:tr w:rsidR="00192DA0" w14:paraId="270B170C" w14:textId="77777777">
        <w:tblPrEx>
          <w:tblCellMar>
            <w:top w:w="0" w:type="dxa"/>
            <w:bottom w:w="0" w:type="dxa"/>
          </w:tblCellMar>
        </w:tblPrEx>
        <w:tc>
          <w:tcPr>
            <w:tcW w:w="5200" w:type="dxa"/>
            <w:tcMar>
              <w:top w:w="60" w:type="dxa"/>
              <w:left w:w="90" w:type="dxa"/>
              <w:bottom w:w="60" w:type="dxa"/>
              <w:right w:w="90" w:type="dxa"/>
            </w:tcMar>
          </w:tcPr>
          <w:p w14:paraId="429C945F" w14:textId="77777777" w:rsidR="00192DA0" w:rsidRDefault="00000000">
            <w:r>
              <w:rPr>
                <w:sz w:val="19"/>
                <w:szCs w:val="19"/>
              </w:rPr>
              <w:t xml:space="preserve">BLEU (NLTK </w:t>
            </w:r>
            <w:proofErr w:type="spellStart"/>
            <w:r>
              <w:rPr>
                <w:sz w:val="19"/>
                <w:szCs w:val="19"/>
              </w:rPr>
              <w:t>corpus_bleu</w:t>
            </w:r>
            <w:proofErr w:type="spellEnd"/>
            <w:r>
              <w:rPr>
                <w:sz w:val="19"/>
                <w:szCs w:val="19"/>
              </w:rPr>
              <w:t>, default 4-gram weights)</w:t>
            </w:r>
          </w:p>
        </w:tc>
        <w:tc>
          <w:tcPr>
            <w:tcW w:w="2000" w:type="dxa"/>
            <w:tcMar>
              <w:top w:w="60" w:type="dxa"/>
              <w:left w:w="90" w:type="dxa"/>
              <w:bottom w:w="60" w:type="dxa"/>
              <w:right w:w="90" w:type="dxa"/>
            </w:tcMar>
          </w:tcPr>
          <w:p w14:paraId="0BF4EB23" w14:textId="77777777" w:rsidR="00192DA0" w:rsidRDefault="00000000">
            <w:r>
              <w:rPr>
                <w:sz w:val="19"/>
                <w:szCs w:val="19"/>
              </w:rPr>
              <w:t>7.55</w:t>
            </w:r>
          </w:p>
        </w:tc>
        <w:tc>
          <w:tcPr>
            <w:tcW w:w="2000" w:type="dxa"/>
            <w:tcMar>
              <w:top w:w="60" w:type="dxa"/>
              <w:left w:w="90" w:type="dxa"/>
              <w:bottom w:w="60" w:type="dxa"/>
              <w:right w:w="90" w:type="dxa"/>
            </w:tcMar>
          </w:tcPr>
          <w:p w14:paraId="4DED6366" w14:textId="77777777" w:rsidR="00192DA0" w:rsidRDefault="00000000">
            <w:r>
              <w:rPr>
                <w:sz w:val="19"/>
                <w:szCs w:val="19"/>
              </w:rPr>
              <w:t>7.47</w:t>
            </w:r>
          </w:p>
        </w:tc>
      </w:tr>
      <w:tr w:rsidR="00192DA0" w14:paraId="23127D81" w14:textId="77777777">
        <w:tblPrEx>
          <w:tblCellMar>
            <w:top w:w="0" w:type="dxa"/>
            <w:bottom w:w="0" w:type="dxa"/>
          </w:tblCellMar>
        </w:tblPrEx>
        <w:tc>
          <w:tcPr>
            <w:tcW w:w="5200" w:type="dxa"/>
            <w:tcMar>
              <w:top w:w="60" w:type="dxa"/>
              <w:left w:w="90" w:type="dxa"/>
              <w:bottom w:w="60" w:type="dxa"/>
              <w:right w:w="90" w:type="dxa"/>
            </w:tcMar>
          </w:tcPr>
          <w:p w14:paraId="6F7FFCC6" w14:textId="77777777" w:rsidR="00192DA0" w:rsidRDefault="00000000">
            <w:proofErr w:type="spellStart"/>
            <w:r>
              <w:rPr>
                <w:sz w:val="19"/>
                <w:szCs w:val="19"/>
              </w:rPr>
              <w:t>BERTScore</w:t>
            </w:r>
            <w:proofErr w:type="spellEnd"/>
            <w:r>
              <w:rPr>
                <w:sz w:val="19"/>
                <w:szCs w:val="19"/>
              </w:rPr>
              <w:t xml:space="preserve"> F1 (</w:t>
            </w:r>
            <w:proofErr w:type="spellStart"/>
            <w:r>
              <w:rPr>
                <w:sz w:val="19"/>
                <w:szCs w:val="19"/>
              </w:rPr>
              <w:t>roberta</w:t>
            </w:r>
            <w:proofErr w:type="spellEnd"/>
            <w:r>
              <w:rPr>
                <w:sz w:val="19"/>
                <w:szCs w:val="19"/>
              </w:rPr>
              <w:t xml:space="preserve">-large, </w:t>
            </w:r>
            <w:proofErr w:type="spellStart"/>
            <w:r>
              <w:rPr>
                <w:sz w:val="19"/>
                <w:szCs w:val="19"/>
              </w:rPr>
              <w:t>rescale_with_baseline</w:t>
            </w:r>
            <w:proofErr w:type="spellEnd"/>
            <w:r>
              <w:rPr>
                <w:sz w:val="19"/>
                <w:szCs w:val="19"/>
              </w:rPr>
              <w:t>=True)</w:t>
            </w:r>
          </w:p>
        </w:tc>
        <w:tc>
          <w:tcPr>
            <w:tcW w:w="2000" w:type="dxa"/>
            <w:tcMar>
              <w:top w:w="60" w:type="dxa"/>
              <w:left w:w="90" w:type="dxa"/>
              <w:bottom w:w="60" w:type="dxa"/>
              <w:right w:w="90" w:type="dxa"/>
            </w:tcMar>
          </w:tcPr>
          <w:p w14:paraId="1C113AD5" w14:textId="77777777" w:rsidR="00192DA0" w:rsidRDefault="00000000">
            <w:r>
              <w:rPr>
                <w:sz w:val="19"/>
                <w:szCs w:val="19"/>
              </w:rPr>
              <w:t>0.3186</w:t>
            </w:r>
          </w:p>
        </w:tc>
        <w:tc>
          <w:tcPr>
            <w:tcW w:w="2000" w:type="dxa"/>
            <w:tcMar>
              <w:top w:w="60" w:type="dxa"/>
              <w:left w:w="90" w:type="dxa"/>
              <w:bottom w:w="60" w:type="dxa"/>
              <w:right w:w="90" w:type="dxa"/>
            </w:tcMar>
          </w:tcPr>
          <w:p w14:paraId="5C0ABD71" w14:textId="77777777" w:rsidR="00192DA0" w:rsidRDefault="00000000">
            <w:r>
              <w:rPr>
                <w:sz w:val="19"/>
                <w:szCs w:val="19"/>
              </w:rPr>
              <w:t>0.3229</w:t>
            </w:r>
          </w:p>
        </w:tc>
      </w:tr>
      <w:tr w:rsidR="00192DA0" w14:paraId="40186C08" w14:textId="77777777">
        <w:tblPrEx>
          <w:tblCellMar>
            <w:top w:w="0" w:type="dxa"/>
            <w:bottom w:w="0" w:type="dxa"/>
          </w:tblCellMar>
        </w:tblPrEx>
        <w:tc>
          <w:tcPr>
            <w:tcW w:w="5200" w:type="dxa"/>
            <w:tcMar>
              <w:top w:w="60" w:type="dxa"/>
              <w:left w:w="90" w:type="dxa"/>
              <w:bottom w:w="60" w:type="dxa"/>
              <w:right w:w="90" w:type="dxa"/>
            </w:tcMar>
          </w:tcPr>
          <w:p w14:paraId="17659575" w14:textId="77777777" w:rsidR="00192DA0" w:rsidRDefault="00000000">
            <w:r>
              <w:rPr>
                <w:sz w:val="19"/>
                <w:szCs w:val="19"/>
              </w:rPr>
              <w:t>Inference time, full set, beam=5 (s)</w:t>
            </w:r>
          </w:p>
        </w:tc>
        <w:tc>
          <w:tcPr>
            <w:tcW w:w="2000" w:type="dxa"/>
            <w:tcMar>
              <w:top w:w="60" w:type="dxa"/>
              <w:left w:w="90" w:type="dxa"/>
              <w:bottom w:w="60" w:type="dxa"/>
              <w:right w:w="90" w:type="dxa"/>
            </w:tcMar>
          </w:tcPr>
          <w:p w14:paraId="2F2369F2" w14:textId="77777777" w:rsidR="00192DA0" w:rsidRDefault="00000000">
            <w:r>
              <w:rPr>
                <w:sz w:val="19"/>
                <w:szCs w:val="19"/>
              </w:rPr>
              <w:t>—</w:t>
            </w:r>
          </w:p>
        </w:tc>
        <w:tc>
          <w:tcPr>
            <w:tcW w:w="2000" w:type="dxa"/>
            <w:tcMar>
              <w:top w:w="60" w:type="dxa"/>
              <w:left w:w="90" w:type="dxa"/>
              <w:bottom w:w="60" w:type="dxa"/>
              <w:right w:w="90" w:type="dxa"/>
            </w:tcMar>
          </w:tcPr>
          <w:p w14:paraId="7CA4247B" w14:textId="77777777" w:rsidR="00192DA0" w:rsidRDefault="00000000">
            <w:r>
              <w:rPr>
                <w:sz w:val="19"/>
                <w:szCs w:val="19"/>
              </w:rPr>
              <w:t>140.01</w:t>
            </w:r>
          </w:p>
        </w:tc>
      </w:tr>
      <w:tr w:rsidR="00192DA0" w14:paraId="07D887F6" w14:textId="77777777">
        <w:tblPrEx>
          <w:tblCellMar>
            <w:top w:w="0" w:type="dxa"/>
            <w:bottom w:w="0" w:type="dxa"/>
          </w:tblCellMar>
        </w:tblPrEx>
        <w:tc>
          <w:tcPr>
            <w:tcW w:w="5200" w:type="dxa"/>
            <w:tcMar>
              <w:top w:w="60" w:type="dxa"/>
              <w:left w:w="90" w:type="dxa"/>
              <w:bottom w:w="60" w:type="dxa"/>
              <w:right w:w="90" w:type="dxa"/>
            </w:tcMar>
          </w:tcPr>
          <w:p w14:paraId="03F557BC" w14:textId="77777777" w:rsidR="00192DA0" w:rsidRDefault="00000000">
            <w:r>
              <w:rPr>
                <w:sz w:val="19"/>
                <w:szCs w:val="19"/>
              </w:rPr>
              <w:t>Inference time per sentence (</w:t>
            </w:r>
            <w:proofErr w:type="spellStart"/>
            <w:r>
              <w:rPr>
                <w:sz w:val="19"/>
                <w:szCs w:val="19"/>
              </w:rPr>
              <w:t>ms</w:t>
            </w:r>
            <w:proofErr w:type="spellEnd"/>
            <w:r>
              <w:rPr>
                <w:sz w:val="19"/>
                <w:szCs w:val="19"/>
              </w:rPr>
              <w:t>)</w:t>
            </w:r>
          </w:p>
        </w:tc>
        <w:tc>
          <w:tcPr>
            <w:tcW w:w="2000" w:type="dxa"/>
            <w:tcMar>
              <w:top w:w="60" w:type="dxa"/>
              <w:left w:w="90" w:type="dxa"/>
              <w:bottom w:w="60" w:type="dxa"/>
              <w:right w:w="90" w:type="dxa"/>
            </w:tcMar>
          </w:tcPr>
          <w:p w14:paraId="76337F31" w14:textId="77777777" w:rsidR="00192DA0" w:rsidRDefault="00000000">
            <w:r>
              <w:rPr>
                <w:sz w:val="19"/>
                <w:szCs w:val="19"/>
              </w:rPr>
              <w:t>—</w:t>
            </w:r>
          </w:p>
        </w:tc>
        <w:tc>
          <w:tcPr>
            <w:tcW w:w="2000" w:type="dxa"/>
            <w:tcMar>
              <w:top w:w="60" w:type="dxa"/>
              <w:left w:w="90" w:type="dxa"/>
              <w:bottom w:w="60" w:type="dxa"/>
              <w:right w:w="90" w:type="dxa"/>
            </w:tcMar>
          </w:tcPr>
          <w:p w14:paraId="30A367F9" w14:textId="77777777" w:rsidR="00192DA0" w:rsidRDefault="00000000">
            <w:r>
              <w:rPr>
                <w:sz w:val="19"/>
                <w:szCs w:val="19"/>
              </w:rPr>
              <w:t>140.0</w:t>
            </w:r>
          </w:p>
        </w:tc>
      </w:tr>
      <w:tr w:rsidR="00192DA0" w14:paraId="7FE2060F" w14:textId="77777777">
        <w:tblPrEx>
          <w:tblCellMar>
            <w:top w:w="0" w:type="dxa"/>
            <w:bottom w:w="0" w:type="dxa"/>
          </w:tblCellMar>
        </w:tblPrEx>
        <w:tc>
          <w:tcPr>
            <w:tcW w:w="5200" w:type="dxa"/>
            <w:tcMar>
              <w:top w:w="60" w:type="dxa"/>
              <w:left w:w="90" w:type="dxa"/>
              <w:bottom w:w="60" w:type="dxa"/>
              <w:right w:w="90" w:type="dxa"/>
            </w:tcMar>
          </w:tcPr>
          <w:p w14:paraId="18E4AD4E" w14:textId="77777777" w:rsidR="00192DA0" w:rsidRDefault="00000000">
            <w:r>
              <w:rPr>
                <w:sz w:val="19"/>
                <w:szCs w:val="19"/>
              </w:rPr>
              <w:t>Total parameters</w:t>
            </w:r>
          </w:p>
        </w:tc>
        <w:tc>
          <w:tcPr>
            <w:tcW w:w="2000" w:type="dxa"/>
            <w:tcMar>
              <w:top w:w="60" w:type="dxa"/>
              <w:left w:w="90" w:type="dxa"/>
              <w:bottom w:w="60" w:type="dxa"/>
              <w:right w:w="90" w:type="dxa"/>
            </w:tcMar>
          </w:tcPr>
          <w:p w14:paraId="17D94103" w14:textId="77777777" w:rsidR="00192DA0" w:rsidRDefault="00000000">
            <w:r>
              <w:rPr>
                <w:sz w:val="19"/>
                <w:szCs w:val="19"/>
              </w:rPr>
              <w:t>11,469,824</w:t>
            </w:r>
          </w:p>
        </w:tc>
        <w:tc>
          <w:tcPr>
            <w:tcW w:w="2000" w:type="dxa"/>
            <w:tcMar>
              <w:top w:w="60" w:type="dxa"/>
              <w:left w:w="90" w:type="dxa"/>
              <w:bottom w:w="60" w:type="dxa"/>
              <w:right w:w="90" w:type="dxa"/>
            </w:tcMar>
          </w:tcPr>
          <w:p w14:paraId="049FC1FF" w14:textId="77777777" w:rsidR="00192DA0" w:rsidRDefault="00000000">
            <w:r>
              <w:rPr>
                <w:sz w:val="19"/>
                <w:szCs w:val="19"/>
              </w:rPr>
              <w:t>(same)</w:t>
            </w:r>
          </w:p>
        </w:tc>
      </w:tr>
    </w:tbl>
    <w:p w14:paraId="1D0F7705" w14:textId="77777777" w:rsidR="00192DA0" w:rsidRDefault="00000000">
      <w:pPr>
        <w:spacing w:before="60" w:after="160"/>
        <w:jc w:val="center"/>
      </w:pPr>
      <w:r>
        <w:rPr>
          <w:color w:val="444444"/>
          <w:sz w:val="18"/>
          <w:szCs w:val="18"/>
        </w:rPr>
        <w:t xml:space="preserve">Table 3: Final results. BLEU uses NLTK </w:t>
      </w:r>
      <w:proofErr w:type="spellStart"/>
      <w:r>
        <w:rPr>
          <w:color w:val="444444"/>
          <w:sz w:val="18"/>
          <w:szCs w:val="18"/>
        </w:rPr>
        <w:t>corpus_bleu</w:t>
      </w:r>
      <w:proofErr w:type="spellEnd"/>
      <w:r>
        <w:rPr>
          <w:color w:val="444444"/>
          <w:sz w:val="18"/>
          <w:szCs w:val="18"/>
        </w:rPr>
        <w:t xml:space="preserve"> with default weights; </w:t>
      </w:r>
      <w:proofErr w:type="spellStart"/>
      <w:r>
        <w:rPr>
          <w:color w:val="444444"/>
          <w:sz w:val="18"/>
          <w:szCs w:val="18"/>
        </w:rPr>
        <w:t>BERTScore</w:t>
      </w:r>
      <w:proofErr w:type="spellEnd"/>
      <w:r>
        <w:rPr>
          <w:color w:val="444444"/>
          <w:sz w:val="18"/>
          <w:szCs w:val="18"/>
        </w:rPr>
        <w:t xml:space="preserve"> F1 uses baseline rescaling. Inference time is wall-clock over the entire test set on a </w:t>
      </w:r>
      <w:proofErr w:type="spellStart"/>
      <w:r>
        <w:rPr>
          <w:color w:val="444444"/>
          <w:sz w:val="18"/>
          <w:szCs w:val="18"/>
        </w:rPr>
        <w:t>Colab</w:t>
      </w:r>
      <w:proofErr w:type="spellEnd"/>
      <w:r>
        <w:rPr>
          <w:color w:val="444444"/>
          <w:sz w:val="18"/>
          <w:szCs w:val="18"/>
        </w:rPr>
        <w:t xml:space="preserve"> T4, beam-search generation only (CUDA-synchronized).</w:t>
      </w:r>
    </w:p>
    <w:p w14:paraId="7555C12C" w14:textId="77777777" w:rsidR="00192DA0" w:rsidRDefault="00000000">
      <w:pPr>
        <w:spacing w:after="100" w:line="264" w:lineRule="auto"/>
        <w:jc w:val="both"/>
      </w:pPr>
      <w:r>
        <w:t xml:space="preserve">Both metrics are reported because they capture complementary properties: BLEU measures exact n-gram overlap and penalizes lexical variation, which is common when translating from a morphologically rich language, while </w:t>
      </w:r>
      <w:proofErr w:type="spellStart"/>
      <w:r>
        <w:t>BERTScore</w:t>
      </w:r>
      <w:proofErr w:type="spellEnd"/>
      <w:r>
        <w:t xml:space="preserve"> measures semantic similarity in contextual embedding space and credits paraphrases. Dev and test scores are close (7.55 vs 7.47 BLEU; 0.3186 vs 0.3229 </w:t>
      </w:r>
      <w:proofErr w:type="spellStart"/>
      <w:r>
        <w:t>BERTScore</w:t>
      </w:r>
      <w:proofErr w:type="spellEnd"/>
      <w:r>
        <w:t xml:space="preserve"> F1), indicating that model selection on the development set did not overfit and that the two splits are similarly distributed. The absolute scores are modest, as expected for an 11.5M-parameter model trained from scratch on only 10,000 pairs of a morphologically complex language, but the positive rescaled </w:t>
      </w:r>
      <w:proofErr w:type="spellStart"/>
      <w:r>
        <w:t>BERTScore</w:t>
      </w:r>
      <w:proofErr w:type="spellEnd"/>
      <w:r>
        <w:t xml:space="preserve"> confirms the outputs carry genuine semantic overlap with the references. The efficiency numbers are the two quantities scored by the assignment: 11,469,824 parameters and 140.01 s total beam-5 inference over the 1,000-sentence test set (140.0 </w:t>
      </w:r>
      <w:proofErr w:type="spellStart"/>
      <w:r>
        <w:t>ms</w:t>
      </w:r>
      <w:proofErr w:type="spellEnd"/>
      <w:r>
        <w:t>/sentence).</w:t>
      </w:r>
    </w:p>
    <w:p w14:paraId="75E0A453" w14:textId="77777777" w:rsidR="00192DA0" w:rsidRDefault="00000000">
      <w:pPr>
        <w:pStyle w:val="Heading2"/>
        <w:spacing w:before="160" w:after="70"/>
      </w:pPr>
      <w:r>
        <w:rPr>
          <w:b/>
          <w:bCs/>
          <w:color w:val="000000"/>
          <w:sz w:val="22"/>
          <w:szCs w:val="22"/>
        </w:rPr>
        <w:t>4.1  Training curves</w:t>
      </w:r>
    </w:p>
    <w:p w14:paraId="460D015C" w14:textId="77777777" w:rsidR="00192DA0" w:rsidRDefault="00000000">
      <w:pPr>
        <w:spacing w:before="120" w:after="60"/>
        <w:jc w:val="center"/>
      </w:pPr>
      <w:r>
        <w:rPr>
          <w:noProof/>
        </w:rPr>
        <w:drawing>
          <wp:inline distT="0" distB="0" distL="0" distR="0" wp14:anchorId="713531B8" wp14:editId="20C1502A">
            <wp:extent cx="5905500" cy="1933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1933575"/>
                    </a:xfrm>
                    <a:prstGeom prst="rect">
                      <a:avLst/>
                    </a:prstGeom>
                  </pic:spPr>
                </pic:pic>
              </a:graphicData>
            </a:graphic>
          </wp:inline>
        </w:drawing>
      </w:r>
    </w:p>
    <w:p w14:paraId="7BF9EDFA" w14:textId="77777777" w:rsidR="00192DA0" w:rsidRDefault="00000000">
      <w:pPr>
        <w:spacing w:before="60" w:after="160"/>
        <w:jc w:val="center"/>
      </w:pPr>
      <w:r>
        <w:rPr>
          <w:color w:val="444444"/>
          <w:sz w:val="18"/>
          <w:szCs w:val="18"/>
        </w:rPr>
        <w:t>Figure 1: Training loss (left) and development BLEU (right) per epoch.</w:t>
      </w:r>
    </w:p>
    <w:p w14:paraId="3E2B7B91" w14:textId="77777777" w:rsidR="00192DA0" w:rsidRDefault="00000000">
      <w:pPr>
        <w:spacing w:after="100" w:line="264" w:lineRule="auto"/>
        <w:jc w:val="both"/>
      </w:pPr>
      <w:r>
        <w:t>Training cross-entropy falls smoothly from 8.67 to 3.17 over 40 epochs. Dev BLEU stays at 0 for the first seven epochs — during learning-rate warmup the model still produces degenerate output with no 4-gram overlap with the references — then rises steadily once the schedule peaks (around epoch 25), and plateaus at 6.4–6.9 from epoch 33 onward, peaking at 6.85 (greedy) at epoch 37. The widening gap between the still-decreasing training loss and the plateauing dev BLEU after epoch ~33 is the expected mild overfitting signature on a 10k-pair corpus; checkpoint selection on dev BLEU cuts this off by restoring the epoch-37 weights.</w:t>
      </w:r>
    </w:p>
    <w:p w14:paraId="25304B4F" w14:textId="77777777" w:rsidR="00192DA0" w:rsidRDefault="00000000">
      <w:pPr>
        <w:pStyle w:val="Heading1"/>
        <w:spacing w:before="220" w:after="90"/>
      </w:pPr>
      <w:r>
        <w:rPr>
          <w:b/>
          <w:bCs/>
          <w:color w:val="000000"/>
          <w:sz w:val="25"/>
          <w:szCs w:val="25"/>
        </w:rPr>
        <w:t>5  Translation Examples and Error Analysis</w:t>
      </w:r>
    </w:p>
    <w:p w14:paraId="48C5E32D" w14:textId="77777777" w:rsidR="00192DA0" w:rsidRDefault="00000000">
      <w:pPr>
        <w:spacing w:after="100" w:line="264" w:lineRule="auto"/>
        <w:jc w:val="both"/>
      </w:pPr>
      <w:r>
        <w:t xml:space="preserve">Table 4 shows </w:t>
      </w:r>
      <w:r>
        <w:rPr>
          <w:b/>
          <w:bCs/>
          <w:color w:val="B45309"/>
        </w:rPr>
        <w:t>〈6–10〉</w:t>
      </w:r>
      <w:r>
        <w:t xml:space="preserve"> representative test-set examples produced by the final beam-search model (notebook Section 9 prints the first 10 triples; choose a mix of good and bad cases).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2600"/>
        <w:gridCol w:w="2600"/>
        <w:gridCol w:w="900"/>
      </w:tblGrid>
      <w:tr w:rsidR="00192DA0" w14:paraId="1E601D21" w14:textId="77777777">
        <w:tblPrEx>
          <w:tblCellMar>
            <w:top w:w="0" w:type="dxa"/>
            <w:bottom w:w="0" w:type="dxa"/>
          </w:tblCellMar>
        </w:tblPrEx>
        <w:trPr>
          <w:tblHeader/>
        </w:trPr>
        <w:tc>
          <w:tcPr>
            <w:tcW w:w="500" w:type="dxa"/>
            <w:shd w:val="clear" w:color="auto" w:fill="EEEEEE"/>
            <w:tcMar>
              <w:top w:w="60" w:type="dxa"/>
              <w:left w:w="90" w:type="dxa"/>
              <w:bottom w:w="60" w:type="dxa"/>
              <w:right w:w="90" w:type="dxa"/>
            </w:tcMar>
          </w:tcPr>
          <w:p w14:paraId="6AA90824" w14:textId="77777777" w:rsidR="00192DA0" w:rsidRDefault="00000000">
            <w:r>
              <w:rPr>
                <w:b/>
                <w:bCs/>
                <w:sz w:val="19"/>
                <w:szCs w:val="19"/>
              </w:rPr>
              <w:t>#</w:t>
            </w:r>
          </w:p>
        </w:tc>
        <w:tc>
          <w:tcPr>
            <w:tcW w:w="2600" w:type="dxa"/>
            <w:shd w:val="clear" w:color="auto" w:fill="EEEEEE"/>
            <w:tcMar>
              <w:top w:w="60" w:type="dxa"/>
              <w:left w:w="90" w:type="dxa"/>
              <w:bottom w:w="60" w:type="dxa"/>
              <w:right w:w="90" w:type="dxa"/>
            </w:tcMar>
          </w:tcPr>
          <w:p w14:paraId="71AA4243" w14:textId="77777777" w:rsidR="00192DA0" w:rsidRDefault="00000000">
            <w:r>
              <w:rPr>
                <w:b/>
                <w:bCs/>
                <w:sz w:val="19"/>
                <w:szCs w:val="19"/>
              </w:rPr>
              <w:t>Source (Sanskrit)</w:t>
            </w:r>
          </w:p>
        </w:tc>
        <w:tc>
          <w:tcPr>
            <w:tcW w:w="2600" w:type="dxa"/>
            <w:shd w:val="clear" w:color="auto" w:fill="EEEEEE"/>
            <w:tcMar>
              <w:top w:w="60" w:type="dxa"/>
              <w:left w:w="90" w:type="dxa"/>
              <w:bottom w:w="60" w:type="dxa"/>
              <w:right w:w="90" w:type="dxa"/>
            </w:tcMar>
          </w:tcPr>
          <w:p w14:paraId="2BBD07D7" w14:textId="77777777" w:rsidR="00192DA0" w:rsidRDefault="00000000">
            <w:r>
              <w:rPr>
                <w:b/>
                <w:bCs/>
                <w:sz w:val="19"/>
                <w:szCs w:val="19"/>
              </w:rPr>
              <w:t>Reference (English)</w:t>
            </w:r>
          </w:p>
        </w:tc>
        <w:tc>
          <w:tcPr>
            <w:tcW w:w="2600" w:type="dxa"/>
            <w:shd w:val="clear" w:color="auto" w:fill="EEEEEE"/>
            <w:tcMar>
              <w:top w:w="60" w:type="dxa"/>
              <w:left w:w="90" w:type="dxa"/>
              <w:bottom w:w="60" w:type="dxa"/>
              <w:right w:w="90" w:type="dxa"/>
            </w:tcMar>
          </w:tcPr>
          <w:p w14:paraId="0DE2948E" w14:textId="77777777" w:rsidR="00192DA0" w:rsidRDefault="00000000">
            <w:r>
              <w:rPr>
                <w:b/>
                <w:bCs/>
                <w:sz w:val="19"/>
                <w:szCs w:val="19"/>
              </w:rPr>
              <w:t>Prediction (English)</w:t>
            </w:r>
          </w:p>
        </w:tc>
        <w:tc>
          <w:tcPr>
            <w:tcW w:w="900" w:type="dxa"/>
            <w:shd w:val="clear" w:color="auto" w:fill="EEEEEE"/>
            <w:tcMar>
              <w:top w:w="60" w:type="dxa"/>
              <w:left w:w="90" w:type="dxa"/>
              <w:bottom w:w="60" w:type="dxa"/>
              <w:right w:w="90" w:type="dxa"/>
            </w:tcMar>
          </w:tcPr>
          <w:p w14:paraId="4869D012" w14:textId="77777777" w:rsidR="00192DA0" w:rsidRDefault="00000000">
            <w:r>
              <w:rPr>
                <w:b/>
                <w:bCs/>
                <w:sz w:val="19"/>
                <w:szCs w:val="19"/>
              </w:rPr>
              <w:t>Error type</w:t>
            </w:r>
          </w:p>
        </w:tc>
      </w:tr>
      <w:tr w:rsidR="00192DA0" w14:paraId="13791F44" w14:textId="77777777">
        <w:tblPrEx>
          <w:tblCellMar>
            <w:top w:w="0" w:type="dxa"/>
            <w:bottom w:w="0" w:type="dxa"/>
          </w:tblCellMar>
        </w:tblPrEx>
        <w:tc>
          <w:tcPr>
            <w:tcW w:w="500" w:type="dxa"/>
            <w:tcMar>
              <w:top w:w="60" w:type="dxa"/>
              <w:left w:w="90" w:type="dxa"/>
              <w:bottom w:w="60" w:type="dxa"/>
              <w:right w:w="90" w:type="dxa"/>
            </w:tcMar>
          </w:tcPr>
          <w:p w14:paraId="684A459D" w14:textId="77777777" w:rsidR="00192DA0" w:rsidRDefault="00000000">
            <w:r>
              <w:rPr>
                <w:sz w:val="19"/>
                <w:szCs w:val="19"/>
              </w:rPr>
              <w:t>1</w:t>
            </w:r>
          </w:p>
        </w:tc>
        <w:tc>
          <w:tcPr>
            <w:tcW w:w="2600" w:type="dxa"/>
            <w:tcMar>
              <w:top w:w="60" w:type="dxa"/>
              <w:left w:w="90" w:type="dxa"/>
              <w:bottom w:w="60" w:type="dxa"/>
              <w:right w:w="90" w:type="dxa"/>
            </w:tcMar>
          </w:tcPr>
          <w:p w14:paraId="045D94F2" w14:textId="77777777" w:rsidR="00192DA0" w:rsidRDefault="00000000">
            <w:r>
              <w:rPr>
                <w:b/>
                <w:bCs/>
                <w:color w:val="B45309"/>
                <w:sz w:val="19"/>
                <w:szCs w:val="19"/>
              </w:rPr>
              <w:t>〈…〉</w:t>
            </w:r>
          </w:p>
        </w:tc>
        <w:tc>
          <w:tcPr>
            <w:tcW w:w="2600" w:type="dxa"/>
            <w:tcMar>
              <w:top w:w="60" w:type="dxa"/>
              <w:left w:w="90" w:type="dxa"/>
              <w:bottom w:w="60" w:type="dxa"/>
              <w:right w:w="90" w:type="dxa"/>
            </w:tcMar>
          </w:tcPr>
          <w:p w14:paraId="1527B386" w14:textId="77777777" w:rsidR="00192DA0" w:rsidRDefault="00000000">
            <w:r>
              <w:rPr>
                <w:b/>
                <w:bCs/>
                <w:color w:val="B45309"/>
                <w:sz w:val="19"/>
                <w:szCs w:val="19"/>
              </w:rPr>
              <w:t>〈…〉</w:t>
            </w:r>
          </w:p>
        </w:tc>
        <w:tc>
          <w:tcPr>
            <w:tcW w:w="2600" w:type="dxa"/>
            <w:tcMar>
              <w:top w:w="60" w:type="dxa"/>
              <w:left w:w="90" w:type="dxa"/>
              <w:bottom w:w="60" w:type="dxa"/>
              <w:right w:w="90" w:type="dxa"/>
            </w:tcMar>
          </w:tcPr>
          <w:p w14:paraId="2F1EEA95" w14:textId="77777777" w:rsidR="00192DA0" w:rsidRDefault="00000000">
            <w:r>
              <w:rPr>
                <w:b/>
                <w:bCs/>
                <w:color w:val="B45309"/>
                <w:sz w:val="19"/>
                <w:szCs w:val="19"/>
              </w:rPr>
              <w:t>〈…〉</w:t>
            </w:r>
          </w:p>
        </w:tc>
        <w:tc>
          <w:tcPr>
            <w:tcW w:w="900" w:type="dxa"/>
            <w:tcMar>
              <w:top w:w="60" w:type="dxa"/>
              <w:left w:w="90" w:type="dxa"/>
              <w:bottom w:w="60" w:type="dxa"/>
              <w:right w:w="90" w:type="dxa"/>
            </w:tcMar>
          </w:tcPr>
          <w:p w14:paraId="501A13DF" w14:textId="77777777" w:rsidR="00192DA0" w:rsidRDefault="00000000">
            <w:r>
              <w:rPr>
                <w:b/>
                <w:bCs/>
                <w:color w:val="B45309"/>
                <w:sz w:val="19"/>
                <w:szCs w:val="19"/>
              </w:rPr>
              <w:t>〈…〉</w:t>
            </w:r>
          </w:p>
        </w:tc>
      </w:tr>
      <w:tr w:rsidR="00192DA0" w14:paraId="40ED5696" w14:textId="77777777">
        <w:tblPrEx>
          <w:tblCellMar>
            <w:top w:w="0" w:type="dxa"/>
            <w:bottom w:w="0" w:type="dxa"/>
          </w:tblCellMar>
        </w:tblPrEx>
        <w:tc>
          <w:tcPr>
            <w:tcW w:w="500" w:type="dxa"/>
            <w:tcMar>
              <w:top w:w="60" w:type="dxa"/>
              <w:left w:w="90" w:type="dxa"/>
              <w:bottom w:w="60" w:type="dxa"/>
              <w:right w:w="90" w:type="dxa"/>
            </w:tcMar>
          </w:tcPr>
          <w:p w14:paraId="28B13198" w14:textId="77777777" w:rsidR="00192DA0" w:rsidRDefault="00000000">
            <w:r>
              <w:rPr>
                <w:sz w:val="19"/>
                <w:szCs w:val="19"/>
              </w:rPr>
              <w:lastRenderedPageBreak/>
              <w:t>2</w:t>
            </w:r>
          </w:p>
        </w:tc>
        <w:tc>
          <w:tcPr>
            <w:tcW w:w="2600" w:type="dxa"/>
            <w:tcMar>
              <w:top w:w="60" w:type="dxa"/>
              <w:left w:w="90" w:type="dxa"/>
              <w:bottom w:w="60" w:type="dxa"/>
              <w:right w:w="90" w:type="dxa"/>
            </w:tcMar>
          </w:tcPr>
          <w:p w14:paraId="30C86F68" w14:textId="77777777" w:rsidR="00192DA0" w:rsidRDefault="00000000">
            <w:r>
              <w:rPr>
                <w:b/>
                <w:bCs/>
                <w:color w:val="B45309"/>
                <w:sz w:val="19"/>
                <w:szCs w:val="19"/>
              </w:rPr>
              <w:t>〈…〉</w:t>
            </w:r>
          </w:p>
        </w:tc>
        <w:tc>
          <w:tcPr>
            <w:tcW w:w="2600" w:type="dxa"/>
            <w:tcMar>
              <w:top w:w="60" w:type="dxa"/>
              <w:left w:w="90" w:type="dxa"/>
              <w:bottom w:w="60" w:type="dxa"/>
              <w:right w:w="90" w:type="dxa"/>
            </w:tcMar>
          </w:tcPr>
          <w:p w14:paraId="1466C4CC" w14:textId="77777777" w:rsidR="00192DA0" w:rsidRDefault="00000000">
            <w:r>
              <w:rPr>
                <w:b/>
                <w:bCs/>
                <w:color w:val="B45309"/>
                <w:sz w:val="19"/>
                <w:szCs w:val="19"/>
              </w:rPr>
              <w:t>〈…〉</w:t>
            </w:r>
          </w:p>
        </w:tc>
        <w:tc>
          <w:tcPr>
            <w:tcW w:w="2600" w:type="dxa"/>
            <w:tcMar>
              <w:top w:w="60" w:type="dxa"/>
              <w:left w:w="90" w:type="dxa"/>
              <w:bottom w:w="60" w:type="dxa"/>
              <w:right w:w="90" w:type="dxa"/>
            </w:tcMar>
          </w:tcPr>
          <w:p w14:paraId="45987BAF" w14:textId="77777777" w:rsidR="00192DA0" w:rsidRDefault="00000000">
            <w:r>
              <w:rPr>
                <w:b/>
                <w:bCs/>
                <w:color w:val="B45309"/>
                <w:sz w:val="19"/>
                <w:szCs w:val="19"/>
              </w:rPr>
              <w:t>〈…〉</w:t>
            </w:r>
          </w:p>
        </w:tc>
        <w:tc>
          <w:tcPr>
            <w:tcW w:w="900" w:type="dxa"/>
            <w:tcMar>
              <w:top w:w="60" w:type="dxa"/>
              <w:left w:w="90" w:type="dxa"/>
              <w:bottom w:w="60" w:type="dxa"/>
              <w:right w:w="90" w:type="dxa"/>
            </w:tcMar>
          </w:tcPr>
          <w:p w14:paraId="05CDBD8C" w14:textId="77777777" w:rsidR="00192DA0" w:rsidRDefault="00000000">
            <w:r>
              <w:rPr>
                <w:b/>
                <w:bCs/>
                <w:color w:val="B45309"/>
                <w:sz w:val="19"/>
                <w:szCs w:val="19"/>
              </w:rPr>
              <w:t>〈…〉</w:t>
            </w:r>
          </w:p>
        </w:tc>
      </w:tr>
      <w:tr w:rsidR="00192DA0" w14:paraId="76213E4D" w14:textId="77777777">
        <w:tblPrEx>
          <w:tblCellMar>
            <w:top w:w="0" w:type="dxa"/>
            <w:bottom w:w="0" w:type="dxa"/>
          </w:tblCellMar>
        </w:tblPrEx>
        <w:tc>
          <w:tcPr>
            <w:tcW w:w="500" w:type="dxa"/>
            <w:tcMar>
              <w:top w:w="60" w:type="dxa"/>
              <w:left w:w="90" w:type="dxa"/>
              <w:bottom w:w="60" w:type="dxa"/>
              <w:right w:w="90" w:type="dxa"/>
            </w:tcMar>
          </w:tcPr>
          <w:p w14:paraId="6C1F9134" w14:textId="77777777" w:rsidR="00192DA0" w:rsidRDefault="00000000">
            <w:r>
              <w:rPr>
                <w:sz w:val="19"/>
                <w:szCs w:val="19"/>
              </w:rPr>
              <w:t>3</w:t>
            </w:r>
          </w:p>
        </w:tc>
        <w:tc>
          <w:tcPr>
            <w:tcW w:w="2600" w:type="dxa"/>
            <w:tcMar>
              <w:top w:w="60" w:type="dxa"/>
              <w:left w:w="90" w:type="dxa"/>
              <w:bottom w:w="60" w:type="dxa"/>
              <w:right w:w="90" w:type="dxa"/>
            </w:tcMar>
          </w:tcPr>
          <w:p w14:paraId="12127A7E" w14:textId="77777777" w:rsidR="00192DA0" w:rsidRDefault="00000000">
            <w:r>
              <w:rPr>
                <w:b/>
                <w:bCs/>
                <w:color w:val="B45309"/>
                <w:sz w:val="19"/>
                <w:szCs w:val="19"/>
              </w:rPr>
              <w:t>〈…〉</w:t>
            </w:r>
          </w:p>
        </w:tc>
        <w:tc>
          <w:tcPr>
            <w:tcW w:w="2600" w:type="dxa"/>
            <w:tcMar>
              <w:top w:w="60" w:type="dxa"/>
              <w:left w:w="90" w:type="dxa"/>
              <w:bottom w:w="60" w:type="dxa"/>
              <w:right w:w="90" w:type="dxa"/>
            </w:tcMar>
          </w:tcPr>
          <w:p w14:paraId="69F1FE53" w14:textId="77777777" w:rsidR="00192DA0" w:rsidRDefault="00000000">
            <w:r>
              <w:rPr>
                <w:b/>
                <w:bCs/>
                <w:color w:val="B45309"/>
                <w:sz w:val="19"/>
                <w:szCs w:val="19"/>
              </w:rPr>
              <w:t>〈…〉</w:t>
            </w:r>
          </w:p>
        </w:tc>
        <w:tc>
          <w:tcPr>
            <w:tcW w:w="2600" w:type="dxa"/>
            <w:tcMar>
              <w:top w:w="60" w:type="dxa"/>
              <w:left w:w="90" w:type="dxa"/>
              <w:bottom w:w="60" w:type="dxa"/>
              <w:right w:w="90" w:type="dxa"/>
            </w:tcMar>
          </w:tcPr>
          <w:p w14:paraId="03B6AC18" w14:textId="77777777" w:rsidR="00192DA0" w:rsidRDefault="00000000">
            <w:r>
              <w:rPr>
                <w:b/>
                <w:bCs/>
                <w:color w:val="B45309"/>
                <w:sz w:val="19"/>
                <w:szCs w:val="19"/>
              </w:rPr>
              <w:t>〈…〉</w:t>
            </w:r>
          </w:p>
        </w:tc>
        <w:tc>
          <w:tcPr>
            <w:tcW w:w="900" w:type="dxa"/>
            <w:tcMar>
              <w:top w:w="60" w:type="dxa"/>
              <w:left w:w="90" w:type="dxa"/>
              <w:bottom w:w="60" w:type="dxa"/>
              <w:right w:w="90" w:type="dxa"/>
            </w:tcMar>
          </w:tcPr>
          <w:p w14:paraId="11F4C474" w14:textId="77777777" w:rsidR="00192DA0" w:rsidRDefault="00000000">
            <w:r>
              <w:rPr>
                <w:b/>
                <w:bCs/>
                <w:color w:val="B45309"/>
                <w:sz w:val="19"/>
                <w:szCs w:val="19"/>
              </w:rPr>
              <w:t>〈…〉</w:t>
            </w:r>
          </w:p>
        </w:tc>
      </w:tr>
      <w:tr w:rsidR="00192DA0" w14:paraId="58A968EC" w14:textId="77777777">
        <w:tblPrEx>
          <w:tblCellMar>
            <w:top w:w="0" w:type="dxa"/>
            <w:bottom w:w="0" w:type="dxa"/>
          </w:tblCellMar>
        </w:tblPrEx>
        <w:tc>
          <w:tcPr>
            <w:tcW w:w="500" w:type="dxa"/>
            <w:tcMar>
              <w:top w:w="60" w:type="dxa"/>
              <w:left w:w="90" w:type="dxa"/>
              <w:bottom w:w="60" w:type="dxa"/>
              <w:right w:w="90" w:type="dxa"/>
            </w:tcMar>
          </w:tcPr>
          <w:p w14:paraId="745FF798" w14:textId="77777777" w:rsidR="00192DA0" w:rsidRDefault="00000000">
            <w:r>
              <w:rPr>
                <w:sz w:val="19"/>
                <w:szCs w:val="19"/>
              </w:rPr>
              <w:t>4</w:t>
            </w:r>
          </w:p>
        </w:tc>
        <w:tc>
          <w:tcPr>
            <w:tcW w:w="2600" w:type="dxa"/>
            <w:tcMar>
              <w:top w:w="60" w:type="dxa"/>
              <w:left w:w="90" w:type="dxa"/>
              <w:bottom w:w="60" w:type="dxa"/>
              <w:right w:w="90" w:type="dxa"/>
            </w:tcMar>
          </w:tcPr>
          <w:p w14:paraId="20AA8A84" w14:textId="77777777" w:rsidR="00192DA0" w:rsidRDefault="00000000">
            <w:r>
              <w:rPr>
                <w:b/>
                <w:bCs/>
                <w:color w:val="B45309"/>
                <w:sz w:val="19"/>
                <w:szCs w:val="19"/>
              </w:rPr>
              <w:t>〈…〉</w:t>
            </w:r>
          </w:p>
        </w:tc>
        <w:tc>
          <w:tcPr>
            <w:tcW w:w="2600" w:type="dxa"/>
            <w:tcMar>
              <w:top w:w="60" w:type="dxa"/>
              <w:left w:w="90" w:type="dxa"/>
              <w:bottom w:w="60" w:type="dxa"/>
              <w:right w:w="90" w:type="dxa"/>
            </w:tcMar>
          </w:tcPr>
          <w:p w14:paraId="4990AD04" w14:textId="77777777" w:rsidR="00192DA0" w:rsidRDefault="00000000">
            <w:r>
              <w:rPr>
                <w:b/>
                <w:bCs/>
                <w:color w:val="B45309"/>
                <w:sz w:val="19"/>
                <w:szCs w:val="19"/>
              </w:rPr>
              <w:t>〈…〉</w:t>
            </w:r>
          </w:p>
        </w:tc>
        <w:tc>
          <w:tcPr>
            <w:tcW w:w="2600" w:type="dxa"/>
            <w:tcMar>
              <w:top w:w="60" w:type="dxa"/>
              <w:left w:w="90" w:type="dxa"/>
              <w:bottom w:w="60" w:type="dxa"/>
              <w:right w:w="90" w:type="dxa"/>
            </w:tcMar>
          </w:tcPr>
          <w:p w14:paraId="4E4A3BBC" w14:textId="77777777" w:rsidR="00192DA0" w:rsidRDefault="00000000">
            <w:r>
              <w:rPr>
                <w:b/>
                <w:bCs/>
                <w:color w:val="B45309"/>
                <w:sz w:val="19"/>
                <w:szCs w:val="19"/>
              </w:rPr>
              <w:t>〈…〉</w:t>
            </w:r>
          </w:p>
        </w:tc>
        <w:tc>
          <w:tcPr>
            <w:tcW w:w="900" w:type="dxa"/>
            <w:tcMar>
              <w:top w:w="60" w:type="dxa"/>
              <w:left w:w="90" w:type="dxa"/>
              <w:bottom w:w="60" w:type="dxa"/>
              <w:right w:w="90" w:type="dxa"/>
            </w:tcMar>
          </w:tcPr>
          <w:p w14:paraId="10E26781" w14:textId="77777777" w:rsidR="00192DA0" w:rsidRDefault="00000000">
            <w:r>
              <w:rPr>
                <w:b/>
                <w:bCs/>
                <w:color w:val="B45309"/>
                <w:sz w:val="19"/>
                <w:szCs w:val="19"/>
              </w:rPr>
              <w:t>〈…〉</w:t>
            </w:r>
          </w:p>
        </w:tc>
      </w:tr>
      <w:tr w:rsidR="00192DA0" w14:paraId="62E3B091" w14:textId="77777777">
        <w:tblPrEx>
          <w:tblCellMar>
            <w:top w:w="0" w:type="dxa"/>
            <w:bottom w:w="0" w:type="dxa"/>
          </w:tblCellMar>
        </w:tblPrEx>
        <w:tc>
          <w:tcPr>
            <w:tcW w:w="500" w:type="dxa"/>
            <w:tcMar>
              <w:top w:w="60" w:type="dxa"/>
              <w:left w:w="90" w:type="dxa"/>
              <w:bottom w:w="60" w:type="dxa"/>
              <w:right w:w="90" w:type="dxa"/>
            </w:tcMar>
          </w:tcPr>
          <w:p w14:paraId="762B1440" w14:textId="77777777" w:rsidR="00192DA0" w:rsidRDefault="00000000">
            <w:r>
              <w:rPr>
                <w:sz w:val="19"/>
                <w:szCs w:val="19"/>
              </w:rPr>
              <w:t>5</w:t>
            </w:r>
          </w:p>
        </w:tc>
        <w:tc>
          <w:tcPr>
            <w:tcW w:w="2600" w:type="dxa"/>
            <w:tcMar>
              <w:top w:w="60" w:type="dxa"/>
              <w:left w:w="90" w:type="dxa"/>
              <w:bottom w:w="60" w:type="dxa"/>
              <w:right w:w="90" w:type="dxa"/>
            </w:tcMar>
          </w:tcPr>
          <w:p w14:paraId="6DB4D861" w14:textId="77777777" w:rsidR="00192DA0" w:rsidRDefault="00000000">
            <w:r>
              <w:rPr>
                <w:b/>
                <w:bCs/>
                <w:color w:val="B45309"/>
                <w:sz w:val="19"/>
                <w:szCs w:val="19"/>
              </w:rPr>
              <w:t>〈…〉</w:t>
            </w:r>
          </w:p>
        </w:tc>
        <w:tc>
          <w:tcPr>
            <w:tcW w:w="2600" w:type="dxa"/>
            <w:tcMar>
              <w:top w:w="60" w:type="dxa"/>
              <w:left w:w="90" w:type="dxa"/>
              <w:bottom w:w="60" w:type="dxa"/>
              <w:right w:w="90" w:type="dxa"/>
            </w:tcMar>
          </w:tcPr>
          <w:p w14:paraId="4DDDE844" w14:textId="77777777" w:rsidR="00192DA0" w:rsidRDefault="00000000">
            <w:r>
              <w:rPr>
                <w:b/>
                <w:bCs/>
                <w:color w:val="B45309"/>
                <w:sz w:val="19"/>
                <w:szCs w:val="19"/>
              </w:rPr>
              <w:t>〈…〉</w:t>
            </w:r>
          </w:p>
        </w:tc>
        <w:tc>
          <w:tcPr>
            <w:tcW w:w="2600" w:type="dxa"/>
            <w:tcMar>
              <w:top w:w="60" w:type="dxa"/>
              <w:left w:w="90" w:type="dxa"/>
              <w:bottom w:w="60" w:type="dxa"/>
              <w:right w:w="90" w:type="dxa"/>
            </w:tcMar>
          </w:tcPr>
          <w:p w14:paraId="55244940" w14:textId="77777777" w:rsidR="00192DA0" w:rsidRDefault="00000000">
            <w:r>
              <w:rPr>
                <w:b/>
                <w:bCs/>
                <w:color w:val="B45309"/>
                <w:sz w:val="19"/>
                <w:szCs w:val="19"/>
              </w:rPr>
              <w:t>〈…〉</w:t>
            </w:r>
          </w:p>
        </w:tc>
        <w:tc>
          <w:tcPr>
            <w:tcW w:w="900" w:type="dxa"/>
            <w:tcMar>
              <w:top w:w="60" w:type="dxa"/>
              <w:left w:w="90" w:type="dxa"/>
              <w:bottom w:w="60" w:type="dxa"/>
              <w:right w:w="90" w:type="dxa"/>
            </w:tcMar>
          </w:tcPr>
          <w:p w14:paraId="6C1B0034" w14:textId="77777777" w:rsidR="00192DA0" w:rsidRDefault="00000000">
            <w:r>
              <w:rPr>
                <w:b/>
                <w:bCs/>
                <w:color w:val="B45309"/>
                <w:sz w:val="19"/>
                <w:szCs w:val="19"/>
              </w:rPr>
              <w:t>〈…〉</w:t>
            </w:r>
          </w:p>
        </w:tc>
      </w:tr>
      <w:tr w:rsidR="00192DA0" w14:paraId="2241E9D2" w14:textId="77777777">
        <w:tblPrEx>
          <w:tblCellMar>
            <w:top w:w="0" w:type="dxa"/>
            <w:bottom w:w="0" w:type="dxa"/>
          </w:tblCellMar>
        </w:tblPrEx>
        <w:tc>
          <w:tcPr>
            <w:tcW w:w="500" w:type="dxa"/>
            <w:tcMar>
              <w:top w:w="60" w:type="dxa"/>
              <w:left w:w="90" w:type="dxa"/>
              <w:bottom w:w="60" w:type="dxa"/>
              <w:right w:w="90" w:type="dxa"/>
            </w:tcMar>
          </w:tcPr>
          <w:p w14:paraId="53F9973F" w14:textId="77777777" w:rsidR="00192DA0" w:rsidRDefault="00000000">
            <w:r>
              <w:rPr>
                <w:sz w:val="19"/>
                <w:szCs w:val="19"/>
              </w:rPr>
              <w:t>6</w:t>
            </w:r>
          </w:p>
        </w:tc>
        <w:tc>
          <w:tcPr>
            <w:tcW w:w="2600" w:type="dxa"/>
            <w:tcMar>
              <w:top w:w="60" w:type="dxa"/>
              <w:left w:w="90" w:type="dxa"/>
              <w:bottom w:w="60" w:type="dxa"/>
              <w:right w:w="90" w:type="dxa"/>
            </w:tcMar>
          </w:tcPr>
          <w:p w14:paraId="292C2D4C" w14:textId="77777777" w:rsidR="00192DA0" w:rsidRDefault="00000000">
            <w:r>
              <w:rPr>
                <w:b/>
                <w:bCs/>
                <w:color w:val="B45309"/>
                <w:sz w:val="19"/>
                <w:szCs w:val="19"/>
              </w:rPr>
              <w:t>〈…〉</w:t>
            </w:r>
          </w:p>
        </w:tc>
        <w:tc>
          <w:tcPr>
            <w:tcW w:w="2600" w:type="dxa"/>
            <w:tcMar>
              <w:top w:w="60" w:type="dxa"/>
              <w:left w:w="90" w:type="dxa"/>
              <w:bottom w:w="60" w:type="dxa"/>
              <w:right w:w="90" w:type="dxa"/>
            </w:tcMar>
          </w:tcPr>
          <w:p w14:paraId="1ED2752F" w14:textId="77777777" w:rsidR="00192DA0" w:rsidRDefault="00000000">
            <w:r>
              <w:rPr>
                <w:b/>
                <w:bCs/>
                <w:color w:val="B45309"/>
                <w:sz w:val="19"/>
                <w:szCs w:val="19"/>
              </w:rPr>
              <w:t>〈…〉</w:t>
            </w:r>
          </w:p>
        </w:tc>
        <w:tc>
          <w:tcPr>
            <w:tcW w:w="2600" w:type="dxa"/>
            <w:tcMar>
              <w:top w:w="60" w:type="dxa"/>
              <w:left w:w="90" w:type="dxa"/>
              <w:bottom w:w="60" w:type="dxa"/>
              <w:right w:w="90" w:type="dxa"/>
            </w:tcMar>
          </w:tcPr>
          <w:p w14:paraId="0AE644E0" w14:textId="77777777" w:rsidR="00192DA0" w:rsidRDefault="00000000">
            <w:r>
              <w:rPr>
                <w:b/>
                <w:bCs/>
                <w:color w:val="B45309"/>
                <w:sz w:val="19"/>
                <w:szCs w:val="19"/>
              </w:rPr>
              <w:t>〈…〉</w:t>
            </w:r>
          </w:p>
        </w:tc>
        <w:tc>
          <w:tcPr>
            <w:tcW w:w="900" w:type="dxa"/>
            <w:tcMar>
              <w:top w:w="60" w:type="dxa"/>
              <w:left w:w="90" w:type="dxa"/>
              <w:bottom w:w="60" w:type="dxa"/>
              <w:right w:w="90" w:type="dxa"/>
            </w:tcMar>
          </w:tcPr>
          <w:p w14:paraId="3EECECB6" w14:textId="77777777" w:rsidR="00192DA0" w:rsidRDefault="00000000">
            <w:r>
              <w:rPr>
                <w:b/>
                <w:bCs/>
                <w:color w:val="B45309"/>
                <w:sz w:val="19"/>
                <w:szCs w:val="19"/>
              </w:rPr>
              <w:t>〈…〉</w:t>
            </w:r>
          </w:p>
        </w:tc>
      </w:tr>
    </w:tbl>
    <w:p w14:paraId="55B3DFC0" w14:textId="77777777" w:rsidR="00192DA0" w:rsidRDefault="00000000">
      <w:pPr>
        <w:spacing w:before="60" w:after="160"/>
        <w:jc w:val="center"/>
      </w:pPr>
      <w:r>
        <w:rPr>
          <w:color w:val="444444"/>
          <w:sz w:val="18"/>
          <w:szCs w:val="18"/>
        </w:rPr>
        <w:t>Table 4: Source / reference / prediction triples with error categorization.</w:t>
      </w:r>
    </w:p>
    <w:p w14:paraId="709BA702" w14:textId="01D14A1D" w:rsidR="00192DA0" w:rsidRDefault="00000000">
      <w:pPr>
        <w:spacing w:after="100" w:line="264" w:lineRule="auto"/>
        <w:jc w:val="both"/>
      </w:pPr>
      <w:r>
        <w:t xml:space="preserve">Errors are categorized with the following taxonomy, and the discussion should be grounded in the actual examples once inserted: </w:t>
      </w:r>
      <w:r>
        <w:rPr>
          <w:b/>
          <w:bCs/>
        </w:rPr>
        <w:t>(a) under-translation / omission</w:t>
      </w:r>
      <w:r>
        <w:t xml:space="preserve"> — content words in the source absent from the prediction, typically caused by long compounds segmented into rare </w:t>
      </w:r>
      <w:proofErr w:type="spellStart"/>
      <w:r>
        <w:t>subwords</w:t>
      </w:r>
      <w:proofErr w:type="spellEnd"/>
      <w:r>
        <w:t xml:space="preserve">; </w:t>
      </w:r>
      <w:r>
        <w:rPr>
          <w:b/>
          <w:bCs/>
        </w:rPr>
        <w:t>(b) over-translation / repetition</w:t>
      </w:r>
      <w:r>
        <w:t xml:space="preserve"> — the decoder loops on high-frequency phrases, a known failure of small autoregressive models; </w:t>
      </w:r>
      <w:r>
        <w:rPr>
          <w:b/>
          <w:bCs/>
        </w:rPr>
        <w:t>(c) named-entity errors</w:t>
      </w:r>
      <w:r>
        <w:t xml:space="preserve"> — proper nouns copied incorrectly or replaced by frequent entities seen in training, since with an 8k BPE vocabulary rare names decompose into pieces the model has little evidence for; </w:t>
      </w:r>
      <w:r>
        <w:rPr>
          <w:b/>
          <w:bCs/>
        </w:rPr>
        <w:t>(d) morphology / agreement</w:t>
      </w:r>
      <w:r>
        <w:t xml:space="preserve"> — tense, number, or case relations expressed by Sanskrit inflection rendered with the wrong English function words; </w:t>
      </w:r>
      <w:r>
        <w:rPr>
          <w:b/>
          <w:bCs/>
        </w:rPr>
        <w:t>(e) fluent but unfaithful output</w:t>
      </w:r>
      <w:r>
        <w:t xml:space="preserve"> — grammatical English that drifts from the source meaning, the typical hallucination mode when the encoder representation is weak. In our sample, the most frequent categories were .</w:t>
      </w:r>
    </w:p>
    <w:p w14:paraId="1E62E4E6" w14:textId="77777777" w:rsidR="00192DA0" w:rsidRDefault="00000000">
      <w:pPr>
        <w:pStyle w:val="Heading1"/>
        <w:spacing w:before="220" w:after="90"/>
      </w:pPr>
      <w:r>
        <w:rPr>
          <w:b/>
          <w:bCs/>
          <w:color w:val="000000"/>
          <w:sz w:val="25"/>
          <w:szCs w:val="25"/>
        </w:rPr>
        <w:t>6  Experiments</w:t>
      </w:r>
    </w:p>
    <w:p w14:paraId="52F4180E" w14:textId="77777777" w:rsidR="00192DA0" w:rsidRDefault="00000000">
      <w:pPr>
        <w:spacing w:after="100" w:line="264" w:lineRule="auto"/>
        <w:jc w:val="both"/>
      </w:pPr>
      <w:r>
        <w:t>Beyond the final configuration, we compare decoding strategies and report the effect of the main efficiency-oriented design choice. All numbers are on the development set with the same best checkpoint.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900"/>
        <w:gridCol w:w="3000"/>
      </w:tblGrid>
      <w:tr w:rsidR="00192DA0" w14:paraId="1BAAA435" w14:textId="77777777">
        <w:tblPrEx>
          <w:tblCellMar>
            <w:top w:w="0" w:type="dxa"/>
            <w:bottom w:w="0" w:type="dxa"/>
          </w:tblCellMar>
        </w:tblPrEx>
        <w:trPr>
          <w:tblHeader/>
        </w:trPr>
        <w:tc>
          <w:tcPr>
            <w:tcW w:w="2600" w:type="dxa"/>
            <w:shd w:val="clear" w:color="auto" w:fill="EEEEEE"/>
            <w:tcMar>
              <w:top w:w="60" w:type="dxa"/>
              <w:left w:w="90" w:type="dxa"/>
              <w:bottom w:w="60" w:type="dxa"/>
              <w:right w:w="90" w:type="dxa"/>
            </w:tcMar>
          </w:tcPr>
          <w:p w14:paraId="794BBC61" w14:textId="77777777" w:rsidR="00192DA0" w:rsidRDefault="00000000">
            <w:r>
              <w:rPr>
                <w:b/>
                <w:bCs/>
                <w:sz w:val="19"/>
                <w:szCs w:val="19"/>
              </w:rPr>
              <w:t>Setting</w:t>
            </w:r>
          </w:p>
        </w:tc>
        <w:tc>
          <w:tcPr>
            <w:tcW w:w="1700" w:type="dxa"/>
            <w:shd w:val="clear" w:color="auto" w:fill="EEEEEE"/>
            <w:tcMar>
              <w:top w:w="60" w:type="dxa"/>
              <w:left w:w="90" w:type="dxa"/>
              <w:bottom w:w="60" w:type="dxa"/>
              <w:right w:w="90" w:type="dxa"/>
            </w:tcMar>
          </w:tcPr>
          <w:p w14:paraId="6986D9A2" w14:textId="77777777" w:rsidR="00192DA0" w:rsidRDefault="00000000">
            <w:r>
              <w:rPr>
                <w:b/>
                <w:bCs/>
                <w:sz w:val="19"/>
                <w:szCs w:val="19"/>
              </w:rPr>
              <w:t>Dev BLEU</w:t>
            </w:r>
          </w:p>
        </w:tc>
        <w:tc>
          <w:tcPr>
            <w:tcW w:w="1900" w:type="dxa"/>
            <w:shd w:val="clear" w:color="auto" w:fill="EEEEEE"/>
            <w:tcMar>
              <w:top w:w="60" w:type="dxa"/>
              <w:left w:w="90" w:type="dxa"/>
              <w:bottom w:w="60" w:type="dxa"/>
              <w:right w:w="90" w:type="dxa"/>
            </w:tcMar>
          </w:tcPr>
          <w:p w14:paraId="75581A8D" w14:textId="77777777" w:rsidR="00192DA0" w:rsidRDefault="00000000">
            <w:r>
              <w:rPr>
                <w:b/>
                <w:bCs/>
                <w:sz w:val="19"/>
                <w:szCs w:val="19"/>
              </w:rPr>
              <w:t xml:space="preserve">Dev </w:t>
            </w:r>
            <w:proofErr w:type="spellStart"/>
            <w:r>
              <w:rPr>
                <w:b/>
                <w:bCs/>
                <w:sz w:val="19"/>
                <w:szCs w:val="19"/>
              </w:rPr>
              <w:t>BERTScore</w:t>
            </w:r>
            <w:proofErr w:type="spellEnd"/>
            <w:r>
              <w:rPr>
                <w:b/>
                <w:bCs/>
                <w:sz w:val="19"/>
                <w:szCs w:val="19"/>
              </w:rPr>
              <w:t xml:space="preserve"> F1</w:t>
            </w:r>
          </w:p>
        </w:tc>
        <w:tc>
          <w:tcPr>
            <w:tcW w:w="3000" w:type="dxa"/>
            <w:shd w:val="clear" w:color="auto" w:fill="EEEEEE"/>
            <w:tcMar>
              <w:top w:w="60" w:type="dxa"/>
              <w:left w:w="90" w:type="dxa"/>
              <w:bottom w:w="60" w:type="dxa"/>
              <w:right w:w="90" w:type="dxa"/>
            </w:tcMar>
          </w:tcPr>
          <w:p w14:paraId="4FFF9958" w14:textId="77777777" w:rsidR="00192DA0" w:rsidRDefault="00000000">
            <w:r>
              <w:rPr>
                <w:b/>
                <w:bCs/>
                <w:sz w:val="19"/>
                <w:szCs w:val="19"/>
              </w:rPr>
              <w:t>Notes</w:t>
            </w:r>
          </w:p>
        </w:tc>
      </w:tr>
      <w:tr w:rsidR="00192DA0" w14:paraId="11AC39CD" w14:textId="77777777">
        <w:tblPrEx>
          <w:tblCellMar>
            <w:top w:w="0" w:type="dxa"/>
            <w:bottom w:w="0" w:type="dxa"/>
          </w:tblCellMar>
        </w:tblPrEx>
        <w:tc>
          <w:tcPr>
            <w:tcW w:w="2600" w:type="dxa"/>
            <w:tcMar>
              <w:top w:w="60" w:type="dxa"/>
              <w:left w:w="90" w:type="dxa"/>
              <w:bottom w:w="60" w:type="dxa"/>
              <w:right w:w="90" w:type="dxa"/>
            </w:tcMar>
          </w:tcPr>
          <w:p w14:paraId="7C6A338E" w14:textId="77777777" w:rsidR="00192DA0" w:rsidRDefault="00000000">
            <w:r>
              <w:rPr>
                <w:sz w:val="19"/>
                <w:szCs w:val="19"/>
              </w:rPr>
              <w:t>Greedy decoding</w:t>
            </w:r>
          </w:p>
        </w:tc>
        <w:tc>
          <w:tcPr>
            <w:tcW w:w="1700" w:type="dxa"/>
            <w:tcMar>
              <w:top w:w="60" w:type="dxa"/>
              <w:left w:w="90" w:type="dxa"/>
              <w:bottom w:w="60" w:type="dxa"/>
              <w:right w:w="90" w:type="dxa"/>
            </w:tcMar>
          </w:tcPr>
          <w:p w14:paraId="1148D888" w14:textId="77777777" w:rsidR="00192DA0" w:rsidRDefault="00000000">
            <w:r>
              <w:rPr>
                <w:sz w:val="19"/>
                <w:szCs w:val="19"/>
              </w:rPr>
              <w:t>6.85</w:t>
            </w:r>
          </w:p>
        </w:tc>
        <w:tc>
          <w:tcPr>
            <w:tcW w:w="1900" w:type="dxa"/>
            <w:tcMar>
              <w:top w:w="60" w:type="dxa"/>
              <w:left w:w="90" w:type="dxa"/>
              <w:bottom w:w="60" w:type="dxa"/>
              <w:right w:w="90" w:type="dxa"/>
            </w:tcMar>
          </w:tcPr>
          <w:p w14:paraId="32A79C51" w14:textId="77777777" w:rsidR="00192DA0" w:rsidRDefault="00000000">
            <w:r>
              <w:rPr>
                <w:sz w:val="19"/>
                <w:szCs w:val="19"/>
              </w:rPr>
              <w:t>—</w:t>
            </w:r>
          </w:p>
        </w:tc>
        <w:tc>
          <w:tcPr>
            <w:tcW w:w="3000" w:type="dxa"/>
            <w:tcMar>
              <w:top w:w="60" w:type="dxa"/>
              <w:left w:w="90" w:type="dxa"/>
              <w:bottom w:w="60" w:type="dxa"/>
              <w:right w:w="90" w:type="dxa"/>
            </w:tcMar>
          </w:tcPr>
          <w:p w14:paraId="6324B121" w14:textId="77777777" w:rsidR="00192DA0" w:rsidRDefault="00000000">
            <w:r>
              <w:rPr>
                <w:sz w:val="19"/>
                <w:szCs w:val="19"/>
              </w:rPr>
              <w:t>Fast; used for per-epoch model selection</w:t>
            </w:r>
          </w:p>
        </w:tc>
      </w:tr>
      <w:tr w:rsidR="00192DA0" w14:paraId="3FC5A01B" w14:textId="77777777">
        <w:tblPrEx>
          <w:tblCellMar>
            <w:top w:w="0" w:type="dxa"/>
            <w:bottom w:w="0" w:type="dxa"/>
          </w:tblCellMar>
        </w:tblPrEx>
        <w:tc>
          <w:tcPr>
            <w:tcW w:w="2600" w:type="dxa"/>
            <w:tcMar>
              <w:top w:w="60" w:type="dxa"/>
              <w:left w:w="90" w:type="dxa"/>
              <w:bottom w:w="60" w:type="dxa"/>
              <w:right w:w="90" w:type="dxa"/>
            </w:tcMar>
          </w:tcPr>
          <w:p w14:paraId="173215C9" w14:textId="77777777" w:rsidR="00192DA0" w:rsidRDefault="00000000">
            <w:r>
              <w:rPr>
                <w:sz w:val="19"/>
                <w:szCs w:val="19"/>
              </w:rPr>
              <w:t>Beam = 5, α = 0.7 (final)</w:t>
            </w:r>
          </w:p>
        </w:tc>
        <w:tc>
          <w:tcPr>
            <w:tcW w:w="1700" w:type="dxa"/>
            <w:tcMar>
              <w:top w:w="60" w:type="dxa"/>
              <w:left w:w="90" w:type="dxa"/>
              <w:bottom w:w="60" w:type="dxa"/>
              <w:right w:w="90" w:type="dxa"/>
            </w:tcMar>
          </w:tcPr>
          <w:p w14:paraId="777A8F37" w14:textId="77777777" w:rsidR="00192DA0" w:rsidRDefault="00000000">
            <w:r>
              <w:rPr>
                <w:sz w:val="19"/>
                <w:szCs w:val="19"/>
              </w:rPr>
              <w:t>7.55</w:t>
            </w:r>
          </w:p>
        </w:tc>
        <w:tc>
          <w:tcPr>
            <w:tcW w:w="1900" w:type="dxa"/>
            <w:tcMar>
              <w:top w:w="60" w:type="dxa"/>
              <w:left w:w="90" w:type="dxa"/>
              <w:bottom w:w="60" w:type="dxa"/>
              <w:right w:w="90" w:type="dxa"/>
            </w:tcMar>
          </w:tcPr>
          <w:p w14:paraId="33D530F6" w14:textId="77777777" w:rsidR="00192DA0" w:rsidRDefault="00000000">
            <w:r>
              <w:rPr>
                <w:sz w:val="19"/>
                <w:szCs w:val="19"/>
              </w:rPr>
              <w:t>0.3186</w:t>
            </w:r>
          </w:p>
        </w:tc>
        <w:tc>
          <w:tcPr>
            <w:tcW w:w="3000" w:type="dxa"/>
            <w:tcMar>
              <w:top w:w="60" w:type="dxa"/>
              <w:left w:w="90" w:type="dxa"/>
              <w:bottom w:w="60" w:type="dxa"/>
              <w:right w:w="90" w:type="dxa"/>
            </w:tcMar>
          </w:tcPr>
          <w:p w14:paraId="14C40A23" w14:textId="77777777" w:rsidR="00192DA0" w:rsidRDefault="00000000">
            <w:r>
              <w:rPr>
                <w:sz w:val="19"/>
                <w:szCs w:val="19"/>
              </w:rPr>
              <w:t>Length-normalized re-ranking</w:t>
            </w:r>
          </w:p>
        </w:tc>
      </w:tr>
    </w:tbl>
    <w:p w14:paraId="1B9BF8EA" w14:textId="77777777" w:rsidR="00192DA0" w:rsidRDefault="00000000">
      <w:pPr>
        <w:spacing w:before="60" w:after="160"/>
        <w:jc w:val="center"/>
      </w:pPr>
      <w:r>
        <w:rPr>
          <w:color w:val="444444"/>
          <w:sz w:val="18"/>
          <w:szCs w:val="18"/>
        </w:rPr>
        <w:t>Table 5: Decoding experiments on the development set.</w:t>
      </w:r>
    </w:p>
    <w:p w14:paraId="49A8D8F6" w14:textId="77777777" w:rsidR="00192DA0" w:rsidRDefault="00000000">
      <w:pPr>
        <w:spacing w:after="100" w:line="264" w:lineRule="auto"/>
        <w:jc w:val="both"/>
      </w:pPr>
      <w:r>
        <w:t xml:space="preserve">Beam search with length normalization improves over greedy decoding by +0.70 BLEU (6.85 → 7.55 on dev, a ≈10% relative gain), consistent with the literature: greedy decoding commits to locally optimal tokens and cannot recover, while the length penalty prevents the beam from preferring degenerately short hypotheses. The cost is inference time — beam-5 decoding scales roughly with beam width per step and our implementation decodes one sentence at a time — which is the main component of the reported 140.01 s (140.0 </w:t>
      </w:r>
      <w:proofErr w:type="spellStart"/>
      <w:r>
        <w:t>ms</w:t>
      </w:r>
      <w:proofErr w:type="spellEnd"/>
      <w:r>
        <w:t xml:space="preserve">/sentence). Architecturally, weight tying removes </w:t>
      </w:r>
      <w:proofErr w:type="spellStart"/>
      <w:r>
        <w:t>d_model</w:t>
      </w:r>
      <w:proofErr w:type="spellEnd"/>
      <w:r>
        <w:t xml:space="preserve"> × |</w:t>
      </w:r>
      <w:proofErr w:type="spellStart"/>
      <w:r>
        <w:t>V_tgt</w:t>
      </w:r>
      <w:proofErr w:type="spellEnd"/>
      <w:r>
        <w:t>| ≈ 2.05M output-projection parameters; the untied model would have ≈13.5M parameters, so tying saves ≈15% at no observed quality cost. The compact configuration (256/1024, 4+4 layers, 11.5M parameters) was chosen over a base-size Transformer (512/2048, 6+6, ≈60M parameters) because the efficiency component of the score is relative to the smallest/fastest submission.</w:t>
      </w:r>
    </w:p>
    <w:p w14:paraId="6D9838CB" w14:textId="77777777" w:rsidR="00192DA0" w:rsidRDefault="00000000">
      <w:pPr>
        <w:pStyle w:val="Heading1"/>
        <w:spacing w:before="220" w:after="90"/>
      </w:pPr>
      <w:r>
        <w:rPr>
          <w:b/>
          <w:bCs/>
          <w:color w:val="000000"/>
          <w:sz w:val="25"/>
          <w:szCs w:val="25"/>
        </w:rPr>
        <w:t>7  Discussion</w:t>
      </w:r>
    </w:p>
    <w:p w14:paraId="03C7C560" w14:textId="77777777" w:rsidR="00192DA0" w:rsidRDefault="00000000">
      <w:pPr>
        <w:pStyle w:val="Heading2"/>
        <w:spacing w:before="160" w:after="70"/>
      </w:pPr>
      <w:r>
        <w:rPr>
          <w:b/>
          <w:bCs/>
          <w:color w:val="000000"/>
          <w:sz w:val="22"/>
          <w:szCs w:val="22"/>
        </w:rPr>
        <w:t>7.1  Design choices</w:t>
      </w:r>
    </w:p>
    <w:p w14:paraId="21EBB0A5" w14:textId="77777777" w:rsidR="00192DA0" w:rsidRDefault="00000000">
      <w:pPr>
        <w:spacing w:after="100" w:line="264" w:lineRule="auto"/>
        <w:jc w:val="both"/>
      </w:pPr>
      <w:r>
        <w:t>The three central choices are (</w:t>
      </w:r>
      <w:proofErr w:type="spellStart"/>
      <w:r>
        <w:t>i</w:t>
      </w:r>
      <w:proofErr w:type="spellEnd"/>
      <w:r>
        <w:t xml:space="preserve">) </w:t>
      </w:r>
      <w:proofErr w:type="spellStart"/>
      <w:r>
        <w:rPr>
          <w:b/>
          <w:bCs/>
        </w:rPr>
        <w:t>subword</w:t>
      </w:r>
      <w:proofErr w:type="spellEnd"/>
      <w:r>
        <w:rPr>
          <w:b/>
          <w:bCs/>
        </w:rPr>
        <w:t xml:space="preserve"> BPE tokenization</w:t>
      </w:r>
      <w:r>
        <w:t xml:space="preserve">, which is the single most important decision for Sanskrit — without it the OOV rate makes word-level translation infeasible at this scale; (ii) a </w:t>
      </w:r>
      <w:r>
        <w:rPr>
          <w:b/>
          <w:bCs/>
        </w:rPr>
        <w:t>compact pre-norm Transformer with tied embeddings</w:t>
      </w:r>
      <w:r>
        <w:t xml:space="preserve">, motivated jointly by the small corpus (a larger model overfits faster than it learns) and the 30% efficiency component of the score; and (iii) </w:t>
      </w:r>
      <w:r>
        <w:rPr>
          <w:b/>
          <w:bCs/>
        </w:rPr>
        <w:t>strong regularization with dev-BLEU early stopping</w:t>
      </w:r>
      <w:r>
        <w:t>, selecting directly for the evaluated metric rather than for likelihood. Fixed sinusoidal positional encodings were preferred over learned ones as they add no parameters and generalize to any length up to the cap.</w:t>
      </w:r>
    </w:p>
    <w:p w14:paraId="69E46954" w14:textId="77777777" w:rsidR="00192DA0" w:rsidRDefault="00000000">
      <w:pPr>
        <w:pStyle w:val="Heading2"/>
        <w:spacing w:before="160" w:after="70"/>
      </w:pPr>
      <w:r>
        <w:rPr>
          <w:b/>
          <w:bCs/>
          <w:color w:val="000000"/>
          <w:sz w:val="22"/>
          <w:szCs w:val="22"/>
        </w:rPr>
        <w:t>7.2  Challenges</w:t>
      </w:r>
    </w:p>
    <w:p w14:paraId="7AA9AEFA" w14:textId="77777777" w:rsidR="00192DA0" w:rsidRDefault="00000000">
      <w:pPr>
        <w:spacing w:after="100" w:line="264" w:lineRule="auto"/>
        <w:jc w:val="both"/>
      </w:pPr>
      <w:r>
        <w:t xml:space="preserve">The dominant challenge is data scarcity interacting with Sanskrit morphology: sandhi means the same underlying words surface differently across sentences, so 10k pairs provide fewer effective observations per lexical unit than </w:t>
      </w:r>
      <w:r>
        <w:lastRenderedPageBreak/>
        <w:t xml:space="preserve">they would for an analytic language. We do not perform explicit sandhi splitting (no external </w:t>
      </w:r>
      <w:proofErr w:type="spellStart"/>
      <w:r>
        <w:t>analyzer</w:t>
      </w:r>
      <w:proofErr w:type="spellEnd"/>
      <w:r>
        <w:t xml:space="preserve"> is used), relying on BPE to approximate morpheme boundaries. A second challenge is evaluation: with a single reference, BLEU heavily penalizes legitimate paraphrases, which motivates reporting </w:t>
      </w:r>
      <w:proofErr w:type="spellStart"/>
      <w:r>
        <w:t>BERTScore</w:t>
      </w:r>
      <w:proofErr w:type="spellEnd"/>
      <w:r>
        <w:t xml:space="preserve"> alongside it. Finally, tuning under </w:t>
      </w:r>
      <w:proofErr w:type="spellStart"/>
      <w:r>
        <w:t>Colab</w:t>
      </w:r>
      <w:proofErr w:type="spellEnd"/>
      <w:r>
        <w:t xml:space="preserve"> T4 constraints required keeping per-epoch cost low, which is why model selection uses greedy rather than beam decoding.</w:t>
      </w:r>
    </w:p>
    <w:p w14:paraId="5AAAA980" w14:textId="77777777" w:rsidR="00192DA0" w:rsidRDefault="00000000">
      <w:pPr>
        <w:pStyle w:val="Heading2"/>
        <w:spacing w:before="160" w:after="70"/>
      </w:pPr>
      <w:r>
        <w:rPr>
          <w:b/>
          <w:bCs/>
          <w:color w:val="000000"/>
          <w:sz w:val="22"/>
          <w:szCs w:val="22"/>
        </w:rPr>
        <w:t>7.3  Limitations</w:t>
      </w:r>
    </w:p>
    <w:p w14:paraId="603576EE" w14:textId="77777777" w:rsidR="00192DA0" w:rsidRDefault="00000000">
      <w:pPr>
        <w:spacing w:after="100" w:line="264" w:lineRule="auto"/>
        <w:jc w:val="both"/>
      </w:pPr>
      <w:r>
        <w:t>(1) The beam-search implementation is unbatched (one sentence at a time), so inference time is dominated by Python-side sequential decoding; batched beams or caching of decoder states would reduce it substantially. (2) No linguistic preprocessing (sandhi segmentation, transliteration normalization) is used; published Sanskrit MT systems show such steps help at this scale. (3) The model is trained on ≤128-subword sentences and may degrade on much longer inputs. (4) No back-translation or data augmentation was used, as the assignment restricts training to the provided data. (5) Results are from a single seed (42); low-resource NMT is known to have non-trivial variance across seeds.</w:t>
      </w:r>
    </w:p>
    <w:p w14:paraId="7E2063B8" w14:textId="77777777" w:rsidR="00192DA0" w:rsidRDefault="00000000">
      <w:pPr>
        <w:pStyle w:val="Heading1"/>
        <w:spacing w:before="220" w:after="90"/>
      </w:pPr>
      <w:r>
        <w:rPr>
          <w:b/>
          <w:bCs/>
          <w:color w:val="000000"/>
          <w:sz w:val="25"/>
          <w:szCs w:val="25"/>
        </w:rPr>
        <w:t>8  Disclosure of Pre-trained Models</w:t>
      </w:r>
    </w:p>
    <w:p w14:paraId="3B9E9330" w14:textId="77777777" w:rsidR="00192DA0" w:rsidRDefault="00000000">
      <w:pPr>
        <w:spacing w:after="100" w:line="264" w:lineRule="auto"/>
        <w:jc w:val="both"/>
      </w:pPr>
      <w:r>
        <w:rPr>
          <w:b/>
          <w:bCs/>
        </w:rPr>
        <w:t>No pre-trained model is used to produce translations, and no external API is called.</w:t>
      </w:r>
      <w:r>
        <w:t xml:space="preserve"> The translation model, both </w:t>
      </w:r>
      <w:proofErr w:type="spellStart"/>
      <w:r>
        <w:t>SentencePiece</w:t>
      </w:r>
      <w:proofErr w:type="spellEnd"/>
      <w:r>
        <w:t xml:space="preserve"> tokenizers, and all embeddings are trained from scratch on the provided training split only. The single pre-trained model that appears anywhere in the pipeline is </w:t>
      </w:r>
      <w:proofErr w:type="spellStart"/>
      <w:r>
        <w:rPr>
          <w:b/>
          <w:bCs/>
        </w:rPr>
        <w:t>roberta</w:t>
      </w:r>
      <w:proofErr w:type="spellEnd"/>
      <w:r>
        <w:rPr>
          <w:b/>
          <w:bCs/>
        </w:rPr>
        <w:t>-large</w:t>
      </w:r>
      <w:r>
        <w:t xml:space="preserve">, downloaded internally by the </w:t>
      </w:r>
      <w:proofErr w:type="spellStart"/>
      <w:r>
        <w:rPr>
          <w:i/>
          <w:iCs/>
        </w:rPr>
        <w:t>bert</w:t>
      </w:r>
      <w:proofErr w:type="spellEnd"/>
      <w:r>
        <w:rPr>
          <w:i/>
          <w:iCs/>
        </w:rPr>
        <w:t>-score</w:t>
      </w:r>
      <w:r>
        <w:t xml:space="preserve"> library and used exclusively to evaluate the English outputs (</w:t>
      </w:r>
      <w:proofErr w:type="spellStart"/>
      <w:r>
        <w:t>BERTScore</w:t>
      </w:r>
      <w:proofErr w:type="spellEnd"/>
      <w:r>
        <w:t xml:space="preserve"> F1 with baseline rescaling). It plays no role in training or inference of the NMT system.</w:t>
      </w:r>
    </w:p>
    <w:p w14:paraId="1C3B7A74" w14:textId="77777777" w:rsidR="00724ABC" w:rsidRDefault="00724ABC">
      <w:pPr>
        <w:pStyle w:val="Heading1"/>
        <w:spacing w:before="220" w:after="90"/>
        <w:rPr>
          <w:b/>
          <w:bCs/>
          <w:color w:val="000000"/>
          <w:sz w:val="25"/>
          <w:szCs w:val="25"/>
        </w:rPr>
      </w:pPr>
    </w:p>
    <w:p w14:paraId="056AF048" w14:textId="77777777" w:rsidR="00724ABC" w:rsidRDefault="00724ABC">
      <w:pPr>
        <w:pStyle w:val="Heading1"/>
        <w:spacing w:before="220" w:after="90"/>
        <w:rPr>
          <w:b/>
          <w:bCs/>
          <w:color w:val="000000"/>
          <w:sz w:val="25"/>
          <w:szCs w:val="25"/>
        </w:rPr>
      </w:pPr>
    </w:p>
    <w:p w14:paraId="4D817054" w14:textId="30D56405" w:rsidR="00192DA0" w:rsidRDefault="00000000">
      <w:pPr>
        <w:pStyle w:val="Heading1"/>
        <w:spacing w:before="220" w:after="90"/>
      </w:pPr>
      <w:r>
        <w:rPr>
          <w:b/>
          <w:bCs/>
          <w:color w:val="000000"/>
          <w:sz w:val="25"/>
          <w:szCs w:val="25"/>
        </w:rPr>
        <w:t>References</w:t>
      </w:r>
    </w:p>
    <w:p w14:paraId="79BF22D3" w14:textId="77777777" w:rsidR="00192DA0" w:rsidRDefault="00000000">
      <w:pPr>
        <w:spacing w:after="60"/>
        <w:ind w:left="360" w:hanging="360"/>
      </w:pPr>
      <w:r>
        <w:rPr>
          <w:sz w:val="19"/>
          <w:szCs w:val="19"/>
        </w:rPr>
        <w:t xml:space="preserve">Vaswani, A., </w:t>
      </w:r>
      <w:proofErr w:type="spellStart"/>
      <w:r>
        <w:rPr>
          <w:sz w:val="19"/>
          <w:szCs w:val="19"/>
        </w:rPr>
        <w:t>Shazeer</w:t>
      </w:r>
      <w:proofErr w:type="spellEnd"/>
      <w:r>
        <w:rPr>
          <w:sz w:val="19"/>
          <w:szCs w:val="19"/>
        </w:rPr>
        <w:t xml:space="preserve">, N., Parmar, N., </w:t>
      </w:r>
      <w:proofErr w:type="spellStart"/>
      <w:r>
        <w:rPr>
          <w:sz w:val="19"/>
          <w:szCs w:val="19"/>
        </w:rPr>
        <w:t>Uszkoreit</w:t>
      </w:r>
      <w:proofErr w:type="spellEnd"/>
      <w:r>
        <w:rPr>
          <w:sz w:val="19"/>
          <w:szCs w:val="19"/>
        </w:rPr>
        <w:t xml:space="preserve">, J., Jones, L., Gomez, A. N., Kaiser, Ł., &amp; </w:t>
      </w:r>
      <w:proofErr w:type="spellStart"/>
      <w:r>
        <w:rPr>
          <w:sz w:val="19"/>
          <w:szCs w:val="19"/>
        </w:rPr>
        <w:t>Polosukhin</w:t>
      </w:r>
      <w:proofErr w:type="spellEnd"/>
      <w:r>
        <w:rPr>
          <w:sz w:val="19"/>
          <w:szCs w:val="19"/>
        </w:rPr>
        <w:t>, I. (2017). Attention is all you need. Advances in Neural Information Processing Systems 30.</w:t>
      </w:r>
    </w:p>
    <w:p w14:paraId="34A7F077" w14:textId="77777777" w:rsidR="00192DA0" w:rsidRDefault="00000000">
      <w:pPr>
        <w:spacing w:after="60"/>
        <w:ind w:left="360" w:hanging="360"/>
      </w:pPr>
      <w:r>
        <w:rPr>
          <w:sz w:val="19"/>
          <w:szCs w:val="19"/>
        </w:rPr>
        <w:t>Wu, Y., Schuster, M., Chen, Z., et al. (2016). Google's neural machine translation system: Bridging the gap between human and machine translation. arXiv:1609.08144.</w:t>
      </w:r>
    </w:p>
    <w:p w14:paraId="29C0C9CB" w14:textId="77777777" w:rsidR="00192DA0" w:rsidRDefault="00000000">
      <w:pPr>
        <w:spacing w:after="60"/>
        <w:ind w:left="360" w:hanging="360"/>
      </w:pPr>
      <w:r>
        <w:rPr>
          <w:sz w:val="19"/>
          <w:szCs w:val="19"/>
        </w:rPr>
        <w:t xml:space="preserve">Kudo, T., &amp; Richardson, J. (2018). </w:t>
      </w:r>
      <w:proofErr w:type="spellStart"/>
      <w:r>
        <w:rPr>
          <w:sz w:val="19"/>
          <w:szCs w:val="19"/>
        </w:rPr>
        <w:t>SentencePiece</w:t>
      </w:r>
      <w:proofErr w:type="spellEnd"/>
      <w:r>
        <w:rPr>
          <w:sz w:val="19"/>
          <w:szCs w:val="19"/>
        </w:rPr>
        <w:t xml:space="preserve">: A simple and language independent </w:t>
      </w:r>
      <w:proofErr w:type="spellStart"/>
      <w:r>
        <w:rPr>
          <w:sz w:val="19"/>
          <w:szCs w:val="19"/>
        </w:rPr>
        <w:t>subword</w:t>
      </w:r>
      <w:proofErr w:type="spellEnd"/>
      <w:r>
        <w:rPr>
          <w:sz w:val="19"/>
          <w:szCs w:val="19"/>
        </w:rPr>
        <w:t xml:space="preserve"> tokenizer and </w:t>
      </w:r>
      <w:proofErr w:type="spellStart"/>
      <w:r>
        <w:rPr>
          <w:sz w:val="19"/>
          <w:szCs w:val="19"/>
        </w:rPr>
        <w:t>detokenizer</w:t>
      </w:r>
      <w:proofErr w:type="spellEnd"/>
      <w:r>
        <w:rPr>
          <w:sz w:val="19"/>
          <w:szCs w:val="19"/>
        </w:rPr>
        <w:t xml:space="preserve"> for neural text processing. Proceedings of EMNLP 2018: System Demonstrations.</w:t>
      </w:r>
    </w:p>
    <w:p w14:paraId="640A2BF0" w14:textId="77777777" w:rsidR="00192DA0" w:rsidRDefault="00000000">
      <w:pPr>
        <w:spacing w:after="60"/>
        <w:ind w:left="360" w:hanging="360"/>
      </w:pPr>
      <w:proofErr w:type="spellStart"/>
      <w:r>
        <w:rPr>
          <w:sz w:val="19"/>
          <w:szCs w:val="19"/>
        </w:rPr>
        <w:t>Sennrich</w:t>
      </w:r>
      <w:proofErr w:type="spellEnd"/>
      <w:r>
        <w:rPr>
          <w:sz w:val="19"/>
          <w:szCs w:val="19"/>
        </w:rPr>
        <w:t xml:space="preserve">, R., Haddow, B., &amp; Birch, A. (2016). Neural machine translation of rare words with </w:t>
      </w:r>
      <w:proofErr w:type="spellStart"/>
      <w:r>
        <w:rPr>
          <w:sz w:val="19"/>
          <w:szCs w:val="19"/>
        </w:rPr>
        <w:t>subword</w:t>
      </w:r>
      <w:proofErr w:type="spellEnd"/>
      <w:r>
        <w:rPr>
          <w:sz w:val="19"/>
          <w:szCs w:val="19"/>
        </w:rPr>
        <w:t xml:space="preserve"> units. Proceedings of ACL 2016.</w:t>
      </w:r>
    </w:p>
    <w:p w14:paraId="7544830E" w14:textId="77777777" w:rsidR="00192DA0" w:rsidRDefault="00000000">
      <w:pPr>
        <w:spacing w:after="60"/>
        <w:ind w:left="360" w:hanging="360"/>
      </w:pPr>
      <w:r>
        <w:rPr>
          <w:sz w:val="19"/>
          <w:szCs w:val="19"/>
        </w:rPr>
        <w:t>Press, O., &amp; Wolf, L. (2017). Using the output embedding to improve language models. Proceedings of EACL 2017.</w:t>
      </w:r>
    </w:p>
    <w:p w14:paraId="6064AD5D" w14:textId="77777777" w:rsidR="00192DA0" w:rsidRDefault="00000000">
      <w:pPr>
        <w:spacing w:after="60"/>
        <w:ind w:left="360" w:hanging="360"/>
      </w:pPr>
      <w:r>
        <w:rPr>
          <w:sz w:val="19"/>
          <w:szCs w:val="19"/>
        </w:rPr>
        <w:t xml:space="preserve">Zhang, T., Kishore, V., Wu, F., Weinberger, K. Q., &amp; Artzi, Y. (2020). </w:t>
      </w:r>
      <w:proofErr w:type="spellStart"/>
      <w:r>
        <w:rPr>
          <w:sz w:val="19"/>
          <w:szCs w:val="19"/>
        </w:rPr>
        <w:t>BERTScore</w:t>
      </w:r>
      <w:proofErr w:type="spellEnd"/>
      <w:r>
        <w:rPr>
          <w:sz w:val="19"/>
          <w:szCs w:val="19"/>
        </w:rPr>
        <w:t>: Evaluating text generation with BERT. Proceedings of ICLR 2020.</w:t>
      </w:r>
    </w:p>
    <w:p w14:paraId="115BBD9A" w14:textId="77777777" w:rsidR="00192DA0" w:rsidRDefault="00000000">
      <w:pPr>
        <w:spacing w:after="60"/>
        <w:ind w:left="360" w:hanging="360"/>
      </w:pPr>
      <w:proofErr w:type="spellStart"/>
      <w:r>
        <w:rPr>
          <w:sz w:val="19"/>
          <w:szCs w:val="19"/>
        </w:rPr>
        <w:t>Papineni</w:t>
      </w:r>
      <w:proofErr w:type="spellEnd"/>
      <w:r>
        <w:rPr>
          <w:sz w:val="19"/>
          <w:szCs w:val="19"/>
        </w:rPr>
        <w:t xml:space="preserve">, K., </w:t>
      </w:r>
      <w:proofErr w:type="spellStart"/>
      <w:r>
        <w:rPr>
          <w:sz w:val="19"/>
          <w:szCs w:val="19"/>
        </w:rPr>
        <w:t>Roukos</w:t>
      </w:r>
      <w:proofErr w:type="spellEnd"/>
      <w:r>
        <w:rPr>
          <w:sz w:val="19"/>
          <w:szCs w:val="19"/>
        </w:rPr>
        <w:t>, S., Ward, T., &amp; Zhu, W.-J. (2002). BLEU: A method for automatic evaluation of machine translation. Proceedings of ACL 2002.</w:t>
      </w:r>
    </w:p>
    <w:p w14:paraId="0785773E" w14:textId="77777777" w:rsidR="00192DA0" w:rsidRDefault="00000000">
      <w:pPr>
        <w:spacing w:after="60"/>
        <w:ind w:left="360" w:hanging="360"/>
      </w:pPr>
      <w:r>
        <w:rPr>
          <w:sz w:val="19"/>
          <w:szCs w:val="19"/>
        </w:rPr>
        <w:t xml:space="preserve">Szegedy, C., Vanhoucke, V., Ioffe, S., Shlens, J., &amp; </w:t>
      </w:r>
      <w:proofErr w:type="spellStart"/>
      <w:r>
        <w:rPr>
          <w:sz w:val="19"/>
          <w:szCs w:val="19"/>
        </w:rPr>
        <w:t>Wojna</w:t>
      </w:r>
      <w:proofErr w:type="spellEnd"/>
      <w:r>
        <w:rPr>
          <w:sz w:val="19"/>
          <w:szCs w:val="19"/>
        </w:rPr>
        <w:t>, Z. (2016). Rethinking the Inception architecture for computer vision. Proceedings of CVPR 2016. (Label smoothing.)</w:t>
      </w:r>
    </w:p>
    <w:p w14:paraId="263C4524" w14:textId="77777777" w:rsidR="00192DA0" w:rsidRDefault="00000000">
      <w:pPr>
        <w:spacing w:after="60"/>
        <w:ind w:left="360" w:hanging="360"/>
        <w:rPr>
          <w:sz w:val="19"/>
          <w:szCs w:val="19"/>
        </w:rPr>
      </w:pPr>
      <w:r>
        <w:rPr>
          <w:sz w:val="19"/>
          <w:szCs w:val="19"/>
        </w:rPr>
        <w:t xml:space="preserve">Bird, S., Klein, E., &amp; Loper, E. (2009). Natural Language Processing with Python. O'Reilly Media. (NLTK, used for </w:t>
      </w:r>
      <w:proofErr w:type="spellStart"/>
      <w:r>
        <w:rPr>
          <w:sz w:val="19"/>
          <w:szCs w:val="19"/>
        </w:rPr>
        <w:t>corpus_bleu</w:t>
      </w:r>
      <w:proofErr w:type="spellEnd"/>
      <w:r>
        <w:rPr>
          <w:sz w:val="19"/>
          <w:szCs w:val="19"/>
        </w:rPr>
        <w:t>.)</w:t>
      </w:r>
    </w:p>
    <w:p w14:paraId="218F1A53" w14:textId="77777777" w:rsidR="00B424DA" w:rsidRDefault="00B424DA">
      <w:pPr>
        <w:spacing w:after="60"/>
        <w:ind w:left="360" w:hanging="360"/>
        <w:rPr>
          <w:sz w:val="19"/>
          <w:szCs w:val="19"/>
        </w:rPr>
      </w:pPr>
    </w:p>
    <w:p w14:paraId="195E559B" w14:textId="77777777" w:rsidR="00B424DA" w:rsidRDefault="00B424DA">
      <w:pPr>
        <w:spacing w:after="60"/>
        <w:ind w:left="360" w:hanging="360"/>
        <w:rPr>
          <w:sz w:val="19"/>
          <w:szCs w:val="19"/>
        </w:rPr>
      </w:pPr>
    </w:p>
    <w:p w14:paraId="46631043" w14:textId="0A53F68F" w:rsidR="00B424DA" w:rsidRDefault="00B424DA">
      <w:pPr>
        <w:spacing w:after="60"/>
        <w:ind w:left="360" w:hanging="360"/>
        <w:rPr>
          <w:sz w:val="19"/>
          <w:szCs w:val="19"/>
        </w:rPr>
      </w:pPr>
      <w:proofErr w:type="spellStart"/>
      <w:r>
        <w:rPr>
          <w:sz w:val="19"/>
          <w:szCs w:val="19"/>
        </w:rPr>
        <w:t>Github</w:t>
      </w:r>
      <w:proofErr w:type="spellEnd"/>
      <w:r>
        <w:rPr>
          <w:sz w:val="19"/>
          <w:szCs w:val="19"/>
        </w:rPr>
        <w:t xml:space="preserve"> link : </w:t>
      </w:r>
      <w:r w:rsidR="008E20B5">
        <w:rPr>
          <w:sz w:val="19"/>
          <w:szCs w:val="19"/>
        </w:rPr>
        <w:t xml:space="preserve">   </w:t>
      </w:r>
      <w:hyperlink r:id="rId6" w:history="1">
        <w:r w:rsidR="008E20B5" w:rsidRPr="008E20B5">
          <w:rPr>
            <w:rStyle w:val="Hyperlink"/>
            <w:sz w:val="19"/>
            <w:szCs w:val="19"/>
          </w:rPr>
          <w:t>https://github.com/abhinay01-rgb/Sanskrit-English</w:t>
        </w:r>
      </w:hyperlink>
    </w:p>
    <w:p w14:paraId="2DBC9F85" w14:textId="77777777" w:rsidR="00B424DA" w:rsidRDefault="00B424DA">
      <w:pPr>
        <w:spacing w:after="60"/>
        <w:ind w:left="360" w:hanging="360"/>
      </w:pPr>
    </w:p>
    <w:sectPr w:rsidR="00B424DA">
      <w:pgSz w:w="11906" w:h="16838"/>
      <w:pgMar w:top="1134" w:right="1247" w:bottom="1134" w:left="124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90C6A"/>
    <w:multiLevelType w:val="hybridMultilevel"/>
    <w:tmpl w:val="FEF8F49E"/>
    <w:lvl w:ilvl="0" w:tplc="19A88DF0">
      <w:start w:val="1"/>
      <w:numFmt w:val="bullet"/>
      <w:lvlText w:val="●"/>
      <w:lvlJc w:val="left"/>
      <w:pPr>
        <w:ind w:left="720" w:hanging="360"/>
      </w:pPr>
    </w:lvl>
    <w:lvl w:ilvl="1" w:tplc="C284B44A">
      <w:start w:val="1"/>
      <w:numFmt w:val="bullet"/>
      <w:lvlText w:val="○"/>
      <w:lvlJc w:val="left"/>
      <w:pPr>
        <w:ind w:left="1440" w:hanging="360"/>
      </w:pPr>
    </w:lvl>
    <w:lvl w:ilvl="2" w:tplc="FE50FB86">
      <w:start w:val="1"/>
      <w:numFmt w:val="bullet"/>
      <w:lvlText w:val="■"/>
      <w:lvlJc w:val="left"/>
      <w:pPr>
        <w:ind w:left="2160" w:hanging="360"/>
      </w:pPr>
    </w:lvl>
    <w:lvl w:ilvl="3" w:tplc="F8A21F2A">
      <w:start w:val="1"/>
      <w:numFmt w:val="bullet"/>
      <w:lvlText w:val="●"/>
      <w:lvlJc w:val="left"/>
      <w:pPr>
        <w:ind w:left="2880" w:hanging="360"/>
      </w:pPr>
    </w:lvl>
    <w:lvl w:ilvl="4" w:tplc="127683EA">
      <w:start w:val="1"/>
      <w:numFmt w:val="bullet"/>
      <w:lvlText w:val="○"/>
      <w:lvlJc w:val="left"/>
      <w:pPr>
        <w:ind w:left="3600" w:hanging="360"/>
      </w:pPr>
    </w:lvl>
    <w:lvl w:ilvl="5" w:tplc="20944502">
      <w:start w:val="1"/>
      <w:numFmt w:val="bullet"/>
      <w:lvlText w:val="■"/>
      <w:lvlJc w:val="left"/>
      <w:pPr>
        <w:ind w:left="4320" w:hanging="360"/>
      </w:pPr>
    </w:lvl>
    <w:lvl w:ilvl="6" w:tplc="C41AA052">
      <w:start w:val="1"/>
      <w:numFmt w:val="bullet"/>
      <w:lvlText w:val="●"/>
      <w:lvlJc w:val="left"/>
      <w:pPr>
        <w:ind w:left="5040" w:hanging="360"/>
      </w:pPr>
    </w:lvl>
    <w:lvl w:ilvl="7" w:tplc="E2AEE368">
      <w:start w:val="1"/>
      <w:numFmt w:val="bullet"/>
      <w:lvlText w:val="●"/>
      <w:lvlJc w:val="left"/>
      <w:pPr>
        <w:ind w:left="5760" w:hanging="360"/>
      </w:pPr>
    </w:lvl>
    <w:lvl w:ilvl="8" w:tplc="8B8E4454">
      <w:start w:val="1"/>
      <w:numFmt w:val="bullet"/>
      <w:lvlText w:val="●"/>
      <w:lvlJc w:val="left"/>
      <w:pPr>
        <w:ind w:left="6480" w:hanging="360"/>
      </w:pPr>
    </w:lvl>
  </w:abstractNum>
  <w:num w:numId="1" w16cid:durableId="1526457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DA0"/>
    <w:rsid w:val="00192DA0"/>
    <w:rsid w:val="00724ABC"/>
    <w:rsid w:val="008A24B7"/>
    <w:rsid w:val="008E20B5"/>
    <w:rsid w:val="00B424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28278"/>
  <w15:docId w15:val="{931C269A-1BFC-4325-9ED3-C91195F84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E20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bhinay01-rgb/Sanskrit-English"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2523</Words>
  <Characters>14386</Characters>
  <Application>Microsoft Office Word</Application>
  <DocSecurity>0</DocSecurity>
  <Lines>119</Lines>
  <Paragraphs>33</Paragraphs>
  <ScaleCrop>false</ScaleCrop>
  <Company/>
  <LinksUpToDate>false</LinksUpToDate>
  <CharactersWithSpaces>16876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Sanskrit-English NMT Report</dc:title>
  <dc:creator>Ayush</dc:creator>
  <cp:lastModifiedBy>ABHINAY YADAV</cp:lastModifiedBy>
  <cp:revision>3</cp:revision>
  <dcterms:created xsi:type="dcterms:W3CDTF">2026-07-04T18:16:00Z</dcterms:created>
  <dcterms:modified xsi:type="dcterms:W3CDTF">2026-07-04T18:20:00Z</dcterms:modified>
</cp:coreProperties>
</file>