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48"/>
          <w:szCs w:val="48"/>
        </w:rPr>
        <w:t xml:space="preserve">Real-Time Fraud Detection System</w:t>
      </w:r>
    </w:p>
    <w:p>
      <w:pPr>
        <w:spacing w:after="80" w:before="0"/>
        <w:jc w:val="center"/>
      </w:pPr>
      <w:r>
        <w:rPr>
          <w:rFonts w:ascii="Arial" w:cs="Arial" w:eastAsia="Arial" w:hAnsi="Arial"/>
          <w:color w:val="2E5090"/>
          <w:sz w:val="28"/>
          <w:szCs w:val="28"/>
        </w:rPr>
        <w:t xml:space="preserve">Task 8 — Insights &amp; Business Recommendations</w:t>
      </w:r>
    </w:p>
    <w:p>
      <w:pPr>
        <w:spacing w:after="480" w:before="0"/>
        <w:jc w:val="center"/>
      </w:pPr>
      <w:r>
        <w:rPr>
          <w:rFonts w:ascii="Arial" w:cs="Arial" w:eastAsia="Arial" w:hAnsi="Arial"/>
          <w:color w:val="888888"/>
          <w:sz w:val="22"/>
          <w:szCs w:val="22"/>
        </w:rPr>
        <w:t xml:space="preserve">Week 4 Capstone | AI &amp; Data Analytics Internship</w:t>
      </w:r>
    </w:p>
    <w:p>
      <w:pPr>
        <w:pStyle w:val="Heading1"/>
        <w:pBdr>
          <w:bottom w:val="single" w:color="1F3864" w:sz="6" w:space="1"/>
        </w:pBdr>
        <w:spacing w:after="200" w:before="360"/>
      </w:pPr>
      <w:r>
        <w:rPr>
          <w:rFonts w:ascii="Arial" w:cs="Arial" w:eastAsia="Arial" w:hAnsi="Arial"/>
          <w:b/>
          <w:bCs/>
          <w:color w:val="1F3864"/>
          <w:sz w:val="32"/>
          <w:szCs w:val="32"/>
        </w:rPr>
        <w:t xml:space="preserve">1. Best Performing Model</w:t>
      </w:r>
    </w:p>
    <w:p>
      <w:pPr>
        <w:spacing w:after="80" w:before="80"/>
        <w:jc w:val="both"/>
      </w:pPr>
      <w:r>
        <w:rPr>
          <w:rFonts w:ascii="Arial" w:cs="Arial" w:eastAsia="Arial" w:hAnsi="Arial"/>
          <w:sz w:val="22"/>
          <w:szCs w:val="22"/>
        </w:rPr>
        <w:t xml:space="preserve">LightGBM outperformed both XGBoost and Isolation Forest across all evaluation metrics, particularly on PR-AUC and F1-Score which are the metrics that truly matter for fraud detection.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F1-Score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ROC-AUC</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PR-AUC</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Recall</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LightGBM (Tuned)</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Best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Best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Best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Best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XGBoost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 2nd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 2nd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 2nd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Close 2nd</w:t>
            </w:r>
          </w:p>
        </w:tc>
      </w:tr>
      <w:tr>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Isolation Forest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Weakest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Weakest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Weakest</w:t>
            </w:r>
          </w:p>
        </w:tc>
        <w:tc>
          <w:tcPr>
            <w:tcW w:type="dxa" w:w="1872"/>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Weakest</w:t>
            </w:r>
          </w:p>
        </w:tc>
      </w:tr>
    </w:tbl>
    <w:p>
      <w:pPr>
        <w:spacing w:after="80" w:before="120"/>
      </w:pPr>
    </w:p>
    <w:p>
      <w:pPr>
        <w:spacing w:after="80" w:before="80"/>
        <w:jc w:val="both"/>
      </w:pPr>
      <w:r>
        <w:rPr>
          <w:rFonts w:ascii="Arial" w:cs="Arial" w:eastAsia="Arial" w:hAnsi="Arial"/>
          <w:sz w:val="22"/>
          <w:szCs w:val="22"/>
        </w:rPr>
        <w:t xml:space="preserve">LightGBM won because of its leaf-wise tree growth strategy which captures complex fraud patterns more precisely than XGBoost's depth-wise approach. It also handles large imbalanced datasets faster and more efficiently. Isolation Forest fell behind because it is an unsupervised method that ignores the available labels — it cannot compete when ground truth is present.</w:t>
      </w:r>
    </w:p>
    <w:p>
      <w:pPr>
        <w:pStyle w:val="Heading1"/>
        <w:pBdr>
          <w:bottom w:val="single" w:color="1F3864" w:sz="6" w:space="1"/>
        </w:pBdr>
        <w:spacing w:after="200" w:before="360"/>
      </w:pPr>
      <w:r>
        <w:rPr>
          <w:rFonts w:ascii="Arial" w:cs="Arial" w:eastAsia="Arial" w:hAnsi="Arial"/>
          <w:b/>
          <w:bCs/>
          <w:color w:val="1F3864"/>
          <w:sz w:val="32"/>
          <w:szCs w:val="32"/>
        </w:rPr>
        <w:t xml:space="preserve">2. Why PR-AUC Matters More Than Accuracy</w:t>
      </w:r>
    </w:p>
    <w:p>
      <w:pPr>
        <w:spacing w:after="80" w:before="80"/>
        <w:jc w:val="both"/>
      </w:pPr>
      <w:r>
        <w:rPr>
          <w:rFonts w:ascii="Arial" w:cs="Arial" w:eastAsia="Arial" w:hAnsi="Arial"/>
          <w:sz w:val="22"/>
          <w:szCs w:val="22"/>
        </w:rPr>
        <w:t xml:space="preserve">With only 3.5% fraud in the dataset, a model that blindly predicts 'not fraud' every single time would still achieve 96.5% accuracy — making accuracy a completely meaningless metric here.</w:t>
      </w:r>
    </w:p>
    <w:p>
      <w:pPr>
        <w:spacing w:after="80" w:before="80"/>
      </w:pPr>
    </w:p>
    <w:p>
      <w:pPr>
        <w:spacing w:after="80" w:before="80"/>
        <w:jc w:val="both"/>
      </w:pPr>
      <w:r>
        <w:rPr>
          <w:rFonts w:ascii="Arial" w:cs="Arial" w:eastAsia="Arial" w:hAnsi="Arial"/>
          <w:sz w:val="22"/>
          <w:szCs w:val="22"/>
        </w:rPr>
        <w:t xml:space="preserve">PR-AUC (Precision-Recall Area Under Curve) focuses exclusively on the positive class — fraud. It measures how well the model identifies actual fraud cases at every possible threshold without being inflated by the massive number of legitimate transactions. A high PR-AUC means the model genuinely finds fraud, not just predicts the majority class.</w:t>
      </w:r>
    </w:p>
    <w:p>
      <w:pPr>
        <w:pStyle w:val="Heading1"/>
        <w:pBdr>
          <w:bottom w:val="single" w:color="1F3864" w:sz="6" w:space="1"/>
        </w:pBdr>
        <w:spacing w:after="200" w:before="360"/>
      </w:pPr>
      <w:r>
        <w:rPr>
          <w:rFonts w:ascii="Arial" w:cs="Arial" w:eastAsia="Arial" w:hAnsi="Arial"/>
          <w:b/>
          <w:bCs/>
          <w:color w:val="1F3864"/>
          <w:sz w:val="32"/>
          <w:szCs w:val="32"/>
        </w:rPr>
        <w:t xml:space="preserve">3. Top 3 Fraud Signals Identified by SHAP</w:t>
      </w:r>
    </w:p>
    <w:p>
      <w:pPr>
        <w:pStyle w:val="Heading2"/>
        <w:spacing w:after="120" w:before="280"/>
      </w:pPr>
      <w:r>
        <w:rPr>
          <w:rFonts w:ascii="Arial" w:cs="Arial" w:eastAsia="Arial" w:hAnsi="Arial"/>
          <w:b/>
          <w:bCs/>
          <w:color w:val="2E5090"/>
          <w:sz w:val="26"/>
          <w:szCs w:val="26"/>
        </w:rPr>
        <w:t xml:space="preserve">Signal 1 — Transaction Amount</w:t>
      </w:r>
    </w:p>
    <w:p>
      <w:pPr>
        <w:spacing w:after="80" w:before="80"/>
        <w:jc w:val="both"/>
      </w:pPr>
      <w:r>
        <w:rPr>
          <w:rFonts w:ascii="Arial" w:cs="Arial" w:eastAsia="Arial" w:hAnsi="Arial"/>
          <w:sz w:val="22"/>
          <w:szCs w:val="22"/>
        </w:rPr>
        <w:t xml:space="preserve">TransactionAmt ranked as the top SHAP feature across all cases. Fraudulent transactions consistently showed unusually high amounts relative to the account's typical pattern. The AmtToMeanRatio engineered feature amplified this signal further.</w:t>
      </w:r>
    </w:p>
    <w:p>
      <w:pPr>
        <w:pStyle w:val="Heading2"/>
        <w:spacing w:after="120" w:before="280"/>
      </w:pPr>
      <w:r>
        <w:rPr>
          <w:rFonts w:ascii="Arial" w:cs="Arial" w:eastAsia="Arial" w:hAnsi="Arial"/>
          <w:b/>
          <w:bCs/>
          <w:color w:val="2E5090"/>
          <w:sz w:val="26"/>
          <w:szCs w:val="26"/>
        </w:rPr>
        <w:t xml:space="preserve">Signal 2 — Vesta Engineered V-Columns</w:t>
      </w:r>
    </w:p>
    <w:p>
      <w:pPr>
        <w:spacing w:after="80" w:before="80"/>
        <w:jc w:val="both"/>
      </w:pPr>
      <w:r>
        <w:rPr>
          <w:rFonts w:ascii="Arial" w:cs="Arial" w:eastAsia="Arial" w:hAnsi="Arial"/>
          <w:sz w:val="22"/>
          <w:szCs w:val="22"/>
        </w:rPr>
        <w:t xml:space="preserve">Several anonymized V-columns (Vesta's proprietary behavioral features) showed consistently high SHAP values across fraud cases. While their exact meaning is not public, they clearly encode strong behavioral anomaly signals that the model learned to leverage.</w:t>
      </w:r>
    </w:p>
    <w:p>
      <w:pPr>
        <w:pStyle w:val="Heading2"/>
        <w:spacing w:after="120" w:before="280"/>
      </w:pPr>
      <w:r>
        <w:rPr>
          <w:rFonts w:ascii="Arial" w:cs="Arial" w:eastAsia="Arial" w:hAnsi="Arial"/>
          <w:b/>
          <w:bCs/>
          <w:color w:val="2E5090"/>
          <w:sz w:val="26"/>
          <w:szCs w:val="26"/>
        </w:rPr>
        <w:t xml:space="preserve">Signal 3 — Hour of Day</w:t>
      </w:r>
    </w:p>
    <w:p>
      <w:pPr>
        <w:spacing w:after="80" w:before="80"/>
        <w:jc w:val="both"/>
      </w:pPr>
      <w:r>
        <w:rPr>
          <w:rFonts w:ascii="Arial" w:cs="Arial" w:eastAsia="Arial" w:hAnsi="Arial"/>
          <w:sz w:val="22"/>
          <w:szCs w:val="22"/>
        </w:rPr>
        <w:t xml:space="preserve">The HourOfDay engineered feature appeared consistently in SHAP waterfall plots for high-risk transactions. Fraud activity peaked between 1am and 5am — hours when account owners are unlikely to be monitoring their accounts, giving fraudsters a wider window of opportunity.</w:t>
      </w:r>
    </w:p>
    <w:p>
      <w:pPr>
        <w:pStyle w:val="Heading1"/>
        <w:pBdr>
          <w:bottom w:val="single" w:color="1F3864" w:sz="6" w:space="1"/>
        </w:pBdr>
        <w:spacing w:after="200" w:before="360"/>
      </w:pPr>
      <w:r>
        <w:rPr>
          <w:rFonts w:ascii="Arial" w:cs="Arial" w:eastAsia="Arial" w:hAnsi="Arial"/>
          <w:b/>
          <w:bCs/>
          <w:color w:val="1F3864"/>
          <w:sz w:val="32"/>
          <w:szCs w:val="32"/>
        </w:rPr>
        <w:t xml:space="preserve">4. Common Characteristics of Critical Risk Transactions</w:t>
      </w:r>
    </w:p>
    <w:p>
      <w:pPr>
        <w:pStyle w:val="ListParagraph"/>
        <w:numPr>
          <w:ilvl w:val="0"/>
          <w:numId w:val="2"/>
        </w:numPr>
        <w:spacing w:after="60" w:before="60"/>
      </w:pPr>
      <w:r>
        <w:rPr>
          <w:rFonts w:ascii="Arial" w:cs="Arial" w:eastAsia="Arial" w:hAnsi="Arial"/>
          <w:sz w:val="22"/>
          <w:szCs w:val="22"/>
        </w:rPr>
        <w:t xml:space="preserve">Transaction amounts significantly higher than the account average</w:t>
      </w:r>
    </w:p>
    <w:p>
      <w:pPr>
        <w:pStyle w:val="ListParagraph"/>
        <w:numPr>
          <w:ilvl w:val="0"/>
          <w:numId w:val="2"/>
        </w:numPr>
        <w:spacing w:after="60" w:before="60"/>
      </w:pPr>
      <w:r>
        <w:rPr>
          <w:rFonts w:ascii="Arial" w:cs="Arial" w:eastAsia="Arial" w:hAnsi="Arial"/>
          <w:sz w:val="22"/>
          <w:szCs w:val="22"/>
        </w:rPr>
        <w:t xml:space="preserve">Concentrated in late night and early morning hours (1am–5am)</w:t>
      </w:r>
    </w:p>
    <w:p>
      <w:pPr>
        <w:pStyle w:val="ListParagraph"/>
        <w:numPr>
          <w:ilvl w:val="0"/>
          <w:numId w:val="2"/>
        </w:numPr>
        <w:spacing w:after="60" w:before="60"/>
      </w:pPr>
      <w:r>
        <w:rPr>
          <w:rFonts w:ascii="Arial" w:cs="Arial" w:eastAsia="Arial" w:hAnsi="Arial"/>
          <w:sz w:val="22"/>
          <w:szCs w:val="22"/>
        </w:rPr>
        <w:t xml:space="preserve">Associated with unfamiliar or mismatched device types</w:t>
      </w:r>
    </w:p>
    <w:p>
      <w:pPr>
        <w:pStyle w:val="ListParagraph"/>
        <w:numPr>
          <w:ilvl w:val="0"/>
          <w:numId w:val="2"/>
        </w:numPr>
        <w:spacing w:after="60" w:before="60"/>
      </w:pPr>
      <w:r>
        <w:rPr>
          <w:rFonts w:ascii="Arial" w:cs="Arial" w:eastAsia="Arial" w:hAnsi="Arial"/>
          <w:sz w:val="22"/>
          <w:szCs w:val="22"/>
        </w:rPr>
        <w:t xml:space="preserve">Specific product categories appeared disproportionately in high-risk cases</w:t>
      </w:r>
    </w:p>
    <w:p>
      <w:pPr>
        <w:pStyle w:val="ListParagraph"/>
        <w:numPr>
          <w:ilvl w:val="0"/>
          <w:numId w:val="2"/>
        </w:numPr>
        <w:spacing w:after="60" w:before="60"/>
      </w:pPr>
      <w:r>
        <w:rPr>
          <w:rFonts w:ascii="Arial" w:cs="Arial" w:eastAsia="Arial" w:hAnsi="Arial"/>
          <w:sz w:val="22"/>
          <w:szCs w:val="22"/>
        </w:rPr>
        <w:t xml:space="preserve">High V-column anomaly scores suggesting unusual behavioral patterns</w:t>
      </w:r>
    </w:p>
    <w:p>
      <w:pPr>
        <w:pStyle w:val="Heading1"/>
        <w:pBdr>
          <w:bottom w:val="single" w:color="1F3864" w:sz="6" w:space="1"/>
        </w:pBdr>
        <w:spacing w:after="200" w:before="360"/>
      </w:pPr>
      <w:r>
        <w:rPr>
          <w:rFonts w:ascii="Arial" w:cs="Arial" w:eastAsia="Arial" w:hAnsi="Arial"/>
          <w:b/>
          <w:bCs/>
          <w:color w:val="1F3864"/>
          <w:sz w:val="32"/>
          <w:szCs w:val="32"/>
        </w:rPr>
        <w:t xml:space="preserve">5. Actionable Fraud Prevention Policies</w:t>
      </w:r>
    </w:p>
    <w:p>
      <w:pPr>
        <w:pStyle w:val="Heading2"/>
        <w:spacing w:after="120" w:before="280"/>
      </w:pPr>
      <w:r>
        <w:rPr>
          <w:rFonts w:ascii="Arial" w:cs="Arial" w:eastAsia="Arial" w:hAnsi="Arial"/>
          <w:b/>
          <w:bCs/>
          <w:color w:val="2E5090"/>
          <w:sz w:val="26"/>
          <w:szCs w:val="26"/>
        </w:rPr>
        <w:t xml:space="preserve">Policy 1 — Auto-Block Critical Risk Transactions</w:t>
      </w:r>
    </w:p>
    <w:p>
      <w:pPr>
        <w:spacing w:after="80" w:before="80"/>
        <w:jc w:val="both"/>
      </w:pPr>
      <w:r>
        <w:rPr>
          <w:rFonts w:ascii="Arial" w:cs="Arial" w:eastAsia="Arial" w:hAnsi="Arial"/>
          <w:sz w:val="22"/>
          <w:szCs w:val="22"/>
        </w:rPr>
        <w:t xml:space="preserve">Any transaction with a fraud probability of 0.75 or higher should be automatically blocked and queued for immediate analyst review. Based on test set performance, this tier contains the highest density of actual fraud. The cost of a false positive (blocking a legitimate transaction) is far lower than missing a genuine fraud case.</w:t>
      </w:r>
    </w:p>
    <w:p>
      <w:pPr>
        <w:pStyle w:val="Heading2"/>
        <w:spacing w:after="120" w:before="280"/>
      </w:pPr>
      <w:r>
        <w:rPr>
          <w:rFonts w:ascii="Arial" w:cs="Arial" w:eastAsia="Arial" w:hAnsi="Arial"/>
          <w:b/>
          <w:bCs/>
          <w:color w:val="2E5090"/>
          <w:sz w:val="26"/>
          <w:szCs w:val="26"/>
        </w:rPr>
        <w:t xml:space="preserve">Policy 2 — Soft Friction for Suspicious Transactions</w:t>
      </w:r>
    </w:p>
    <w:p>
      <w:pPr>
        <w:spacing w:after="80" w:before="80"/>
        <w:jc w:val="both"/>
      </w:pPr>
      <w:r>
        <w:rPr>
          <w:rFonts w:ascii="Arial" w:cs="Arial" w:eastAsia="Arial" w:hAnsi="Arial"/>
          <w:sz w:val="22"/>
          <w:szCs w:val="22"/>
        </w:rPr>
        <w:t xml:space="preserve">Transactions scoring between 0.40 and 0.74 should trigger a lightweight verification step such as OTP confirmation or biometric authentication rather than an outright block. This reduces fraud exposure without creating unnecessary friction for legitimate customers, preserving the user experience while adding a meaningful security layer.</w:t>
      </w:r>
    </w:p>
    <w:p>
      <w:pPr>
        <w:pStyle w:val="Heading1"/>
        <w:pBdr>
          <w:bottom w:val="single" w:color="1F3864" w:sz="6" w:space="1"/>
        </w:pBdr>
        <w:spacing w:after="200" w:before="360"/>
      </w:pPr>
      <w:r>
        <w:rPr>
          <w:rFonts w:ascii="Arial" w:cs="Arial" w:eastAsia="Arial" w:hAnsi="Arial"/>
          <w:b/>
          <w:bCs/>
          <w:color w:val="1F3864"/>
          <w:sz w:val="32"/>
          <w:szCs w:val="32"/>
        </w:rPr>
        <w:t xml:space="preserve">6. Estimated Annual Savings</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Assumption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Monthly transactions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1,000,000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Fraud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3.5%</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Monthly fraud cases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35,000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catch rate (Critical tier)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Fraud cases prevented monthly</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28,000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Average fraud transaction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$150</w:t>
            </w:r>
          </w:p>
        </w:tc>
      </w:tr>
      <w:tr>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Monthly savings</w:t>
            </w:r>
          </w:p>
        </w:tc>
        <w:tc>
          <w:tcPr>
            <w:tcW w:type="dxa" w:w="468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2"/>
                <w:szCs w:val="22"/>
              </w:rPr>
              <w:t xml:space="preserve">$4,200,000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Annual savings estimate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~$50,000,000</w:t>
            </w:r>
          </w:p>
        </w:tc>
      </w:tr>
    </w:tbl>
    <w:p>
      <w:pPr>
        <w:spacing w:after="80" w:before="120"/>
      </w:pPr>
    </w:p>
    <w:p>
      <w:pPr>
        <w:pStyle w:val="Heading1"/>
        <w:pBdr>
          <w:bottom w:val="single" w:color="1F3864" w:sz="6" w:space="1"/>
        </w:pBdr>
        <w:spacing w:after="200" w:before="360"/>
      </w:pPr>
      <w:r>
        <w:rPr>
          <w:rFonts w:ascii="Arial" w:cs="Arial" w:eastAsia="Arial" w:hAnsi="Arial"/>
          <w:b/>
          <w:bCs/>
          <w:color w:val="1F3864"/>
          <w:sz w:val="32"/>
          <w:szCs w:val="32"/>
        </w:rPr>
        <w:t xml:space="preserve">7. Model Limitations</w:t>
      </w:r>
    </w:p>
    <w:p>
      <w:pPr>
        <w:pStyle w:val="ListParagraph"/>
        <w:numPr>
          <w:ilvl w:val="0"/>
          <w:numId w:val="2"/>
        </w:numPr>
        <w:spacing w:after="60" w:before="60"/>
      </w:pPr>
      <w:r>
        <w:rPr>
          <w:rFonts w:ascii="Arial" w:cs="Arial" w:eastAsia="Arial" w:hAnsi="Arial"/>
          <w:sz w:val="22"/>
          <w:szCs w:val="22"/>
        </w:rPr>
        <w:t xml:space="preserve">Trained on historical patterns — novel fraud attacks not seen in training data may go undetected until the model is retrained on fresh data.</w:t>
      </w:r>
    </w:p>
    <w:p>
      <w:pPr>
        <w:pStyle w:val="ListParagraph"/>
        <w:numPr>
          <w:ilvl w:val="0"/>
          <w:numId w:val="2"/>
        </w:numPr>
        <w:spacing w:after="60" w:before="60"/>
      </w:pPr>
      <w:r>
        <w:rPr>
          <w:rFonts w:ascii="Arial" w:cs="Arial" w:eastAsia="Arial" w:hAnsi="Arial"/>
          <w:sz w:val="22"/>
          <w:szCs w:val="22"/>
        </w:rPr>
        <w:t xml:space="preserve">SMOTE generates synthetic samples which may not fully reflect real fraud behavior in production environments.</w:t>
      </w:r>
    </w:p>
    <w:p>
      <w:pPr>
        <w:pStyle w:val="ListParagraph"/>
        <w:numPr>
          <w:ilvl w:val="0"/>
          <w:numId w:val="2"/>
        </w:numPr>
        <w:spacing w:after="60" w:before="60"/>
      </w:pPr>
      <w:r>
        <w:rPr>
          <w:rFonts w:ascii="Arial" w:cs="Arial" w:eastAsia="Arial" w:hAnsi="Arial"/>
          <w:sz w:val="22"/>
          <w:szCs w:val="22"/>
        </w:rPr>
        <w:t xml:space="preserve">V-columns are anonymized — their exact meaning cannot be interpreted, making it harder to explain predictions to non-technical stakeholders and regulators.</w:t>
      </w:r>
    </w:p>
    <w:p>
      <w:pPr>
        <w:pStyle w:val="ListParagraph"/>
        <w:numPr>
          <w:ilvl w:val="0"/>
          <w:numId w:val="2"/>
        </w:numPr>
        <w:spacing w:after="60" w:before="60"/>
      </w:pPr>
      <w:r>
        <w:rPr>
          <w:rFonts w:ascii="Arial" w:cs="Arial" w:eastAsia="Arial" w:hAnsi="Arial"/>
          <w:sz w:val="22"/>
          <w:szCs w:val="22"/>
        </w:rPr>
        <w:t xml:space="preserve">The model was evaluated on a fixed test set — performance may degrade over time as fraud patterns evolve (concept drift).</w:t>
      </w:r>
    </w:p>
    <w:p>
      <w:pPr>
        <w:pStyle w:val="ListParagraph"/>
        <w:numPr>
          <w:ilvl w:val="0"/>
          <w:numId w:val="2"/>
        </w:numPr>
        <w:spacing w:after="60" w:before="60"/>
      </w:pPr>
      <w:r>
        <w:rPr>
          <w:rFonts w:ascii="Arial" w:cs="Arial" w:eastAsia="Arial" w:hAnsi="Arial"/>
          <w:sz w:val="22"/>
          <w:szCs w:val="22"/>
        </w:rPr>
        <w:t xml:space="preserve">Threshold was optimized for F1, which balances precision and recall — in some business contexts a different trade-off may be preferred.</w:t>
      </w:r>
    </w:p>
    <w:p>
      <w:pPr>
        <w:pStyle w:val="Heading1"/>
        <w:pBdr>
          <w:bottom w:val="single" w:color="1F3864" w:sz="6" w:space="1"/>
        </w:pBdr>
        <w:spacing w:after="200" w:before="360"/>
      </w:pPr>
      <w:r>
        <w:rPr>
          <w:rFonts w:ascii="Arial" w:cs="Arial" w:eastAsia="Arial" w:hAnsi="Arial"/>
          <w:b/>
          <w:bCs/>
          <w:color w:val="1F3864"/>
          <w:sz w:val="32"/>
          <w:szCs w:val="32"/>
        </w:rPr>
        <w:t xml:space="preserve">8. Additional Data That Could Improve Performance</w:t>
      </w:r>
    </w:p>
    <w:p>
      <w:pPr>
        <w:pStyle w:val="Heading2"/>
        <w:spacing w:after="120" w:before="280"/>
      </w:pPr>
      <w:r>
        <w:rPr>
          <w:rFonts w:ascii="Arial" w:cs="Arial" w:eastAsia="Arial" w:hAnsi="Arial"/>
          <w:b/>
          <w:bCs/>
          <w:color w:val="2E5090"/>
          <w:sz w:val="26"/>
          <w:szCs w:val="26"/>
        </w:rPr>
        <w:t xml:space="preserve">Geolocation Data</w:t>
      </w:r>
    </w:p>
    <w:p>
      <w:pPr>
        <w:spacing w:after="80" w:before="80"/>
        <w:jc w:val="both"/>
      </w:pPr>
      <w:r>
        <w:rPr>
          <w:rFonts w:ascii="Arial" w:cs="Arial" w:eastAsia="Arial" w:hAnsi="Arial"/>
          <w:sz w:val="22"/>
          <w:szCs w:val="22"/>
        </w:rPr>
        <w:t xml:space="preserve">IP address and GPS coordinates would allow the model to detect impossible travel fraud — for example, a transaction in Mumbai and another in London within the same hour. This is one of the strongest real-world fraud signals that is currently missing from this dataset.</w:t>
      </w:r>
    </w:p>
    <w:p>
      <w:pPr>
        <w:pStyle w:val="Heading2"/>
        <w:spacing w:after="120" w:before="280"/>
      </w:pPr>
      <w:r>
        <w:rPr>
          <w:rFonts w:ascii="Arial" w:cs="Arial" w:eastAsia="Arial" w:hAnsi="Arial"/>
          <w:b/>
          <w:bCs/>
          <w:color w:val="2E5090"/>
          <w:sz w:val="26"/>
          <w:szCs w:val="26"/>
        </w:rPr>
        <w:t xml:space="preserve">User Behavioral History</w:t>
      </w:r>
    </w:p>
    <w:p>
      <w:pPr>
        <w:spacing w:after="80" w:before="80"/>
        <w:jc w:val="both"/>
      </w:pPr>
      <w:r>
        <w:rPr>
          <w:rFonts w:ascii="Arial" w:cs="Arial" w:eastAsia="Arial" w:hAnsi="Arial"/>
          <w:sz w:val="22"/>
          <w:szCs w:val="22"/>
        </w:rPr>
        <w:t xml:space="preserve">Past transaction frequency, typical spending amounts, usual login times, and known merchant categories per user would dramatically strengthen the behavioral anomaly detection capability of the model.</w:t>
      </w:r>
    </w:p>
    <w:p>
      <w:pPr>
        <w:pStyle w:val="Heading2"/>
        <w:spacing w:after="120" w:before="280"/>
      </w:pPr>
      <w:r>
        <w:rPr>
          <w:rFonts w:ascii="Arial" w:cs="Arial" w:eastAsia="Arial" w:hAnsi="Arial"/>
          <w:b/>
          <w:bCs/>
          <w:color w:val="2E5090"/>
          <w:sz w:val="26"/>
          <w:szCs w:val="26"/>
        </w:rPr>
        <w:t xml:space="preserve">Device Fingerprinting</w:t>
      </w:r>
    </w:p>
    <w:p>
      <w:pPr>
        <w:spacing w:after="80" w:before="80"/>
        <w:jc w:val="both"/>
      </w:pPr>
      <w:r>
        <w:rPr>
          <w:rFonts w:ascii="Arial" w:cs="Arial" w:eastAsia="Arial" w:hAnsi="Arial"/>
          <w:sz w:val="22"/>
          <w:szCs w:val="22"/>
        </w:rPr>
        <w:t xml:space="preserve">Full device metadata beyond just DeviceType — including browser fingerprint, screen resolution, installed fonts, and OS version — would improve the DeviceRisk feature and help identify fraudsters reusing the same device across multiple accounts.</w:t>
      </w:r>
    </w:p>
    <w:p>
      <w:pPr>
        <w:spacing w:after="0" w:before="480"/>
      </w:pPr>
    </w:p>
    <w:p>
      <w:pPr>
        <w:jc w:val="center"/>
      </w:pPr>
      <w:r>
        <w:rPr>
          <w:rFonts w:ascii="Arial" w:cs="Arial" w:eastAsia="Arial" w:hAnsi="Arial"/>
          <w:i/>
          <w:iCs/>
          <w:color w:val="AAAAAA"/>
          <w:sz w:val="18"/>
          <w:szCs w:val="18"/>
        </w:rPr>
        <w:t xml:space="preserve">This document was prepared as part of the Week 4 Capstone Project — Real-Time Fraud Detection System with Explainable 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2026-05-24T12:12:22.085Z</dcterms:created>
  <dcterms:modified xsi:type="dcterms:W3CDTF">2026-05-24T12:12:22.085Z</dcterms:modified>
</cp:coreProperties>
</file>

<file path=docProps/custom.xml><?xml version="1.0" encoding="utf-8"?>
<Properties xmlns="http://schemas.openxmlformats.org/officeDocument/2006/custom-properties" xmlns:vt="http://schemas.openxmlformats.org/officeDocument/2006/docPropsVTypes"/>
</file>