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240" w:line="360" w:lineRule="auto"/>
        <w:jc w:val="center"/>
      </w:pPr>
      <w:r>
        <w:rPr>
          <w:rFonts w:ascii="Times New Roman" w:hAnsi="Times New Roman"/>
          <w:b/>
          <w:i w:val="0"/>
          <w:color w:val="0F172A"/>
          <w:sz w:val="36"/>
        </w:rPr>
        <w:t>TradePulse: Real-Time Stock Price Dashboard and Portfolio Management System</w:t>
      </w:r>
    </w:p>
    <w:p>
      <w:pPr>
        <w:spacing w:after="120" w:before="0" w:line="360" w:lineRule="auto"/>
        <w:jc w:val="center"/>
      </w:pPr>
      <w:r>
        <w:rPr>
          <w:rFonts w:ascii="Times New Roman" w:hAnsi="Times New Roman"/>
          <w:b w:val="0"/>
          <w:i w:val="0"/>
          <w:color w:val="000000"/>
          <w:sz w:val="24"/>
        </w:rPr>
        <w:t>A Project Report</w:t>
        <w:br/>
        <w:t>Submitted</w:t>
        <w:br/>
        <w:t>In Partial Fulfillment of the Requirements</w:t>
        <w:br/>
        <w:t>For the Degree of</w:t>
      </w:r>
    </w:p>
    <w:p>
      <w:pPr>
        <w:spacing w:after="80" w:before="0" w:line="360" w:lineRule="auto"/>
        <w:jc w:val="center"/>
      </w:pPr>
      <w:r>
        <w:rPr>
          <w:rFonts w:ascii="Times New Roman" w:hAnsi="Times New Roman"/>
          <w:b/>
          <w:i w:val="0"/>
          <w:color w:val="000000"/>
          <w:sz w:val="28"/>
        </w:rPr>
        <w:t>Bachelor of Technology (B.Tech)</w:t>
      </w:r>
    </w:p>
    <w:p>
      <w:pPr>
        <w:spacing w:after="280" w:before="0" w:line="360" w:lineRule="auto"/>
        <w:jc w:val="center"/>
      </w:pPr>
      <w:r>
        <w:rPr>
          <w:rFonts w:ascii="Times New Roman" w:hAnsi="Times New Roman"/>
          <w:b w:val="0"/>
          <w:i w:val="0"/>
          <w:color w:val="000000"/>
          <w:sz w:val="24"/>
        </w:rPr>
        <w:t>in</w:t>
        <w:br/>
        <w:t>Computer Science &amp; Engineering</w:t>
      </w:r>
    </w:p>
    <w:p>
      <w:pPr>
        <w:spacing w:after="80" w:before="0" w:line="360" w:lineRule="auto"/>
        <w:jc w:val="center"/>
      </w:pPr>
      <w:r>
        <w:rPr>
          <w:rFonts w:ascii="Times New Roman" w:hAnsi="Times New Roman"/>
          <w:b w:val="0"/>
          <w:i/>
          <w:color w:val="000000"/>
          <w:sz w:val="22"/>
        </w:rPr>
        <w:t>by</w:t>
      </w:r>
    </w:p>
    <w:tbl>
      <w:tblPr>
        <w:tblW w:type="auto" w:w="0"/>
        <w:jc w:val="center"/>
        <w:tblLook w:firstColumn="1" w:firstRow="1" w:lastColumn="0" w:lastRow="0" w:noHBand="0" w:noVBand="1" w:val="04A0"/>
      </w:tblPr>
      <w:tblGrid>
        <w:gridCol w:w="4500"/>
        <w:gridCol w:w="4500"/>
      </w:tblGrid>
      <w:tr>
        <w:tc>
          <w:tcPr>
            <w:tcW w:type="dxa" w:w="4500"/>
            <w:tcMar>
              <w:top w:w="60" w:type="dxa"/>
              <w:bottom w:w="60" w:type="dxa"/>
              <w:left w:w="100" w:type="dxa"/>
              <w:right w:w="100" w:type="dxa"/>
            </w:tcMar>
          </w:tcPr>
          <w:p>
            <w:pPr>
              <w:spacing w:line="276" w:lineRule="auto"/>
              <w:jc w:val="center"/>
            </w:pPr>
            <w:r>
              <w:rPr>
                <w:rFonts w:ascii="Times New Roman" w:hAnsi="Times New Roman"/>
                <w:b/>
                <w:sz w:val="22"/>
              </w:rPr>
              <w:t>Abhinay Singh</w:t>
              <w:br/>
              <w:t>(2001920100166)</w:t>
            </w:r>
          </w:p>
        </w:tc>
        <w:tc>
          <w:tcPr>
            <w:tcW w:type="dxa" w:w="4500"/>
            <w:tcMar>
              <w:top w:w="60" w:type="dxa"/>
              <w:bottom w:w="60" w:type="dxa"/>
              <w:left w:w="100" w:type="dxa"/>
              <w:right w:w="100" w:type="dxa"/>
            </w:tcMar>
          </w:tcPr>
          <w:p>
            <w:pPr>
              <w:spacing w:line="276" w:lineRule="auto"/>
              <w:jc w:val="center"/>
            </w:pPr>
            <w:r>
              <w:rPr>
                <w:rFonts w:ascii="Times New Roman" w:hAnsi="Times New Roman"/>
                <w:b/>
                <w:sz w:val="22"/>
              </w:rPr>
              <w:t>Mehul Rana</w:t>
              <w:br/>
              <w:t>(2001920100177)</w:t>
            </w:r>
          </w:p>
        </w:tc>
      </w:tr>
      <w:tr>
        <w:tc>
          <w:tcPr>
            <w:tcW w:type="dxa" w:w="4500"/>
            <w:tcMar>
              <w:top w:w="60" w:type="dxa"/>
              <w:bottom w:w="60" w:type="dxa"/>
              <w:left w:w="100" w:type="dxa"/>
              <w:right w:w="100" w:type="dxa"/>
            </w:tcMar>
          </w:tcPr>
          <w:p>
            <w:pPr>
              <w:spacing w:line="276" w:lineRule="auto"/>
              <w:jc w:val="center"/>
            </w:pPr>
            <w:r>
              <w:rPr>
                <w:rFonts w:ascii="Times New Roman" w:hAnsi="Times New Roman"/>
                <w:b/>
                <w:sz w:val="22"/>
              </w:rPr>
              <w:t>Kriti Joshi</w:t>
              <w:br/>
              <w:t>(2001920100152)</w:t>
            </w:r>
          </w:p>
        </w:tc>
        <w:tc>
          <w:tcPr>
            <w:tcW w:type="dxa" w:w="4500"/>
            <w:tcMar>
              <w:top w:w="60" w:type="dxa"/>
              <w:bottom w:w="60" w:type="dxa"/>
              <w:left w:w="100" w:type="dxa"/>
              <w:right w:w="100" w:type="dxa"/>
            </w:tcMar>
          </w:tcPr>
          <w:p>
            <w:pPr>
              <w:spacing w:line="276" w:lineRule="auto"/>
              <w:jc w:val="center"/>
            </w:pPr>
            <w:r>
              <w:rPr>
                <w:rFonts w:ascii="Times New Roman" w:hAnsi="Times New Roman"/>
                <w:b/>
                <w:sz w:val="22"/>
              </w:rPr>
              <w:t>Lalit Kumar</w:t>
              <w:br/>
              <w:t>(2001920100161)</w:t>
            </w:r>
          </w:p>
        </w:tc>
      </w:tr>
    </w:tbl>
    <w:p>
      <w:pPr>
        <w:spacing w:after="40" w:before="200" w:line="360" w:lineRule="auto"/>
        <w:jc w:val="center"/>
      </w:pPr>
      <w:r>
        <w:rPr>
          <w:rFonts w:ascii="Times New Roman" w:hAnsi="Times New Roman"/>
          <w:b w:val="0"/>
          <w:i/>
          <w:color w:val="000000"/>
          <w:sz w:val="22"/>
        </w:rPr>
        <w:br/>
        <w:t>Under the Supervision of</w:t>
      </w:r>
    </w:p>
    <w:p>
      <w:pPr>
        <w:spacing w:after="280" w:before="0" w:line="360" w:lineRule="auto"/>
        <w:jc w:val="center"/>
      </w:pPr>
      <w:r>
        <w:rPr>
          <w:rFonts w:ascii="Times New Roman" w:hAnsi="Times New Roman"/>
          <w:b/>
          <w:i w:val="0"/>
          <w:color w:val="000000"/>
          <w:sz w:val="24"/>
        </w:rPr>
        <w:t>Dr. Asha Rani Mishra</w:t>
        <w:br/>
        <w:t>Associate Professor</w:t>
      </w:r>
    </w:p>
    <w:p>
      <w:pPr>
        <w:spacing w:after="40"/>
        <w:jc w:val="center"/>
      </w:pPr>
      <w:r>
        <w:drawing>
          <wp:inline xmlns:a="http://schemas.openxmlformats.org/drawingml/2006/main" xmlns:pic="http://schemas.openxmlformats.org/drawingml/2006/picture">
            <wp:extent cx="1645920" cy="1609702"/>
            <wp:docPr id="1" name="Picture 1"/>
            <wp:cNvGraphicFramePr>
              <a:graphicFrameLocks noChangeAspect="1"/>
            </wp:cNvGraphicFramePr>
            <a:graphic>
              <a:graphicData uri="http://schemas.openxmlformats.org/drawingml/2006/picture">
                <pic:pic>
                  <pic:nvPicPr>
                    <pic:cNvPr id="0" name="glbajaj_logo.jpg"/>
                    <pic:cNvPicPr/>
                  </pic:nvPicPr>
                  <pic:blipFill>
                    <a:blip r:embed="rId10"/>
                    <a:stretch>
                      <a:fillRect/>
                    </a:stretch>
                  </pic:blipFill>
                  <pic:spPr>
                    <a:xfrm>
                      <a:off x="0" y="0"/>
                      <a:ext cx="1645920" cy="1609702"/>
                    </a:xfrm>
                    <a:prstGeom prst="rect"/>
                  </pic:spPr>
                </pic:pic>
              </a:graphicData>
            </a:graphic>
          </wp:inline>
        </w:drawing>
      </w:r>
    </w:p>
    <w:p>
      <w:pPr>
        <w:spacing w:after="200" w:before="40" w:line="360" w:lineRule="auto"/>
        <w:jc w:val="center"/>
      </w:pPr>
      <w:r>
        <w:rPr>
          <w:rFonts w:ascii="Times New Roman" w:hAnsi="Times New Roman"/>
          <w:b/>
          <w:i w:val="0"/>
          <w:color w:val="000000"/>
          <w:sz w:val="22"/>
        </w:rPr>
        <w:t>DEPARTMENT OF COMPUTER SCIENCE &amp; ENGINEERING</w:t>
        <w:br/>
        <w:t>G L BAJAJ INSTITUTE OF TECHNOLOGY &amp; MANAGEMENT</w:t>
        <w:br/>
        <w:t>GREATER NOIDA</w:t>
      </w:r>
    </w:p>
    <w:p>
      <w:pPr>
        <w:spacing w:after="40"/>
        <w:jc w:val="center"/>
      </w:pPr>
      <w:r>
        <w:drawing>
          <wp:inline xmlns:a="http://schemas.openxmlformats.org/drawingml/2006/main" xmlns:pic="http://schemas.openxmlformats.org/drawingml/2006/picture">
            <wp:extent cx="1280160" cy="1280160"/>
            <wp:docPr id="2" name="Picture 2"/>
            <wp:cNvGraphicFramePr>
              <a:graphicFrameLocks noChangeAspect="1"/>
            </wp:cNvGraphicFramePr>
            <a:graphic>
              <a:graphicData uri="http://schemas.openxmlformats.org/drawingml/2006/picture">
                <pic:pic>
                  <pic:nvPicPr>
                    <pic:cNvPr id="0" name="aktu_logo.png"/>
                    <pic:cNvPicPr/>
                  </pic:nvPicPr>
                  <pic:blipFill>
                    <a:blip r:embed="rId11"/>
                    <a:stretch>
                      <a:fillRect/>
                    </a:stretch>
                  </pic:blipFill>
                  <pic:spPr>
                    <a:xfrm>
                      <a:off x="0" y="0"/>
                      <a:ext cx="1280160" cy="1280160"/>
                    </a:xfrm>
                    <a:prstGeom prst="rect"/>
                  </pic:spPr>
                </pic:pic>
              </a:graphicData>
            </a:graphic>
          </wp:inline>
        </w:drawing>
      </w:r>
    </w:p>
    <w:p>
      <w:pPr>
        <w:spacing w:after="0" w:before="0" w:line="360" w:lineRule="auto"/>
        <w:jc w:val="center"/>
      </w:pPr>
      <w:r>
        <w:rPr>
          <w:rFonts w:ascii="Times New Roman" w:hAnsi="Times New Roman"/>
          <w:b/>
          <w:i w:val="0"/>
          <w:color w:val="000000"/>
          <w:sz w:val="22"/>
        </w:rPr>
        <w:t>DR. A.P.J. ABDUL KALAM TECHNICAL UNIVERSITY</w:t>
        <w:br/>
        <w:t>UTTAR PRADESH, LUCKNOW</w:t>
        <w:br/>
        <w:t>OCTOBER 2026</w:t>
      </w:r>
    </w:p>
    <w:p>
      <w:r>
        <w:br w:type="page"/>
      </w:r>
    </w:p>
    <w:p>
      <w:pPr>
        <w:spacing w:after="360" w:before="0" w:line="360" w:lineRule="auto"/>
        <w:jc w:val="center"/>
      </w:pPr>
      <w:r>
        <w:rPr>
          <w:rFonts w:ascii="Times New Roman" w:hAnsi="Times New Roman"/>
          <w:b/>
          <w:i w:val="0"/>
          <w:color w:val="000000"/>
          <w:sz w:val="32"/>
        </w:rPr>
        <w:t>Declaration</w:t>
      </w:r>
    </w:p>
    <w:p>
      <w:pPr>
        <w:spacing w:after="120" w:before="0" w:line="360" w:lineRule="auto"/>
        <w:jc w:val="both"/>
      </w:pPr>
      <w:r>
        <w:rPr>
          <w:rFonts w:ascii="Times New Roman" w:hAnsi="Times New Roman"/>
          <w:b w:val="0"/>
          <w:i w:val="0"/>
          <w:color w:val="000000"/>
          <w:sz w:val="24"/>
        </w:rPr>
        <w:t>We hereby declare that the project work presented in this report entitled “TradePulse: Real-Time Stock Price Dashboard and Portfolio Management System”, in partial fulfillment of the requirement for the award of the degree of Bachelor of Technology in Computer Science &amp; Engineering, submitted to Dr. A.P.J. Abdul Kalam Technical University, Lucknow, is based on our own work carried out at Department of Computer Science &amp; Engineering, G.L. Bajaj Institute of Technology &amp; Management, Greater Noida. The work contained in the report is true and original to the best of our knowledge and the project work reported in this report has not been submitted by us for award of any other degree or diploma.</w:t>
      </w:r>
    </w:p>
    <w:p>
      <w:pPr>
        <w:spacing w:after="120" w:before="0" w:line="360" w:lineRule="auto"/>
        <w:jc w:val="left"/>
      </w:pPr>
      <w:r>
        <w:rPr>
          <w:rFonts w:ascii="Times New Roman" w:hAnsi="Times New Roman"/>
          <w:b w:val="0"/>
          <w:i w:val="0"/>
          <w:color w:val="000000"/>
          <w:sz w:val="22"/>
        </w:rPr>
        <w:br/>
        <w:br/>
        <w:t>Signature: ______________________</w:t>
        <w:br/>
        <w:t>Name: Abhinay Singh</w:t>
        <w:br/>
        <w:t>Roll No: 2001920100166</w:t>
        <w:br/>
      </w:r>
    </w:p>
    <w:p>
      <w:pPr>
        <w:spacing w:after="120" w:before="0" w:line="360" w:lineRule="auto"/>
        <w:jc w:val="left"/>
      </w:pPr>
      <w:r>
        <w:rPr>
          <w:rFonts w:ascii="Times New Roman" w:hAnsi="Times New Roman"/>
          <w:b w:val="0"/>
          <w:i w:val="0"/>
          <w:color w:val="000000"/>
          <w:sz w:val="22"/>
        </w:rPr>
        <w:t>Signature: ______________________</w:t>
        <w:br/>
        <w:t>Name: Mehul Rana</w:t>
        <w:br/>
        <w:t>Roll No: 2001920100177</w:t>
        <w:br/>
      </w:r>
    </w:p>
    <w:p>
      <w:pPr>
        <w:spacing w:after="120" w:before="0" w:line="360" w:lineRule="auto"/>
        <w:jc w:val="left"/>
      </w:pPr>
      <w:r>
        <w:rPr>
          <w:rFonts w:ascii="Times New Roman" w:hAnsi="Times New Roman"/>
          <w:b w:val="0"/>
          <w:i w:val="0"/>
          <w:color w:val="000000"/>
          <w:sz w:val="22"/>
        </w:rPr>
        <w:t>Signature: ______________________</w:t>
        <w:br/>
        <w:t>Name: Kriti Joshi</w:t>
        <w:br/>
        <w:t>Roll No: 2001920100152</w:t>
        <w:br/>
      </w:r>
    </w:p>
    <w:p>
      <w:pPr>
        <w:spacing w:after="120" w:before="0" w:line="360" w:lineRule="auto"/>
        <w:jc w:val="left"/>
      </w:pPr>
      <w:r>
        <w:rPr>
          <w:rFonts w:ascii="Times New Roman" w:hAnsi="Times New Roman"/>
          <w:b w:val="0"/>
          <w:i w:val="0"/>
          <w:color w:val="000000"/>
          <w:sz w:val="22"/>
        </w:rPr>
        <w:t>Signature: ______________________</w:t>
        <w:br/>
        <w:t>Name: Lalit Kumar</w:t>
        <w:br/>
        <w:t>Roll No: 2001920100161</w:t>
        <w:br/>
      </w:r>
    </w:p>
    <w:p>
      <w:pPr>
        <w:spacing w:after="120" w:before="200" w:line="360" w:lineRule="auto"/>
        <w:jc w:val="left"/>
      </w:pPr>
      <w:r>
        <w:rPr>
          <w:rFonts w:ascii="Times New Roman" w:hAnsi="Times New Roman"/>
          <w:b w:val="0"/>
          <w:i w:val="0"/>
          <w:color w:val="000000"/>
          <w:sz w:val="22"/>
        </w:rPr>
        <w:t>Date: 16 October 2026</w:t>
        <w:br/>
        <w:t>Place: Greater Noida</w:t>
      </w:r>
    </w:p>
    <w:p>
      <w:r>
        <w:br w:type="page"/>
      </w:r>
    </w:p>
    <w:p>
      <w:pPr>
        <w:spacing w:after="360" w:before="0" w:line="360" w:lineRule="auto"/>
        <w:jc w:val="center"/>
      </w:pPr>
      <w:r>
        <w:rPr>
          <w:rFonts w:ascii="Times New Roman" w:hAnsi="Times New Roman"/>
          <w:b/>
          <w:i w:val="0"/>
          <w:color w:val="000000"/>
          <w:sz w:val="32"/>
        </w:rPr>
        <w:t>Certificate</w:t>
      </w:r>
    </w:p>
    <w:p>
      <w:pPr>
        <w:spacing w:after="120" w:before="0" w:line="360" w:lineRule="auto"/>
        <w:jc w:val="both"/>
      </w:pPr>
      <w:r>
        <w:rPr>
          <w:rFonts w:ascii="Times New Roman" w:hAnsi="Times New Roman"/>
          <w:b w:val="0"/>
          <w:i w:val="0"/>
          <w:color w:val="000000"/>
          <w:sz w:val="24"/>
        </w:rPr>
        <w:t>This is to certify that the Project report entitled “TradePulse: Real-Time Stock Price Dashboard and Portfolio Management System” done by Abhinay Singh (2001920100166), Mehul Rana (2001920100177), Kriti Joshi (2001920100152), Lalit Kumar (2001920100161) is an original work carried out by them in Department of Computer Science &amp; Engineering, G.L. Bajaj Institute of Technology &amp; Management, Greater Noida under my guidance. The matter embodied in this project work has not been submitted earlier for the award of any degree or diploma to the best of my knowledge and belief.</w:t>
      </w:r>
    </w:p>
    <w:p>
      <w:pPr>
        <w:spacing w:after="120" w:before="0" w:line="360" w:lineRule="auto"/>
        <w:jc w:val="left"/>
      </w:pPr>
      <w:r>
        <w:rPr>
          <w:rFonts w:ascii="Times New Roman" w:hAnsi="Times New Roman"/>
          <w:b w:val="0"/>
          <w:i w:val="0"/>
          <w:color w:val="000000"/>
          <w:sz w:val="22"/>
        </w:rPr>
        <w:br/>
        <w:br/>
        <w:br/>
        <w:t>Date: 16 October 2026</w:t>
        <w:br/>
        <w:t>Place: Greater Noida</w:t>
      </w:r>
    </w:p>
    <w:tbl>
      <w:tblPr>
        <w:tblW w:type="auto" w:w="0"/>
        <w:jc w:val="center"/>
        <w:tblLook w:firstColumn="1" w:firstRow="1" w:lastColumn="0" w:lastRow="0" w:noHBand="0" w:noVBand="1" w:val="04A0"/>
      </w:tblPr>
      <w:tblGrid>
        <w:gridCol w:w="4500"/>
        <w:gridCol w:w="4500"/>
      </w:tblGrid>
      <w:tr>
        <w:tc>
          <w:tcPr>
            <w:tcW w:type="dxa" w:w="4500"/>
            <w:tcMar>
              <w:top w:w="200" w:type="dxa"/>
              <w:bottom w:w="100" w:type="dxa"/>
              <w:left w:w="100" w:type="dxa"/>
              <w:right w:w="100" w:type="dxa"/>
            </w:tcMar>
          </w:tcPr>
          <w:p>
            <w:pPr>
              <w:jc w:val="center"/>
            </w:pPr>
            <w:r>
              <w:rPr>
                <w:rFonts w:ascii="Times New Roman" w:hAnsi="Times New Roman"/>
                <w:b/>
                <w:sz w:val="22"/>
              </w:rPr>
              <w:t>Dr. Asha Rani Mishra</w:t>
              <w:br/>
              <w:t>Signature of the Supervisor</w:t>
              <w:br/>
              <w:t>Associate Professor</w:t>
            </w:r>
          </w:p>
        </w:tc>
        <w:tc>
          <w:tcPr>
            <w:tcW w:type="dxa" w:w="4500"/>
            <w:tcMar>
              <w:top w:w="200" w:type="dxa"/>
              <w:bottom w:w="100" w:type="dxa"/>
              <w:left w:w="100" w:type="dxa"/>
              <w:right w:w="100" w:type="dxa"/>
            </w:tcMar>
          </w:tcPr>
          <w:p>
            <w:pPr>
              <w:jc w:val="center"/>
            </w:pPr>
            <w:r>
              <w:rPr>
                <w:rFonts w:ascii="Times New Roman" w:hAnsi="Times New Roman"/>
                <w:b/>
                <w:sz w:val="22"/>
              </w:rPr>
              <w:t>Dr. Sansar Singh Chauhan</w:t>
              <w:br/>
              <w:t>Head of Department</w:t>
              <w:br/>
              <w:t>Professor &amp; HOD, CSE</w:t>
            </w:r>
          </w:p>
        </w:tc>
      </w:tr>
    </w:tbl>
    <w:p>
      <w:r>
        <w:br w:type="page"/>
      </w:r>
    </w:p>
    <w:p>
      <w:pPr>
        <w:spacing w:after="360" w:before="0" w:line="360" w:lineRule="auto"/>
        <w:jc w:val="center"/>
      </w:pPr>
      <w:r>
        <w:rPr>
          <w:rFonts w:ascii="Times New Roman" w:hAnsi="Times New Roman"/>
          <w:b/>
          <w:i w:val="0"/>
          <w:color w:val="000000"/>
          <w:sz w:val="32"/>
        </w:rPr>
        <w:t>Acknowledgement</w:t>
      </w:r>
    </w:p>
    <w:p>
      <w:pPr>
        <w:spacing w:after="120" w:before="0" w:line="360" w:lineRule="auto"/>
        <w:jc w:val="both"/>
      </w:pPr>
      <w:r>
        <w:rPr>
          <w:rFonts w:ascii="Times New Roman" w:hAnsi="Times New Roman"/>
          <w:b w:val="0"/>
          <w:i w:val="0"/>
          <w:color w:val="000000"/>
          <w:sz w:val="24"/>
        </w:rPr>
        <w:t>The merciful guidance bestowed to us by the almighty made us stick out this project to a successful end. We humbly pray with sincere heart for his guidance to continue forever.</w:t>
      </w:r>
    </w:p>
    <w:p>
      <w:pPr>
        <w:spacing w:after="120" w:before="0" w:line="360" w:lineRule="auto"/>
        <w:jc w:val="both"/>
      </w:pPr>
      <w:r>
        <w:rPr>
          <w:rFonts w:ascii="Times New Roman" w:hAnsi="Times New Roman"/>
          <w:b w:val="0"/>
          <w:i w:val="0"/>
          <w:color w:val="000000"/>
          <w:sz w:val="24"/>
        </w:rPr>
        <w:t>We pay thanks to our project supervisor Dr. Asha Rani Mishra who has given guidance and light to us during this project. Her versatile knowledge and continuous support have helped us in critical times during the span of this project, specifically regarding real-time architectural resilience, state management patterns, and system verification.</w:t>
      </w:r>
    </w:p>
    <w:p>
      <w:pPr>
        <w:spacing w:after="120" w:before="0" w:line="360" w:lineRule="auto"/>
        <w:jc w:val="both"/>
      </w:pPr>
      <w:r>
        <w:rPr>
          <w:rFonts w:ascii="Times New Roman" w:hAnsi="Times New Roman"/>
          <w:b w:val="0"/>
          <w:i w:val="0"/>
          <w:color w:val="000000"/>
          <w:sz w:val="24"/>
        </w:rPr>
        <w:t>We pay special thanks to our Head of Department Dr. Sansar Singh Chauhan who has always been present as a support and helped us in all possible ways during this project, providing state-of-the-art laboratory facilities and encouraging research excellence.</w:t>
      </w:r>
    </w:p>
    <w:p>
      <w:pPr>
        <w:spacing w:after="120" w:before="0" w:line="360" w:lineRule="auto"/>
        <w:jc w:val="both"/>
      </w:pPr>
      <w:r>
        <w:rPr>
          <w:rFonts w:ascii="Times New Roman" w:hAnsi="Times New Roman"/>
          <w:b w:val="0"/>
          <w:i w:val="0"/>
          <w:color w:val="000000"/>
          <w:sz w:val="24"/>
        </w:rPr>
        <w:t>We also take this opportunity to express our gratitude to all those people who have been directly and indirectly associated with us during the completion of the project, including technical staff and laboratory assistants.</w:t>
      </w:r>
    </w:p>
    <w:p>
      <w:pPr>
        <w:spacing w:after="120" w:before="0" w:line="360" w:lineRule="auto"/>
        <w:jc w:val="both"/>
      </w:pPr>
      <w:r>
        <w:rPr>
          <w:rFonts w:ascii="Times New Roman" w:hAnsi="Times New Roman"/>
          <w:b w:val="0"/>
          <w:i w:val="0"/>
          <w:color w:val="000000"/>
          <w:sz w:val="24"/>
        </w:rPr>
        <w:t>We want to thank our friends who have always encouraged us during this project and provided valuable feedback during the UI usability and performance testing phases.</w:t>
      </w:r>
    </w:p>
    <w:p>
      <w:pPr>
        <w:spacing w:after="120" w:before="0" w:line="360" w:lineRule="auto"/>
        <w:jc w:val="both"/>
      </w:pPr>
      <w:r>
        <w:rPr>
          <w:rFonts w:ascii="Times New Roman" w:hAnsi="Times New Roman"/>
          <w:b w:val="0"/>
          <w:i w:val="0"/>
          <w:color w:val="000000"/>
          <w:sz w:val="24"/>
        </w:rPr>
        <w:t>At the last but not least thanks to all the faculty members of the Department of Computer Science &amp; Engineering who provided constructive suggestions and academic guidance during the period of this project.</w:t>
      </w:r>
    </w:p>
    <w:p>
      <w:r>
        <w:br w:type="page"/>
      </w:r>
    </w:p>
    <w:p>
      <w:pPr>
        <w:spacing w:after="360" w:before="0" w:line="360" w:lineRule="auto"/>
        <w:jc w:val="center"/>
      </w:pPr>
      <w:r>
        <w:rPr>
          <w:rFonts w:ascii="Times New Roman" w:hAnsi="Times New Roman"/>
          <w:b/>
          <w:i w:val="0"/>
          <w:color w:val="000000"/>
          <w:sz w:val="32"/>
        </w:rPr>
        <w:t>Abstract</w:t>
      </w:r>
    </w:p>
    <w:p>
      <w:pPr>
        <w:spacing w:after="120" w:before="0" w:line="360" w:lineRule="auto"/>
        <w:jc w:val="both"/>
      </w:pPr>
      <w:r>
        <w:rPr>
          <w:rFonts w:ascii="Times New Roman" w:hAnsi="Times New Roman"/>
          <w:b w:val="0"/>
          <w:i w:val="0"/>
          <w:color w:val="000000"/>
          <w:sz w:val="24"/>
        </w:rPr>
        <w:t>Modern financial technology (FinTech) demands highly responsive, robust, and accessible platforms capable of streaming low-latency equity metrics to retail investors. Traditional financial market platforms are frequently encumbered by proprietary software licenses, excessive visual clutter, opaque subscription tiers, and severe vulnerabilities arising from client-side API key leakage. In this project, we introduce TradePulse, an enterprise-grade, real-time stock price dashboard, visual analytics suite, and paper trading simulator developed using React 18, Vite, Chart.js, Node.js, and Express. TradePulse incorporates a secure decoupled three-tier architecture that isolates sensitive upstream market API tokens within a lightweight backend gateway while delivering sub-second interactive charting across 36 curated equities spanning US Technology, US Financials, and Indian National Stock Exchange (NSE) indices.</w:t>
      </w:r>
    </w:p>
    <w:p>
      <w:pPr>
        <w:spacing w:after="120" w:before="0" w:line="360" w:lineRule="auto"/>
        <w:jc w:val="both"/>
      </w:pPr>
      <w:r>
        <w:rPr>
          <w:rFonts w:ascii="Times New Roman" w:hAnsi="Times New Roman"/>
          <w:b w:val="0"/>
          <w:i w:val="0"/>
          <w:color w:val="000000"/>
          <w:sz w:val="24"/>
        </w:rPr>
        <w:t>A cornerstone innovation of TradePulse is its dual-mode hybrid resilience architecture: when remote cloud instances enter power-saving sleep cycles or upstream rate limits are encountered, the dashboard autonomously transitions to an in-browser stochastic market engine powered by Geometric Brownian Motion (GBM). This ensures uninterrupted technical analysis, historical candlestick rendering across multiple granularities (1D, 1W, 1M, 1Y), and zero application downtime. Furthermore, TradePulse integrates a virtual paper trading environment endowed with $50,000 in simulated capital, real-time weighted average price accounting, customizable dual-direction price threshold alerts, and automated HTML5 LocalStorage persistence with seamless schema migration.</w:t>
      </w:r>
    </w:p>
    <w:p>
      <w:pPr>
        <w:spacing w:after="120" w:before="0" w:line="360" w:lineRule="auto"/>
        <w:jc w:val="both"/>
      </w:pPr>
      <w:r>
        <w:rPr>
          <w:rFonts w:ascii="Times New Roman" w:hAnsi="Times New Roman"/>
          <w:b w:val="0"/>
          <w:i w:val="0"/>
          <w:color w:val="000000"/>
          <w:sz w:val="24"/>
        </w:rPr>
        <w:t>The system was comprehensively evaluated across functional, performance, and security dimensions. All 13 automated unit and integration test suites achieved 100% pass rates, verifying portfolio math, alert deduplication, CORS whitelisting, and parameter validation. The production client bundle compiles in 142 milliseconds and has been successfully deployed online for zero hosting expenditure via GitHub Pages CDN paired with an on-demand Render cloud web service. The resulting platform delivers institutional-grade financial telemetry with exceptional usability, professional aesthetic restraint, and zero commercial overhead.</w:t>
      </w:r>
    </w:p>
    <w:p>
      <w:r>
        <w:br w:type="page"/>
      </w:r>
    </w:p>
    <w:p>
      <w:pPr>
        <w:spacing w:after="360" w:before="0" w:line="360" w:lineRule="auto"/>
        <w:jc w:val="center"/>
      </w:pPr>
      <w:r>
        <w:rPr>
          <w:rFonts w:ascii="Times New Roman" w:hAnsi="Times New Roman"/>
          <w:b/>
          <w:i w:val="0"/>
          <w:color w:val="000000"/>
          <w:sz w:val="32"/>
        </w:rPr>
        <w:t>Table of Content</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500"/>
        <w:gridCol w:w="4500"/>
      </w:tblGrid>
      <w:tr>
        <w:tc>
          <w:tcPr>
            <w:tcW w:type="dxa" w:w="4500"/>
            <w:tcMar>
              <w:top w:w="40" w:type="dxa"/>
              <w:bottom w:w="40" w:type="dxa"/>
              <w:left w:w="50" w:type="dxa"/>
              <w:right w:w="50" w:type="dxa"/>
            </w:tcMar>
          </w:tcPr>
          <w:p>
            <w:pPr>
              <w:spacing w:line="276" w:lineRule="auto"/>
            </w:pPr>
            <w:r>
              <w:rPr>
                <w:rFonts w:ascii="Times New Roman" w:hAnsi="Times New Roman"/>
                <w:b/>
              </w:rPr>
              <w:t>Declaration</w:t>
            </w:r>
          </w:p>
        </w:tc>
        <w:tc>
          <w:tcPr>
            <w:tcW w:type="dxa" w:w="4500"/>
            <w:tcMar>
              <w:top w:w="40" w:type="dxa"/>
              <w:bottom w:w="40" w:type="dxa"/>
              <w:left w:w="50" w:type="dxa"/>
              <w:right w:w="50" w:type="dxa"/>
            </w:tcMar>
          </w:tcPr>
          <w:p>
            <w:pPr>
              <w:spacing w:line="276" w:lineRule="auto"/>
            </w:pPr>
            <w:r>
              <w:rPr>
                <w:rFonts w:ascii="Times New Roman" w:hAnsi="Times New Roman"/>
                <w:b/>
              </w:rPr>
              <w:t>(ii)</w:t>
            </w:r>
          </w:p>
        </w:tc>
      </w:tr>
      <w:tr>
        <w:tc>
          <w:tcPr>
            <w:tcW w:type="dxa" w:w="4500"/>
            <w:tcMar>
              <w:top w:w="40" w:type="dxa"/>
              <w:bottom w:w="40" w:type="dxa"/>
              <w:left w:w="50" w:type="dxa"/>
              <w:right w:w="50" w:type="dxa"/>
            </w:tcMar>
          </w:tcPr>
          <w:p>
            <w:pPr>
              <w:spacing w:line="276" w:lineRule="auto"/>
            </w:pPr>
            <w:r>
              <w:rPr>
                <w:rFonts w:ascii="Times New Roman" w:hAnsi="Times New Roman"/>
                <w:b/>
              </w:rPr>
              <w:t>Certificate</w:t>
            </w:r>
          </w:p>
        </w:tc>
        <w:tc>
          <w:tcPr>
            <w:tcW w:type="dxa" w:w="4500"/>
            <w:tcMar>
              <w:top w:w="40" w:type="dxa"/>
              <w:bottom w:w="40" w:type="dxa"/>
              <w:left w:w="50" w:type="dxa"/>
              <w:right w:w="50" w:type="dxa"/>
            </w:tcMar>
          </w:tcPr>
          <w:p>
            <w:pPr>
              <w:spacing w:line="276" w:lineRule="auto"/>
            </w:pPr>
            <w:r>
              <w:rPr>
                <w:rFonts w:ascii="Times New Roman" w:hAnsi="Times New Roman"/>
                <w:b/>
              </w:rPr>
              <w:t>(iii)</w:t>
            </w:r>
          </w:p>
        </w:tc>
      </w:tr>
      <w:tr>
        <w:tc>
          <w:tcPr>
            <w:tcW w:type="dxa" w:w="4500"/>
            <w:tcMar>
              <w:top w:w="40" w:type="dxa"/>
              <w:bottom w:w="40" w:type="dxa"/>
              <w:left w:w="50" w:type="dxa"/>
              <w:right w:w="50" w:type="dxa"/>
            </w:tcMar>
          </w:tcPr>
          <w:p>
            <w:pPr>
              <w:spacing w:line="276" w:lineRule="auto"/>
            </w:pPr>
            <w:r>
              <w:rPr>
                <w:rFonts w:ascii="Times New Roman" w:hAnsi="Times New Roman"/>
                <w:b/>
              </w:rPr>
              <w:t>Acknowledgement</w:t>
            </w:r>
          </w:p>
        </w:tc>
        <w:tc>
          <w:tcPr>
            <w:tcW w:type="dxa" w:w="4500"/>
            <w:tcMar>
              <w:top w:w="40" w:type="dxa"/>
              <w:bottom w:w="40" w:type="dxa"/>
              <w:left w:w="50" w:type="dxa"/>
              <w:right w:w="50" w:type="dxa"/>
            </w:tcMar>
          </w:tcPr>
          <w:p>
            <w:pPr>
              <w:spacing w:line="276" w:lineRule="auto"/>
            </w:pPr>
            <w:r>
              <w:rPr>
                <w:rFonts w:ascii="Times New Roman" w:hAnsi="Times New Roman"/>
                <w:b/>
              </w:rPr>
              <w:t>(iv)</w:t>
            </w:r>
          </w:p>
        </w:tc>
      </w:tr>
      <w:tr>
        <w:tc>
          <w:tcPr>
            <w:tcW w:type="dxa" w:w="4500"/>
            <w:tcMar>
              <w:top w:w="40" w:type="dxa"/>
              <w:bottom w:w="40" w:type="dxa"/>
              <w:left w:w="50" w:type="dxa"/>
              <w:right w:w="50" w:type="dxa"/>
            </w:tcMar>
          </w:tcPr>
          <w:p>
            <w:pPr>
              <w:spacing w:line="276" w:lineRule="auto"/>
            </w:pPr>
            <w:r>
              <w:rPr>
                <w:rFonts w:ascii="Times New Roman" w:hAnsi="Times New Roman"/>
                <w:b/>
              </w:rPr>
              <w:t>Abstract</w:t>
            </w:r>
          </w:p>
        </w:tc>
        <w:tc>
          <w:tcPr>
            <w:tcW w:type="dxa" w:w="4500"/>
            <w:tcMar>
              <w:top w:w="40" w:type="dxa"/>
              <w:bottom w:w="40" w:type="dxa"/>
              <w:left w:w="50" w:type="dxa"/>
              <w:right w:w="50" w:type="dxa"/>
            </w:tcMar>
          </w:tcPr>
          <w:p>
            <w:pPr>
              <w:spacing w:line="276" w:lineRule="auto"/>
            </w:pPr>
            <w:r>
              <w:rPr>
                <w:rFonts w:ascii="Times New Roman" w:hAnsi="Times New Roman"/>
                <w:b/>
              </w:rPr>
              <w:t>(v)</w:t>
            </w:r>
          </w:p>
        </w:tc>
      </w:tr>
      <w:tr>
        <w:tc>
          <w:tcPr>
            <w:tcW w:type="dxa" w:w="4500"/>
            <w:tcMar>
              <w:top w:w="40" w:type="dxa"/>
              <w:bottom w:w="40" w:type="dxa"/>
              <w:left w:w="50" w:type="dxa"/>
              <w:right w:w="50" w:type="dxa"/>
            </w:tcMar>
          </w:tcPr>
          <w:p>
            <w:pPr>
              <w:spacing w:line="276" w:lineRule="auto"/>
            </w:pPr>
            <w:r>
              <w:rPr>
                <w:rFonts w:ascii="Times New Roman" w:hAnsi="Times New Roman"/>
                <w:b/>
              </w:rPr>
              <w:t>Table of Content</w:t>
            </w:r>
          </w:p>
        </w:tc>
        <w:tc>
          <w:tcPr>
            <w:tcW w:type="dxa" w:w="4500"/>
            <w:tcMar>
              <w:top w:w="40" w:type="dxa"/>
              <w:bottom w:w="40" w:type="dxa"/>
              <w:left w:w="50" w:type="dxa"/>
              <w:right w:w="50" w:type="dxa"/>
            </w:tcMar>
          </w:tcPr>
          <w:p>
            <w:pPr>
              <w:spacing w:line="276" w:lineRule="auto"/>
            </w:pPr>
            <w:r>
              <w:rPr>
                <w:rFonts w:ascii="Times New Roman" w:hAnsi="Times New Roman"/>
                <w:b/>
              </w:rPr>
              <w:t>(vi)</w:t>
            </w:r>
          </w:p>
        </w:tc>
      </w:tr>
      <w:tr>
        <w:tc>
          <w:tcPr>
            <w:tcW w:type="dxa" w:w="4500"/>
            <w:tcMar>
              <w:top w:w="40" w:type="dxa"/>
              <w:bottom w:w="40" w:type="dxa"/>
              <w:left w:w="50" w:type="dxa"/>
              <w:right w:w="50" w:type="dxa"/>
            </w:tcMar>
          </w:tcPr>
          <w:p>
            <w:pPr>
              <w:spacing w:line="276" w:lineRule="auto"/>
            </w:pPr>
            <w:r>
              <w:rPr>
                <w:rFonts w:ascii="Times New Roman" w:hAnsi="Times New Roman"/>
                <w:b/>
              </w:rPr>
              <w:t>List of Figures</w:t>
            </w:r>
          </w:p>
        </w:tc>
        <w:tc>
          <w:tcPr>
            <w:tcW w:type="dxa" w:w="4500"/>
            <w:tcMar>
              <w:top w:w="40" w:type="dxa"/>
              <w:bottom w:w="40" w:type="dxa"/>
              <w:left w:w="50" w:type="dxa"/>
              <w:right w:w="50" w:type="dxa"/>
            </w:tcMar>
          </w:tcPr>
          <w:p>
            <w:pPr>
              <w:spacing w:line="276" w:lineRule="auto"/>
            </w:pPr>
            <w:r>
              <w:rPr>
                <w:rFonts w:ascii="Times New Roman" w:hAnsi="Times New Roman"/>
                <w:b/>
              </w:rPr>
              <w:t>(vii)</w:t>
            </w:r>
          </w:p>
        </w:tc>
      </w:tr>
      <w:tr>
        <w:tc>
          <w:tcPr>
            <w:tcW w:type="dxa" w:w="4500"/>
            <w:tcMar>
              <w:top w:w="40" w:type="dxa"/>
              <w:bottom w:w="40" w:type="dxa"/>
              <w:left w:w="50" w:type="dxa"/>
              <w:right w:w="50" w:type="dxa"/>
            </w:tcMar>
          </w:tcPr>
          <w:p>
            <w:pPr>
              <w:spacing w:line="276" w:lineRule="auto"/>
            </w:pPr>
            <w:r>
              <w:rPr>
                <w:rFonts w:ascii="Times New Roman" w:hAnsi="Times New Roman"/>
                <w:b/>
              </w:rPr>
              <w:t>Chapter 1. Introduction</w:t>
            </w:r>
          </w:p>
        </w:tc>
        <w:tc>
          <w:tcPr>
            <w:tcW w:type="dxa" w:w="4500"/>
            <w:tcMar>
              <w:top w:w="40" w:type="dxa"/>
              <w:bottom w:w="40" w:type="dxa"/>
              <w:left w:w="50" w:type="dxa"/>
              <w:right w:w="50" w:type="dxa"/>
            </w:tcMar>
          </w:tcPr>
          <w:p>
            <w:pPr>
              <w:spacing w:line="276" w:lineRule="auto"/>
            </w:pPr>
            <w:r>
              <w:rPr>
                <w:rFonts w:ascii="Times New Roman" w:hAnsi="Times New Roman"/>
                <w:b/>
              </w:rPr>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1.1 Preliminaries</w:t>
            </w:r>
          </w:p>
        </w:tc>
        <w:tc>
          <w:tcPr>
            <w:tcW w:type="dxa" w:w="4500"/>
            <w:tcMar>
              <w:top w:w="40" w:type="dxa"/>
              <w:bottom w:w="40" w:type="dxa"/>
              <w:left w:w="50" w:type="dxa"/>
              <w:right w:w="50" w:type="dxa"/>
            </w:tcMar>
          </w:tcPr>
          <w:p>
            <w:pPr>
              <w:spacing w:line="276" w:lineRule="auto"/>
            </w:pPr>
            <w:r>
              <w:rPr>
                <w:rFonts w:ascii="Times New Roman" w:hAnsi="Times New Roman"/>
              </w:rPr>
              <w:t>1</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1.2 Problem Statement</w:t>
            </w:r>
          </w:p>
        </w:tc>
        <w:tc>
          <w:tcPr>
            <w:tcW w:type="dxa" w:w="4500"/>
            <w:tcMar>
              <w:top w:w="40" w:type="dxa"/>
              <w:bottom w:w="40" w:type="dxa"/>
              <w:left w:w="50" w:type="dxa"/>
              <w:right w:w="50" w:type="dxa"/>
            </w:tcMar>
          </w:tcPr>
          <w:p>
            <w:pPr>
              <w:spacing w:line="276" w:lineRule="auto"/>
            </w:pPr>
            <w:r>
              <w:rPr>
                <w:rFonts w:ascii="Times New Roman" w:hAnsi="Times New Roman"/>
              </w:rPr>
              <w:t>3</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1.3 Motivation</w:t>
            </w:r>
          </w:p>
        </w:tc>
        <w:tc>
          <w:tcPr>
            <w:tcW w:type="dxa" w:w="4500"/>
            <w:tcMar>
              <w:top w:w="40" w:type="dxa"/>
              <w:bottom w:w="40" w:type="dxa"/>
              <w:left w:w="50" w:type="dxa"/>
              <w:right w:w="50" w:type="dxa"/>
            </w:tcMar>
          </w:tcPr>
          <w:p>
            <w:pPr>
              <w:spacing w:line="276" w:lineRule="auto"/>
            </w:pPr>
            <w:r>
              <w:rPr>
                <w:rFonts w:ascii="Times New Roman" w:hAnsi="Times New Roman"/>
              </w:rPr>
              <w:t>4</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1.4 Objectives</w:t>
            </w:r>
          </w:p>
        </w:tc>
        <w:tc>
          <w:tcPr>
            <w:tcW w:type="dxa" w:w="4500"/>
            <w:tcMar>
              <w:top w:w="40" w:type="dxa"/>
              <w:bottom w:w="40" w:type="dxa"/>
              <w:left w:w="50" w:type="dxa"/>
              <w:right w:w="50" w:type="dxa"/>
            </w:tcMar>
          </w:tcPr>
          <w:p>
            <w:pPr>
              <w:spacing w:line="276" w:lineRule="auto"/>
            </w:pPr>
            <w:r>
              <w:rPr>
                <w:rFonts w:ascii="Times New Roman" w:hAnsi="Times New Roman"/>
              </w:rPr>
              <w:t>6</w:t>
            </w:r>
          </w:p>
        </w:tc>
      </w:tr>
      <w:tr>
        <w:tc>
          <w:tcPr>
            <w:tcW w:type="dxa" w:w="4500"/>
            <w:tcMar>
              <w:top w:w="40" w:type="dxa"/>
              <w:bottom w:w="40" w:type="dxa"/>
              <w:left w:w="50" w:type="dxa"/>
              <w:right w:w="50" w:type="dxa"/>
            </w:tcMar>
          </w:tcPr>
          <w:p>
            <w:pPr>
              <w:spacing w:line="276" w:lineRule="auto"/>
            </w:pPr>
            <w:r>
              <w:rPr>
                <w:rFonts w:ascii="Times New Roman" w:hAnsi="Times New Roman"/>
                <w:b/>
              </w:rPr>
              <w:t>Chapter 2. Literature Survey</w:t>
            </w:r>
          </w:p>
        </w:tc>
        <w:tc>
          <w:tcPr>
            <w:tcW w:type="dxa" w:w="4500"/>
            <w:tcMar>
              <w:top w:w="40" w:type="dxa"/>
              <w:bottom w:w="40" w:type="dxa"/>
              <w:left w:w="50" w:type="dxa"/>
              <w:right w:w="50" w:type="dxa"/>
            </w:tcMar>
          </w:tcPr>
          <w:p>
            <w:pPr>
              <w:spacing w:line="276" w:lineRule="auto"/>
            </w:pPr>
            <w:r>
              <w:rPr>
                <w:rFonts w:ascii="Times New Roman" w:hAnsi="Times New Roman"/>
                <w:b/>
              </w:rPr>
              <w:t>7</w:t>
            </w:r>
          </w:p>
        </w:tc>
      </w:tr>
      <w:tr>
        <w:tc>
          <w:tcPr>
            <w:tcW w:type="dxa" w:w="4500"/>
            <w:tcMar>
              <w:top w:w="40" w:type="dxa"/>
              <w:bottom w:w="40" w:type="dxa"/>
              <w:left w:w="50" w:type="dxa"/>
              <w:right w:w="50" w:type="dxa"/>
            </w:tcMar>
          </w:tcPr>
          <w:p>
            <w:pPr>
              <w:spacing w:line="276" w:lineRule="auto"/>
            </w:pPr>
            <w:r>
              <w:rPr>
                <w:rFonts w:ascii="Times New Roman" w:hAnsi="Times New Roman"/>
                <w:b/>
              </w:rPr>
              <w:t>Chapter 3. Proposed Methodology &amp; Architecture</w:t>
            </w:r>
          </w:p>
        </w:tc>
        <w:tc>
          <w:tcPr>
            <w:tcW w:type="dxa" w:w="4500"/>
            <w:tcMar>
              <w:top w:w="40" w:type="dxa"/>
              <w:bottom w:w="40" w:type="dxa"/>
              <w:left w:w="50" w:type="dxa"/>
              <w:right w:w="50" w:type="dxa"/>
            </w:tcMar>
          </w:tcPr>
          <w:p>
            <w:pPr>
              <w:spacing w:line="276" w:lineRule="auto"/>
            </w:pPr>
            <w:r>
              <w:rPr>
                <w:rFonts w:ascii="Times New Roman" w:hAnsi="Times New Roman"/>
                <w:b/>
              </w:rPr>
              <w:t>11</w:t>
            </w:r>
          </w:p>
        </w:tc>
      </w:tr>
      <w:tr>
        <w:tc>
          <w:tcPr>
            <w:tcW w:type="dxa" w:w="4500"/>
            <w:tcMar>
              <w:top w:w="40" w:type="dxa"/>
              <w:bottom w:w="40" w:type="dxa"/>
              <w:left w:w="50" w:type="dxa"/>
              <w:right w:w="50" w:type="dxa"/>
            </w:tcMar>
          </w:tcPr>
          <w:p>
            <w:pPr>
              <w:spacing w:line="276" w:lineRule="auto"/>
            </w:pPr>
            <w:r>
              <w:rPr>
                <w:rFonts w:ascii="Times New Roman" w:hAnsi="Times New Roman"/>
                <w:b/>
              </w:rPr>
              <w:t>Chapter 4. Implementation</w:t>
            </w:r>
          </w:p>
        </w:tc>
        <w:tc>
          <w:tcPr>
            <w:tcW w:type="dxa" w:w="4500"/>
            <w:tcMar>
              <w:top w:w="40" w:type="dxa"/>
              <w:bottom w:w="40" w:type="dxa"/>
              <w:left w:w="50" w:type="dxa"/>
              <w:right w:w="50" w:type="dxa"/>
            </w:tcMar>
          </w:tcPr>
          <w:p>
            <w:pPr>
              <w:spacing w:line="276" w:lineRule="auto"/>
            </w:pPr>
            <w:r>
              <w:rPr>
                <w:rFonts w:ascii="Times New Roman" w:hAnsi="Times New Roman"/>
                <w:b/>
              </w:rPr>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4.1 Introduction</w:t>
            </w:r>
          </w:p>
        </w:tc>
        <w:tc>
          <w:tcPr>
            <w:tcW w:type="dxa" w:w="4500"/>
            <w:tcMar>
              <w:top w:w="40" w:type="dxa"/>
              <w:bottom w:w="40" w:type="dxa"/>
              <w:left w:w="50" w:type="dxa"/>
              <w:right w:w="50" w:type="dxa"/>
            </w:tcMar>
          </w:tcPr>
          <w:p>
            <w:pPr>
              <w:spacing w:line="276" w:lineRule="auto"/>
            </w:pPr>
            <w:r>
              <w:rPr>
                <w:rFonts w:ascii="Times New Roman" w:hAnsi="Times New Roman"/>
              </w:rPr>
              <w:t>19</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4.2 Implementation Strategy (Flowcharts, Algorithms &amp; Models)</w:t>
            </w:r>
          </w:p>
        </w:tc>
        <w:tc>
          <w:tcPr>
            <w:tcW w:type="dxa" w:w="4500"/>
            <w:tcMar>
              <w:top w:w="40" w:type="dxa"/>
              <w:bottom w:w="40" w:type="dxa"/>
              <w:left w:w="50" w:type="dxa"/>
              <w:right w:w="50" w:type="dxa"/>
            </w:tcMar>
          </w:tcPr>
          <w:p>
            <w:pPr>
              <w:spacing w:line="276" w:lineRule="auto"/>
            </w:pPr>
            <w:r>
              <w:rPr>
                <w:rFonts w:ascii="Times New Roman" w:hAnsi="Times New Roman"/>
              </w:rPr>
              <w:t>21</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4.3 Tools / Hardware / Software Requirements</w:t>
            </w:r>
          </w:p>
        </w:tc>
        <w:tc>
          <w:tcPr>
            <w:tcW w:type="dxa" w:w="4500"/>
            <w:tcMar>
              <w:top w:w="40" w:type="dxa"/>
              <w:bottom w:w="40" w:type="dxa"/>
              <w:left w:w="50" w:type="dxa"/>
              <w:right w:w="50" w:type="dxa"/>
            </w:tcMar>
          </w:tcPr>
          <w:p>
            <w:pPr>
              <w:spacing w:line="276" w:lineRule="auto"/>
            </w:pPr>
            <w:r>
              <w:rPr>
                <w:rFonts w:ascii="Times New Roman" w:hAnsi="Times New Roman"/>
              </w:rPr>
              <w:t>25</w:t>
            </w:r>
          </w:p>
        </w:tc>
      </w:tr>
      <w:tr>
        <w:tc>
          <w:tcPr>
            <w:tcW w:type="dxa" w:w="4500"/>
            <w:tcMar>
              <w:top w:w="40" w:type="dxa"/>
              <w:bottom w:w="40" w:type="dxa"/>
              <w:left w:w="50" w:type="dxa"/>
              <w:right w:w="50" w:type="dxa"/>
            </w:tcMar>
          </w:tcPr>
          <w:p>
            <w:pPr>
              <w:spacing w:line="276" w:lineRule="auto"/>
            </w:pPr>
            <w:r>
              <w:rPr>
                <w:rFonts w:ascii="Times New Roman" w:hAnsi="Times New Roman"/>
              </w:rPr>
              <w:t xml:space="preserve">    4.4 Expected Outcome &amp; Performance Metrics</w:t>
            </w:r>
          </w:p>
        </w:tc>
        <w:tc>
          <w:tcPr>
            <w:tcW w:type="dxa" w:w="4500"/>
            <w:tcMar>
              <w:top w:w="40" w:type="dxa"/>
              <w:bottom w:w="40" w:type="dxa"/>
              <w:left w:w="50" w:type="dxa"/>
              <w:right w:w="50" w:type="dxa"/>
            </w:tcMar>
          </w:tcPr>
          <w:p>
            <w:pPr>
              <w:spacing w:line="276" w:lineRule="auto"/>
            </w:pPr>
            <w:r>
              <w:rPr>
                <w:rFonts w:ascii="Times New Roman" w:hAnsi="Times New Roman"/>
              </w:rPr>
              <w:t>27</w:t>
            </w:r>
          </w:p>
        </w:tc>
      </w:tr>
      <w:tr>
        <w:tc>
          <w:tcPr>
            <w:tcW w:type="dxa" w:w="4500"/>
            <w:tcMar>
              <w:top w:w="40" w:type="dxa"/>
              <w:bottom w:w="40" w:type="dxa"/>
              <w:left w:w="50" w:type="dxa"/>
              <w:right w:w="50" w:type="dxa"/>
            </w:tcMar>
          </w:tcPr>
          <w:p>
            <w:pPr>
              <w:spacing w:line="276" w:lineRule="auto"/>
            </w:pPr>
            <w:r>
              <w:rPr>
                <w:rFonts w:ascii="Times New Roman" w:hAnsi="Times New Roman"/>
                <w:b/>
              </w:rPr>
              <w:t>Chapter 5. Result &amp; Discussion</w:t>
            </w:r>
          </w:p>
        </w:tc>
        <w:tc>
          <w:tcPr>
            <w:tcW w:type="dxa" w:w="4500"/>
            <w:tcMar>
              <w:top w:w="40" w:type="dxa"/>
              <w:bottom w:w="40" w:type="dxa"/>
              <w:left w:w="50" w:type="dxa"/>
              <w:right w:w="50" w:type="dxa"/>
            </w:tcMar>
          </w:tcPr>
          <w:p>
            <w:pPr>
              <w:spacing w:line="276" w:lineRule="auto"/>
            </w:pPr>
            <w:r>
              <w:rPr>
                <w:rFonts w:ascii="Times New Roman" w:hAnsi="Times New Roman"/>
                <w:b/>
              </w:rPr>
              <w:t>30</w:t>
            </w:r>
          </w:p>
        </w:tc>
      </w:tr>
      <w:tr>
        <w:tc>
          <w:tcPr>
            <w:tcW w:type="dxa" w:w="4500"/>
            <w:tcMar>
              <w:top w:w="40" w:type="dxa"/>
              <w:bottom w:w="40" w:type="dxa"/>
              <w:left w:w="50" w:type="dxa"/>
              <w:right w:w="50" w:type="dxa"/>
            </w:tcMar>
          </w:tcPr>
          <w:p>
            <w:pPr>
              <w:spacing w:line="276" w:lineRule="auto"/>
            </w:pPr>
            <w:r>
              <w:rPr>
                <w:rFonts w:ascii="Times New Roman" w:hAnsi="Times New Roman"/>
                <w:b/>
              </w:rPr>
              <w:t>Chapter 6. Conclusion &amp; Future Scope</w:t>
            </w:r>
          </w:p>
        </w:tc>
        <w:tc>
          <w:tcPr>
            <w:tcW w:type="dxa" w:w="4500"/>
            <w:tcMar>
              <w:top w:w="40" w:type="dxa"/>
              <w:bottom w:w="40" w:type="dxa"/>
              <w:left w:w="50" w:type="dxa"/>
              <w:right w:w="50" w:type="dxa"/>
            </w:tcMar>
          </w:tcPr>
          <w:p>
            <w:pPr>
              <w:spacing w:line="276" w:lineRule="auto"/>
            </w:pPr>
            <w:r>
              <w:rPr>
                <w:rFonts w:ascii="Times New Roman" w:hAnsi="Times New Roman"/>
                <w:b/>
              </w:rPr>
              <w:t>34</w:t>
            </w:r>
          </w:p>
        </w:tc>
      </w:tr>
      <w:tr>
        <w:tc>
          <w:tcPr>
            <w:tcW w:type="dxa" w:w="4500"/>
            <w:tcMar>
              <w:top w:w="40" w:type="dxa"/>
              <w:bottom w:w="40" w:type="dxa"/>
              <w:left w:w="50" w:type="dxa"/>
              <w:right w:w="50" w:type="dxa"/>
            </w:tcMar>
          </w:tcPr>
          <w:p>
            <w:pPr>
              <w:spacing w:line="276" w:lineRule="auto"/>
            </w:pPr>
            <w:r>
              <w:rPr>
                <w:rFonts w:ascii="Times New Roman" w:hAnsi="Times New Roman"/>
                <w:b/>
              </w:rPr>
              <w:t>References</w:t>
            </w:r>
          </w:p>
        </w:tc>
        <w:tc>
          <w:tcPr>
            <w:tcW w:type="dxa" w:w="4500"/>
            <w:tcMar>
              <w:top w:w="40" w:type="dxa"/>
              <w:bottom w:w="40" w:type="dxa"/>
              <w:left w:w="50" w:type="dxa"/>
              <w:right w:w="50" w:type="dxa"/>
            </w:tcMar>
          </w:tcPr>
          <w:p>
            <w:pPr>
              <w:spacing w:line="276" w:lineRule="auto"/>
            </w:pPr>
            <w:r>
              <w:rPr>
                <w:rFonts w:ascii="Times New Roman" w:hAnsi="Times New Roman"/>
                <w:b/>
              </w:rPr>
              <w:t>36</w:t>
            </w:r>
          </w:p>
        </w:tc>
      </w:tr>
      <w:tr>
        <w:tc>
          <w:tcPr>
            <w:tcW w:type="dxa" w:w="4500"/>
            <w:tcMar>
              <w:top w:w="40" w:type="dxa"/>
              <w:bottom w:w="40" w:type="dxa"/>
              <w:left w:w="50" w:type="dxa"/>
              <w:right w:w="50" w:type="dxa"/>
            </w:tcMar>
          </w:tcPr>
          <w:p>
            <w:pPr>
              <w:spacing w:line="276" w:lineRule="auto"/>
            </w:pPr>
            <w:r>
              <w:rPr>
                <w:rFonts w:ascii="Times New Roman" w:hAnsi="Times New Roman"/>
                <w:b/>
              </w:rPr>
              <w:t>Appendix I: Plagiarism Report Summary (&lt;=15%)</w:t>
            </w:r>
          </w:p>
        </w:tc>
        <w:tc>
          <w:tcPr>
            <w:tcW w:type="dxa" w:w="4500"/>
            <w:tcMar>
              <w:top w:w="40" w:type="dxa"/>
              <w:bottom w:w="40" w:type="dxa"/>
              <w:left w:w="50" w:type="dxa"/>
              <w:right w:w="50" w:type="dxa"/>
            </w:tcMar>
          </w:tcPr>
          <w:p>
            <w:pPr>
              <w:spacing w:line="276" w:lineRule="auto"/>
            </w:pPr>
            <w:r>
              <w:rPr>
                <w:rFonts w:ascii="Times New Roman" w:hAnsi="Times New Roman"/>
                <w:b/>
              </w:rPr>
              <w:t>38</w:t>
            </w:r>
          </w:p>
        </w:tc>
      </w:tr>
      <w:tr>
        <w:tc>
          <w:tcPr>
            <w:tcW w:type="dxa" w:w="4500"/>
            <w:tcMar>
              <w:top w:w="40" w:type="dxa"/>
              <w:bottom w:w="40" w:type="dxa"/>
              <w:left w:w="50" w:type="dxa"/>
              <w:right w:w="50" w:type="dxa"/>
            </w:tcMar>
          </w:tcPr>
          <w:p>
            <w:pPr>
              <w:spacing w:line="276" w:lineRule="auto"/>
            </w:pPr>
            <w:r>
              <w:rPr>
                <w:rFonts w:ascii="Times New Roman" w:hAnsi="Times New Roman"/>
                <w:b/>
              </w:rPr>
              <w:t>Appendix II: Project Source Code &amp; Live Deployment Links</w:t>
            </w:r>
          </w:p>
        </w:tc>
        <w:tc>
          <w:tcPr>
            <w:tcW w:type="dxa" w:w="4500"/>
            <w:tcMar>
              <w:top w:w="40" w:type="dxa"/>
              <w:bottom w:w="40" w:type="dxa"/>
              <w:left w:w="50" w:type="dxa"/>
              <w:right w:w="50" w:type="dxa"/>
            </w:tcMar>
          </w:tcPr>
          <w:p>
            <w:pPr>
              <w:spacing w:line="276" w:lineRule="auto"/>
            </w:pPr>
            <w:r>
              <w:rPr>
                <w:rFonts w:ascii="Times New Roman" w:hAnsi="Times New Roman"/>
                <w:b/>
              </w:rPr>
              <w:t>39</w:t>
            </w:r>
          </w:p>
        </w:tc>
      </w:tr>
    </w:tbl>
    <w:p>
      <w:r>
        <w:br w:type="page"/>
      </w:r>
    </w:p>
    <w:p>
      <w:pPr>
        <w:spacing w:after="360" w:before="0" w:line="360" w:lineRule="auto"/>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00"/>
        <w:gridCol w:w="3000"/>
        <w:gridCol w:w="3000"/>
      </w:tblGrid>
      <w:tr>
        <w:tc>
          <w:tcPr>
            <w:tcW w:type="dxa" w:w="3000"/>
            <w:shd w:fill="F1F5F9"/>
            <w:tcMar>
              <w:top w:w="80" w:type="dxa"/>
              <w:bottom w:w="80" w:type="dxa"/>
              <w:left w:w="80" w:type="dxa"/>
              <w:right w:w="80" w:type="dxa"/>
            </w:tcMar>
          </w:tcPr>
          <w:p>
            <w:pPr>
              <w:jc w:val="center"/>
            </w:pPr>
            <w:r>
              <w:rPr>
                <w:rFonts w:ascii="Times New Roman" w:hAnsi="Times New Roman"/>
                <w:b/>
              </w:rPr>
              <w:t>Figure No.</w:t>
            </w:r>
          </w:p>
        </w:tc>
        <w:tc>
          <w:tcPr>
            <w:tcW w:type="dxa" w:w="3000"/>
            <w:shd w:fill="F1F5F9"/>
            <w:tcMar>
              <w:top w:w="80" w:type="dxa"/>
              <w:bottom w:w="80" w:type="dxa"/>
              <w:left w:w="80" w:type="dxa"/>
              <w:right w:w="80" w:type="dxa"/>
            </w:tcMar>
          </w:tcPr>
          <w:p>
            <w:pPr>
              <w:jc w:val="center"/>
            </w:pPr>
            <w:r>
              <w:rPr>
                <w:rFonts w:ascii="Times New Roman" w:hAnsi="Times New Roman"/>
                <w:b/>
              </w:rPr>
              <w:t>Description</w:t>
            </w:r>
          </w:p>
        </w:tc>
        <w:tc>
          <w:tcPr>
            <w:tcW w:type="dxa" w:w="3000"/>
            <w:shd w:fill="F1F5F9"/>
            <w:tcMar>
              <w:top w:w="80" w:type="dxa"/>
              <w:bottom w:w="80" w:type="dxa"/>
              <w:left w:w="80" w:type="dxa"/>
              <w:right w:w="80" w:type="dxa"/>
            </w:tcMar>
          </w:tcPr>
          <w:p>
            <w:pPr>
              <w:jc w:val="center"/>
            </w:pPr>
            <w:r>
              <w:rPr>
                <w:rFonts w:ascii="Times New Roman" w:hAnsi="Times New Roman"/>
                <w:b/>
              </w:rPr>
              <w:t>Page No.</w:t>
            </w:r>
          </w:p>
        </w:tc>
      </w:tr>
      <w:tr>
        <w:tc>
          <w:tcPr>
            <w:tcW w:type="dxa" w:w="3000"/>
            <w:tcMar>
              <w:top w:w="50" w:type="dxa"/>
              <w:bottom w:w="50" w:type="dxa"/>
              <w:left w:w="60" w:type="dxa"/>
              <w:right w:w="60" w:type="dxa"/>
            </w:tcMar>
          </w:tcPr>
          <w:p>
            <w:pPr>
              <w:jc w:val="center"/>
            </w:pPr>
            <w:r>
              <w:rPr>
                <w:rFonts w:ascii="Times New Roman" w:hAnsi="Times New Roman"/>
              </w:rPr>
              <w:t>Figure 1.1</w:t>
            </w:r>
          </w:p>
        </w:tc>
        <w:tc>
          <w:tcPr>
            <w:tcW w:type="dxa" w:w="3000"/>
            <w:tcMar>
              <w:top w:w="50" w:type="dxa"/>
              <w:bottom w:w="50" w:type="dxa"/>
              <w:left w:w="60" w:type="dxa"/>
              <w:right w:w="60" w:type="dxa"/>
            </w:tcMar>
          </w:tcPr>
          <w:p>
            <w:r>
              <w:rPr>
                <w:rFonts w:ascii="Times New Roman" w:hAnsi="Times New Roman"/>
              </w:rPr>
              <w:t>High-Level 3-Tier System Architecture of TradePulse</w:t>
            </w:r>
          </w:p>
        </w:tc>
        <w:tc>
          <w:tcPr>
            <w:tcW w:type="dxa" w:w="3000"/>
            <w:tcMar>
              <w:top w:w="50" w:type="dxa"/>
              <w:bottom w:w="50" w:type="dxa"/>
              <w:left w:w="60" w:type="dxa"/>
              <w:right w:w="60" w:type="dxa"/>
            </w:tcMar>
          </w:tcPr>
          <w:p>
            <w:pPr>
              <w:jc w:val="center"/>
            </w:pPr>
            <w:r>
              <w:rPr>
                <w:rFonts w:ascii="Times New Roman" w:hAnsi="Times New Roman"/>
              </w:rPr>
              <w:t>2</w:t>
            </w:r>
          </w:p>
        </w:tc>
      </w:tr>
      <w:tr>
        <w:tc>
          <w:tcPr>
            <w:tcW w:type="dxa" w:w="3000"/>
            <w:tcMar>
              <w:top w:w="50" w:type="dxa"/>
              <w:bottom w:w="50" w:type="dxa"/>
              <w:left w:w="60" w:type="dxa"/>
              <w:right w:w="60" w:type="dxa"/>
            </w:tcMar>
          </w:tcPr>
          <w:p>
            <w:pPr>
              <w:jc w:val="center"/>
            </w:pPr>
            <w:r>
              <w:rPr>
                <w:rFonts w:ascii="Times New Roman" w:hAnsi="Times New Roman"/>
              </w:rPr>
              <w:t>Figure 1.2</w:t>
            </w:r>
          </w:p>
        </w:tc>
        <w:tc>
          <w:tcPr>
            <w:tcW w:type="dxa" w:w="3000"/>
            <w:tcMar>
              <w:top w:w="50" w:type="dxa"/>
              <w:bottom w:w="50" w:type="dxa"/>
              <w:left w:w="60" w:type="dxa"/>
              <w:right w:w="60" w:type="dxa"/>
            </w:tcMar>
          </w:tcPr>
          <w:p>
            <w:r>
              <w:rPr>
                <w:rFonts w:ascii="Times New Roman" w:hAnsi="Times New Roman"/>
              </w:rPr>
              <w:t>TradePulse Financial Dashboard User Interface Overview</w:t>
            </w:r>
          </w:p>
        </w:tc>
        <w:tc>
          <w:tcPr>
            <w:tcW w:type="dxa" w:w="3000"/>
            <w:tcMar>
              <w:top w:w="50" w:type="dxa"/>
              <w:bottom w:w="50" w:type="dxa"/>
              <w:left w:w="60" w:type="dxa"/>
              <w:right w:w="60" w:type="dxa"/>
            </w:tcMar>
          </w:tcPr>
          <w:p>
            <w:pPr>
              <w:jc w:val="center"/>
            </w:pPr>
            <w:r>
              <w:rPr>
                <w:rFonts w:ascii="Times New Roman" w:hAnsi="Times New Roman"/>
              </w:rPr>
              <w:t>5</w:t>
            </w:r>
          </w:p>
        </w:tc>
      </w:tr>
      <w:tr>
        <w:tc>
          <w:tcPr>
            <w:tcW w:type="dxa" w:w="3000"/>
            <w:tcMar>
              <w:top w:w="50" w:type="dxa"/>
              <w:bottom w:w="50" w:type="dxa"/>
              <w:left w:w="60" w:type="dxa"/>
              <w:right w:w="60" w:type="dxa"/>
            </w:tcMar>
          </w:tcPr>
          <w:p>
            <w:pPr>
              <w:jc w:val="center"/>
            </w:pPr>
            <w:r>
              <w:rPr>
                <w:rFonts w:ascii="Times New Roman" w:hAnsi="Times New Roman"/>
              </w:rPr>
              <w:t>Figure 3.1</w:t>
            </w:r>
          </w:p>
        </w:tc>
        <w:tc>
          <w:tcPr>
            <w:tcW w:type="dxa" w:w="3000"/>
            <w:tcMar>
              <w:top w:w="50" w:type="dxa"/>
              <w:bottom w:w="50" w:type="dxa"/>
              <w:left w:w="60" w:type="dxa"/>
              <w:right w:w="60" w:type="dxa"/>
            </w:tcMar>
          </w:tcPr>
          <w:p>
            <w:r>
              <w:rPr>
                <w:rFonts w:ascii="Times New Roman" w:hAnsi="Times New Roman"/>
              </w:rPr>
              <w:t>Frontend Component Hierarchy and Unidirectional State Flow</w:t>
            </w:r>
          </w:p>
        </w:tc>
        <w:tc>
          <w:tcPr>
            <w:tcW w:type="dxa" w:w="3000"/>
            <w:tcMar>
              <w:top w:w="50" w:type="dxa"/>
              <w:bottom w:w="50" w:type="dxa"/>
              <w:left w:w="60" w:type="dxa"/>
              <w:right w:w="60" w:type="dxa"/>
            </w:tcMar>
          </w:tcPr>
          <w:p>
            <w:pPr>
              <w:jc w:val="center"/>
            </w:pPr>
            <w:r>
              <w:rPr>
                <w:rFonts w:ascii="Times New Roman" w:hAnsi="Times New Roman"/>
              </w:rPr>
              <w:t>12</w:t>
            </w:r>
          </w:p>
        </w:tc>
      </w:tr>
      <w:tr>
        <w:tc>
          <w:tcPr>
            <w:tcW w:type="dxa" w:w="3000"/>
            <w:tcMar>
              <w:top w:w="50" w:type="dxa"/>
              <w:bottom w:w="50" w:type="dxa"/>
              <w:left w:w="60" w:type="dxa"/>
              <w:right w:w="60" w:type="dxa"/>
            </w:tcMar>
          </w:tcPr>
          <w:p>
            <w:pPr>
              <w:jc w:val="center"/>
            </w:pPr>
            <w:r>
              <w:rPr>
                <w:rFonts w:ascii="Times New Roman" w:hAnsi="Times New Roman"/>
              </w:rPr>
              <w:t>Figure 3.2</w:t>
            </w:r>
          </w:p>
        </w:tc>
        <w:tc>
          <w:tcPr>
            <w:tcW w:type="dxa" w:w="3000"/>
            <w:tcMar>
              <w:top w:w="50" w:type="dxa"/>
              <w:bottom w:w="50" w:type="dxa"/>
              <w:left w:w="60" w:type="dxa"/>
              <w:right w:w="60" w:type="dxa"/>
            </w:tcMar>
          </w:tcPr>
          <w:p>
            <w:r>
              <w:rPr>
                <w:rFonts w:ascii="Times New Roman" w:hAnsi="Times New Roman"/>
              </w:rPr>
              <w:t>Express API Gateway Proxy and Upstream Rate-Limit Handler</w:t>
            </w:r>
          </w:p>
        </w:tc>
        <w:tc>
          <w:tcPr>
            <w:tcW w:type="dxa" w:w="3000"/>
            <w:tcMar>
              <w:top w:w="50" w:type="dxa"/>
              <w:bottom w:w="50" w:type="dxa"/>
              <w:left w:w="60" w:type="dxa"/>
              <w:right w:w="60" w:type="dxa"/>
            </w:tcMar>
          </w:tcPr>
          <w:p>
            <w:pPr>
              <w:jc w:val="center"/>
            </w:pPr>
            <w:r>
              <w:rPr>
                <w:rFonts w:ascii="Times New Roman" w:hAnsi="Times New Roman"/>
              </w:rPr>
              <w:t>16</w:t>
            </w:r>
          </w:p>
        </w:tc>
      </w:tr>
      <w:tr>
        <w:tc>
          <w:tcPr>
            <w:tcW w:type="dxa" w:w="3000"/>
            <w:tcMar>
              <w:top w:w="50" w:type="dxa"/>
              <w:bottom w:w="50" w:type="dxa"/>
              <w:left w:w="60" w:type="dxa"/>
              <w:right w:w="60" w:type="dxa"/>
            </w:tcMar>
          </w:tcPr>
          <w:p>
            <w:pPr>
              <w:jc w:val="center"/>
            </w:pPr>
            <w:r>
              <w:rPr>
                <w:rFonts w:ascii="Times New Roman" w:hAnsi="Times New Roman"/>
              </w:rPr>
              <w:t>Figure 4.1</w:t>
            </w:r>
          </w:p>
        </w:tc>
        <w:tc>
          <w:tcPr>
            <w:tcW w:type="dxa" w:w="3000"/>
            <w:tcMar>
              <w:top w:w="50" w:type="dxa"/>
              <w:bottom w:w="50" w:type="dxa"/>
              <w:left w:w="60" w:type="dxa"/>
              <w:right w:w="60" w:type="dxa"/>
            </w:tcMar>
          </w:tcPr>
          <w:p>
            <w:r>
              <w:rPr>
                <w:rFonts w:ascii="Times New Roman" w:hAnsi="Times New Roman"/>
              </w:rPr>
              <w:t>Geometric Brownian Motion Candlestick Generation Flowchart</w:t>
            </w:r>
          </w:p>
        </w:tc>
        <w:tc>
          <w:tcPr>
            <w:tcW w:type="dxa" w:w="3000"/>
            <w:tcMar>
              <w:top w:w="50" w:type="dxa"/>
              <w:bottom w:w="50" w:type="dxa"/>
              <w:left w:w="60" w:type="dxa"/>
              <w:right w:w="60" w:type="dxa"/>
            </w:tcMar>
          </w:tcPr>
          <w:p>
            <w:pPr>
              <w:jc w:val="center"/>
            </w:pPr>
            <w:r>
              <w:rPr>
                <w:rFonts w:ascii="Times New Roman" w:hAnsi="Times New Roman"/>
              </w:rPr>
              <w:t>22</w:t>
            </w:r>
          </w:p>
        </w:tc>
      </w:tr>
      <w:tr>
        <w:tc>
          <w:tcPr>
            <w:tcW w:type="dxa" w:w="3000"/>
            <w:tcMar>
              <w:top w:w="50" w:type="dxa"/>
              <w:bottom w:w="50" w:type="dxa"/>
              <w:left w:w="60" w:type="dxa"/>
              <w:right w:w="60" w:type="dxa"/>
            </w:tcMar>
          </w:tcPr>
          <w:p>
            <w:pPr>
              <w:jc w:val="center"/>
            </w:pPr>
            <w:r>
              <w:rPr>
                <w:rFonts w:ascii="Times New Roman" w:hAnsi="Times New Roman"/>
              </w:rPr>
              <w:t>Figure 4.2</w:t>
            </w:r>
          </w:p>
        </w:tc>
        <w:tc>
          <w:tcPr>
            <w:tcW w:type="dxa" w:w="3000"/>
            <w:tcMar>
              <w:top w:w="50" w:type="dxa"/>
              <w:bottom w:w="50" w:type="dxa"/>
              <w:left w:w="60" w:type="dxa"/>
              <w:right w:w="60" w:type="dxa"/>
            </w:tcMar>
          </w:tcPr>
          <w:p>
            <w:r>
              <w:rPr>
                <w:rFonts w:ascii="Times New Roman" w:hAnsi="Times New Roman"/>
              </w:rPr>
              <w:t>Virtual Portfolio Order Execution and Accounting Flowchart</w:t>
            </w:r>
          </w:p>
        </w:tc>
        <w:tc>
          <w:tcPr>
            <w:tcW w:type="dxa" w:w="3000"/>
            <w:tcMar>
              <w:top w:w="50" w:type="dxa"/>
              <w:bottom w:w="50" w:type="dxa"/>
              <w:left w:w="60" w:type="dxa"/>
              <w:right w:w="60" w:type="dxa"/>
            </w:tcMar>
          </w:tcPr>
          <w:p>
            <w:pPr>
              <w:jc w:val="center"/>
            </w:pPr>
            <w:r>
              <w:rPr>
                <w:rFonts w:ascii="Times New Roman" w:hAnsi="Times New Roman"/>
              </w:rPr>
              <w:t>23</w:t>
            </w:r>
          </w:p>
        </w:tc>
      </w:tr>
      <w:tr>
        <w:tc>
          <w:tcPr>
            <w:tcW w:type="dxa" w:w="3000"/>
            <w:tcMar>
              <w:top w:w="50" w:type="dxa"/>
              <w:bottom w:w="50" w:type="dxa"/>
              <w:left w:w="60" w:type="dxa"/>
              <w:right w:w="60" w:type="dxa"/>
            </w:tcMar>
          </w:tcPr>
          <w:p>
            <w:pPr>
              <w:jc w:val="center"/>
            </w:pPr>
            <w:r>
              <w:rPr>
                <w:rFonts w:ascii="Times New Roman" w:hAnsi="Times New Roman"/>
              </w:rPr>
              <w:t>Figure 4.3</w:t>
            </w:r>
          </w:p>
        </w:tc>
        <w:tc>
          <w:tcPr>
            <w:tcW w:type="dxa" w:w="3000"/>
            <w:tcMar>
              <w:top w:w="50" w:type="dxa"/>
              <w:bottom w:w="50" w:type="dxa"/>
              <w:left w:w="60" w:type="dxa"/>
              <w:right w:w="60" w:type="dxa"/>
            </w:tcMar>
          </w:tcPr>
          <w:p>
            <w:r>
              <w:rPr>
                <w:rFonts w:ascii="Times New Roman" w:hAnsi="Times New Roman"/>
              </w:rPr>
              <w:t>Real-Time Price Alert Engine State Machine &amp; Deduplication</w:t>
            </w:r>
          </w:p>
        </w:tc>
        <w:tc>
          <w:tcPr>
            <w:tcW w:type="dxa" w:w="3000"/>
            <w:tcMar>
              <w:top w:w="50" w:type="dxa"/>
              <w:bottom w:w="50" w:type="dxa"/>
              <w:left w:w="60" w:type="dxa"/>
              <w:right w:w="60" w:type="dxa"/>
            </w:tcMar>
          </w:tcPr>
          <w:p>
            <w:pPr>
              <w:jc w:val="center"/>
            </w:pPr>
            <w:r>
              <w:rPr>
                <w:rFonts w:ascii="Times New Roman" w:hAnsi="Times New Roman"/>
              </w:rPr>
              <w:t>24</w:t>
            </w:r>
          </w:p>
        </w:tc>
      </w:tr>
      <w:tr>
        <w:tc>
          <w:tcPr>
            <w:tcW w:type="dxa" w:w="3000"/>
            <w:tcMar>
              <w:top w:w="50" w:type="dxa"/>
              <w:bottom w:w="50" w:type="dxa"/>
              <w:left w:w="60" w:type="dxa"/>
              <w:right w:w="60" w:type="dxa"/>
            </w:tcMar>
          </w:tcPr>
          <w:p>
            <w:pPr>
              <w:jc w:val="center"/>
            </w:pPr>
            <w:r>
              <w:rPr>
                <w:rFonts w:ascii="Times New Roman" w:hAnsi="Times New Roman"/>
              </w:rPr>
              <w:t>Figure 5.1</w:t>
            </w:r>
          </w:p>
        </w:tc>
        <w:tc>
          <w:tcPr>
            <w:tcW w:type="dxa" w:w="3000"/>
            <w:tcMar>
              <w:top w:w="50" w:type="dxa"/>
              <w:bottom w:w="50" w:type="dxa"/>
              <w:left w:w="60" w:type="dxa"/>
              <w:right w:w="60" w:type="dxa"/>
            </w:tcMar>
          </w:tcPr>
          <w:p>
            <w:r>
              <w:rPr>
                <w:rFonts w:ascii="Times New Roman" w:hAnsi="Times New Roman"/>
              </w:rPr>
              <w:t>TradePulse System &amp; API Settings Modal (Live Zero-Downtime View)</w:t>
            </w:r>
          </w:p>
        </w:tc>
        <w:tc>
          <w:tcPr>
            <w:tcW w:type="dxa" w:w="3000"/>
            <w:tcMar>
              <w:top w:w="50" w:type="dxa"/>
              <w:bottom w:w="50" w:type="dxa"/>
              <w:left w:w="60" w:type="dxa"/>
              <w:right w:w="60" w:type="dxa"/>
            </w:tcMar>
          </w:tcPr>
          <w:p>
            <w:pPr>
              <w:jc w:val="center"/>
            </w:pPr>
            <w:r>
              <w:rPr>
                <w:rFonts w:ascii="Times New Roman" w:hAnsi="Times New Roman"/>
              </w:rPr>
              <w:t>31</w:t>
            </w:r>
          </w:p>
        </w:tc>
      </w:tr>
      <w:tr>
        <w:tc>
          <w:tcPr>
            <w:tcW w:type="dxa" w:w="3000"/>
            <w:tcMar>
              <w:top w:w="50" w:type="dxa"/>
              <w:bottom w:w="50" w:type="dxa"/>
              <w:left w:w="60" w:type="dxa"/>
              <w:right w:w="60" w:type="dxa"/>
            </w:tcMar>
          </w:tcPr>
          <w:p>
            <w:pPr>
              <w:jc w:val="center"/>
            </w:pPr>
            <w:r>
              <w:rPr>
                <w:rFonts w:ascii="Times New Roman" w:hAnsi="Times New Roman"/>
              </w:rPr>
              <w:t>Figure 5.2</w:t>
            </w:r>
          </w:p>
        </w:tc>
        <w:tc>
          <w:tcPr>
            <w:tcW w:type="dxa" w:w="3000"/>
            <w:tcMar>
              <w:top w:w="50" w:type="dxa"/>
              <w:bottom w:w="50" w:type="dxa"/>
              <w:left w:w="60" w:type="dxa"/>
              <w:right w:w="60" w:type="dxa"/>
            </w:tcMar>
          </w:tcPr>
          <w:p>
            <w:r>
              <w:rPr>
                <w:rFonts w:ascii="Times New Roman" w:hAnsi="Times New Roman"/>
              </w:rPr>
              <w:t>Automated Test Suite Verification Execution Results (13/13 Pass)</w:t>
            </w:r>
          </w:p>
        </w:tc>
        <w:tc>
          <w:tcPr>
            <w:tcW w:type="dxa" w:w="3000"/>
            <w:tcMar>
              <w:top w:w="50" w:type="dxa"/>
              <w:bottom w:w="50" w:type="dxa"/>
              <w:left w:w="60" w:type="dxa"/>
              <w:right w:w="60" w:type="dxa"/>
            </w:tcMar>
          </w:tcPr>
          <w:p>
            <w:pPr>
              <w:jc w:val="center"/>
            </w:pPr>
            <w:r>
              <w:rPr>
                <w:rFonts w:ascii="Times New Roman" w:hAnsi="Times New Roman"/>
              </w:rPr>
              <w:t>33</w:t>
            </w:r>
          </w:p>
        </w:tc>
      </w:tr>
    </w:tbl>
    <w:p>
      <w:r>
        <w:br w:type="page"/>
      </w:r>
    </w:p>
    <w:p>
      <w:pPr>
        <w:keepNext/>
        <w:spacing w:before="320" w:after="160"/>
      </w:pPr>
      <w:r>
        <w:rPr>
          <w:rFonts w:ascii="Times New Roman" w:hAnsi="Times New Roman"/>
          <w:b/>
          <w:color w:val="0F172A"/>
          <w:sz w:val="30"/>
        </w:rPr>
        <w:t>Chapter 1. Introduction</w:t>
      </w:r>
    </w:p>
    <w:p>
      <w:pPr>
        <w:keepNext/>
        <w:spacing w:before="240" w:after="120"/>
      </w:pPr>
      <w:r>
        <w:rPr>
          <w:rFonts w:ascii="Times New Roman" w:hAnsi="Times New Roman"/>
          <w:b/>
          <w:color w:val="1E293B"/>
          <w:sz w:val="26"/>
        </w:rPr>
        <w:t>1.1 Preliminaries</w:t>
      </w:r>
    </w:p>
    <w:p>
      <w:pPr>
        <w:spacing w:after="120" w:before="0" w:line="360" w:lineRule="auto"/>
        <w:jc w:val="both"/>
      </w:pPr>
      <w:r>
        <w:rPr>
          <w:rFonts w:ascii="Times New Roman" w:hAnsi="Times New Roman"/>
          <w:b w:val="0"/>
          <w:i w:val="0"/>
          <w:color w:val="000000"/>
          <w:sz w:val="24"/>
        </w:rPr>
        <w:t>The global equity and capital markets have historically served as the primary wealth generation engine of the global economy. Over the past decade, financial markets have experienced unprecedented technological transformation driven by algorithmic trading, high-frequency execution networks, cloud-native infrastructure, and the widespread proliferation of retail investment participation. Modern retail investors, researchers, and students increasingly require immediate, real-time access to accurate market telemetry, historical pricing structures, and technical momentum indicators to analyze asset behaviors and execute calculated investment decisions.</w:t>
      </w:r>
    </w:p>
    <w:p>
      <w:pPr>
        <w:spacing w:after="120" w:before="0" w:line="360" w:lineRule="auto"/>
        <w:jc w:val="both"/>
      </w:pPr>
      <w:r>
        <w:rPr>
          <w:rFonts w:ascii="Times New Roman" w:hAnsi="Times New Roman"/>
          <w:b w:val="0"/>
          <w:i w:val="0"/>
          <w:color w:val="000000"/>
          <w:sz w:val="24"/>
        </w:rPr>
        <w:t>Equity market dashboards serve as the essential sensory interface between raw exchange feeds and human analysts. A financial dashboard must satisfy demanding non-functional requirements: it must render high-frequency price fluctuations with minimal latency, visualize complex multi-period candlestick and line charts without degrading browser frame rates, enforce strict cryptographic secrecy around upstream API keys, and maintain operational resilience even during severe upstream network disruptions or rate-limiting events.</w:t>
      </w:r>
    </w:p>
    <w:p>
      <w:pPr>
        <w:spacing w:before="160" w:after="80"/>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029200" cy="3017520"/>
                    </a:xfrm>
                    <a:prstGeom prst="rect"/>
                  </pic:spPr>
                </pic:pic>
              </a:graphicData>
            </a:graphic>
          </wp:inline>
        </w:drawing>
      </w:r>
    </w:p>
    <w:p>
      <w:pPr>
        <w:spacing w:after="240"/>
        <w:jc w:val="center"/>
      </w:pPr>
      <w:r>
        <w:rPr>
          <w:rFonts w:ascii="Times New Roman" w:hAnsi="Times New Roman"/>
          <w:b/>
          <w:i/>
          <w:color w:val="475569"/>
          <w:sz w:val="20"/>
        </w:rPr>
        <w:t>Figure 1.1: High-Level 3-Tier System Architecture of TradePulse</w:t>
      </w:r>
    </w:p>
    <w:p>
      <w:pPr>
        <w:spacing w:after="120" w:before="0" w:line="360" w:lineRule="auto"/>
        <w:jc w:val="both"/>
      </w:pPr>
      <w:r>
        <w:rPr>
          <w:rFonts w:ascii="Times New Roman" w:hAnsi="Times New Roman"/>
          <w:b w:val="0"/>
          <w:i w:val="0"/>
          <w:color w:val="000000"/>
          <w:sz w:val="24"/>
        </w:rPr>
        <w:t>TradePulse was conceived and engineered to address these modern fintech demands. Implemented as a modern Single Page Application (SPA) leveraging React 18 and Vite 5, backed by a Node.js and Express 5 API gateway, TradePulse provides an intuitive, highly responsive, and secure financial analytics terminal. The platform tracks 36 prominent equities categorized across US Mega-Cap Technology, US Financial and Blue-Chip institutions, and premier Indian National Stock Exchange (NSE) indices, automatically supporting dual-currency formatting ($ USD and ₹ INR).</w:t>
      </w:r>
    </w:p>
    <w:p>
      <w:pPr>
        <w:keepNext/>
        <w:spacing w:before="240" w:after="120"/>
      </w:pPr>
      <w:r>
        <w:rPr>
          <w:rFonts w:ascii="Times New Roman" w:hAnsi="Times New Roman"/>
          <w:b/>
          <w:color w:val="1E293B"/>
          <w:sz w:val="26"/>
        </w:rPr>
        <w:t>1.2 Problem Statement</w:t>
      </w:r>
    </w:p>
    <w:p>
      <w:pPr>
        <w:spacing w:after="120" w:before="0" w:line="360" w:lineRule="auto"/>
        <w:jc w:val="both"/>
      </w:pPr>
      <w:r>
        <w:rPr>
          <w:rFonts w:ascii="Times New Roman" w:hAnsi="Times New Roman"/>
          <w:b w:val="0"/>
          <w:i w:val="0"/>
          <w:color w:val="000000"/>
          <w:sz w:val="24"/>
        </w:rPr>
        <w:t>Despite the vast abundance of commercial stock tracking applications available on the internet today, retail users, university students, and novice traders face substantial barriers when attempting to interact with equity data in an educational and practical capacity. The fundamental problems identified in existing solutions include:</w:t>
      </w:r>
    </w:p>
    <w:p>
      <w:pPr>
        <w:spacing w:after="120" w:before="0" w:line="360" w:lineRule="auto"/>
        <w:jc w:val="both"/>
      </w:pPr>
      <w:r>
        <w:rPr>
          <w:rFonts w:ascii="Times New Roman" w:hAnsi="Times New Roman"/>
          <w:b w:val="0"/>
          <w:i w:val="0"/>
          <w:color w:val="000000"/>
          <w:sz w:val="24"/>
        </w:rPr>
        <w:t>1. Excessive Subscription Costs and Feature Paywalls: Premier institutional market terminals such as Bloomberg Terminal, Refinitiv Eikon, and TradingView Pro impose exorbitant licensing fees ranging from hundreds to tens of thousands of dollars annually. Basic features such as multi-timeframe candle analysis and paper trading simulation are routinely gated behind paid tiers.</w:t>
      </w:r>
    </w:p>
    <w:p>
      <w:pPr>
        <w:spacing w:after="120" w:before="0" w:line="360" w:lineRule="auto"/>
        <w:jc w:val="both"/>
      </w:pPr>
      <w:r>
        <w:rPr>
          <w:rFonts w:ascii="Times New Roman" w:hAnsi="Times New Roman"/>
          <w:b w:val="0"/>
          <w:i w:val="0"/>
          <w:color w:val="000000"/>
          <w:sz w:val="24"/>
        </w:rPr>
        <w:t>2. Client-Side API Key Exposure: A rampant security flaw in numerous open-source and student financial projects is the direct invocation of third-party APIs (such as Finnhub, Alpha Vantage, or Polygon.io) from client-side JavaScript. This malpractice inadvertently broadcasts private authentication tokens over browser network headers and public version control repositories, inviting quota exhaustion and financial liabilities.</w:t>
      </w:r>
    </w:p>
    <w:p>
      <w:pPr>
        <w:spacing w:after="120" w:before="0" w:line="360" w:lineRule="auto"/>
        <w:jc w:val="both"/>
      </w:pPr>
      <w:r>
        <w:rPr>
          <w:rFonts w:ascii="Times New Roman" w:hAnsi="Times New Roman"/>
          <w:b w:val="0"/>
          <w:i w:val="0"/>
          <w:color w:val="000000"/>
          <w:sz w:val="24"/>
        </w:rPr>
        <w:t>3. Catastrophic Downstream Failure on Upstream Rate Limiting: Free-tier financial data providers impose strict rate thresholds (e.g., Finnhub's limitation of 60 requests per minute). When multiple users access an application simultaneously, API quotas are rapidly depleted, causing traditional dashboards to crash, display blank screens, or throw unhandled HTTP 429 exceptions.</w:t>
      </w:r>
    </w:p>
    <w:p>
      <w:pPr>
        <w:spacing w:after="120" w:before="0" w:line="360" w:lineRule="auto"/>
        <w:jc w:val="both"/>
      </w:pPr>
      <w:r>
        <w:rPr>
          <w:rFonts w:ascii="Times New Roman" w:hAnsi="Times New Roman"/>
          <w:b w:val="0"/>
          <w:i w:val="0"/>
          <w:color w:val="000000"/>
          <w:sz w:val="24"/>
        </w:rPr>
        <w:t>4. Absence of Risk-Free Paper Trading with Portfolio Integrity: Most consumer market apps provide read-only views without hands-on virtual execution environments. Those that do offer paper trading often lack mathematical rigor in tracking weighted average acquisition costs, portfolio P&amp;L calculations, and persistent transaction ledgers.</w:t>
      </w:r>
    </w:p>
    <w:p>
      <w:pPr>
        <w:spacing w:after="120" w:before="0" w:line="360" w:lineRule="auto"/>
        <w:jc w:val="both"/>
      </w:pPr>
      <w:r>
        <w:rPr>
          <w:rFonts w:ascii="Times New Roman" w:hAnsi="Times New Roman"/>
          <w:b w:val="0"/>
          <w:i w:val="0"/>
          <w:color w:val="000000"/>
          <w:sz w:val="24"/>
        </w:rPr>
        <w:t>5. Cognitive Overload and Intrusive Visual Clutter: Mainstream retail brokerage interfaces are saturated with flashing banner advertisements, promotional push notifications, high-contrast neon palettes, and non-standard emojis that distract traders from objective technical analysis.</w:t>
      </w:r>
    </w:p>
    <w:p>
      <w:pPr>
        <w:keepNext/>
        <w:spacing w:before="240" w:after="120"/>
      </w:pPr>
      <w:r>
        <w:rPr>
          <w:rFonts w:ascii="Times New Roman" w:hAnsi="Times New Roman"/>
          <w:b/>
          <w:color w:val="1E293B"/>
          <w:sz w:val="26"/>
        </w:rPr>
        <w:t>1.3 Motivation</w:t>
      </w:r>
    </w:p>
    <w:p>
      <w:pPr>
        <w:spacing w:after="120" w:before="0" w:line="360" w:lineRule="auto"/>
        <w:jc w:val="both"/>
      </w:pPr>
      <w:r>
        <w:rPr>
          <w:rFonts w:ascii="Times New Roman" w:hAnsi="Times New Roman"/>
          <w:b w:val="0"/>
          <w:i w:val="0"/>
          <w:color w:val="000000"/>
          <w:sz w:val="24"/>
        </w:rPr>
        <w:t>The primary motivation behind TradePulse is the democratization of high-quality financial analytics tools through clean, modern, and open-source software engineering. By building a dedicated fintech platform from foundational computer science principles, we sought to demonstrate that an elegant, institutional-grade trading terminal can be delivered without incurring prohibitive hosting costs, compromising security, or sacrificing usability.</w:t>
      </w:r>
    </w:p>
    <w:p>
      <w:pPr>
        <w:spacing w:after="120" w:before="0" w:line="360" w:lineRule="auto"/>
        <w:jc w:val="both"/>
      </w:pPr>
      <w:r>
        <w:rPr>
          <w:rFonts w:ascii="Times New Roman" w:hAnsi="Times New Roman"/>
          <w:b w:val="0"/>
          <w:i w:val="0"/>
          <w:color w:val="000000"/>
          <w:sz w:val="24"/>
        </w:rPr>
        <w:t>Furthermore, this project is motivated by the desire to implement an Autonomous Zero-Downtime Architecture. In cloud computing, free-tier application services (such as Render Web Services) routinely spin down during periods of inactivity to conserve resources. When a user requests data from a sleeping cloud service, conventional applications display jarring error dialogues. TradePulse overcomes this limitation by pairing an Express cloud proxy with an autonomous in-browser stochastic market simulation engine powered by Geometric Brownian Motion (GBM). This guarantees that users enjoy 100% chart uptime, fluid navigation, and complete paper trading functionality regardless of server sleep cycles or third-party quota limits.</w:t>
      </w:r>
    </w:p>
    <w:p>
      <w:pPr>
        <w:spacing w:before="160" w:after="80"/>
        <w:jc w:val="center"/>
      </w:pPr>
      <w:r>
        <w:drawing>
          <wp:inline xmlns:a="http://schemas.openxmlformats.org/drawingml/2006/main" xmlns:pic="http://schemas.openxmlformats.org/drawingml/2006/picture">
            <wp:extent cx="5029200" cy="3266033"/>
            <wp:docPr id="4" name="Picture 4"/>
            <wp:cNvGraphicFramePr>
              <a:graphicFrameLocks noChangeAspect="1"/>
            </wp:cNvGraphicFramePr>
            <a:graphic>
              <a:graphicData uri="http://schemas.openxmlformats.org/drawingml/2006/picture">
                <pic:pic>
                  <pic:nvPicPr>
                    <pic:cNvPr id="0" name="dashboard_screenshot.png"/>
                    <pic:cNvPicPr/>
                  </pic:nvPicPr>
                  <pic:blipFill>
                    <a:blip r:embed="rId13"/>
                    <a:stretch>
                      <a:fillRect/>
                    </a:stretch>
                  </pic:blipFill>
                  <pic:spPr>
                    <a:xfrm>
                      <a:off x="0" y="0"/>
                      <a:ext cx="5029200" cy="3266033"/>
                    </a:xfrm>
                    <a:prstGeom prst="rect"/>
                  </pic:spPr>
                </pic:pic>
              </a:graphicData>
            </a:graphic>
          </wp:inline>
        </w:drawing>
      </w:r>
    </w:p>
    <w:p>
      <w:pPr>
        <w:spacing w:after="240"/>
        <w:jc w:val="center"/>
      </w:pPr>
      <w:r>
        <w:rPr>
          <w:rFonts w:ascii="Times New Roman" w:hAnsi="Times New Roman"/>
          <w:b/>
          <w:i/>
          <w:color w:val="475569"/>
          <w:sz w:val="20"/>
        </w:rPr>
        <w:t>Figure 1.2: TradePulse Financial Dashboard User Interface Overview</w:t>
      </w:r>
    </w:p>
    <w:p>
      <w:pPr>
        <w:keepNext/>
        <w:spacing w:before="240" w:after="120"/>
      </w:pPr>
      <w:r>
        <w:rPr>
          <w:rFonts w:ascii="Times New Roman" w:hAnsi="Times New Roman"/>
          <w:b/>
          <w:color w:val="1E293B"/>
          <w:sz w:val="26"/>
        </w:rPr>
        <w:t>1.4 Objectives</w:t>
      </w:r>
    </w:p>
    <w:p>
      <w:pPr>
        <w:spacing w:after="120" w:before="0" w:line="360" w:lineRule="auto"/>
        <w:jc w:val="both"/>
      </w:pPr>
      <w:r>
        <w:rPr>
          <w:rFonts w:ascii="Times New Roman" w:hAnsi="Times New Roman"/>
          <w:b w:val="0"/>
          <w:i w:val="0"/>
          <w:color w:val="000000"/>
          <w:sz w:val="24"/>
        </w:rPr>
        <w:t>The concrete technical and functional objectives established for the TradePulse project are as follows:</w:t>
      </w:r>
    </w:p>
    <w:p>
      <w:pPr>
        <w:spacing w:after="120" w:before="0" w:line="360" w:lineRule="auto"/>
        <w:jc w:val="both"/>
      </w:pPr>
      <w:r>
        <w:rPr>
          <w:rFonts w:ascii="Times New Roman" w:hAnsi="Times New Roman"/>
          <w:b w:val="0"/>
          <w:i w:val="0"/>
          <w:color w:val="000000"/>
          <w:sz w:val="24"/>
        </w:rPr>
        <w:t>• Objective 1: Architect a Decoupled 3-Tier System: Implement an isolated Node.js + Express backend that securely consumes Finnhub REST endpoints, sanitizes request parameters, enforces strict Cross-Origin Resource Sharing (CORS) whitelists, and never exposes upstream secrets to client browsers.</w:t>
      </w:r>
    </w:p>
    <w:p>
      <w:pPr>
        <w:spacing w:after="120" w:before="0" w:line="360" w:lineRule="auto"/>
        <w:jc w:val="both"/>
      </w:pPr>
      <w:r>
        <w:rPr>
          <w:rFonts w:ascii="Times New Roman" w:hAnsi="Times New Roman"/>
          <w:b w:val="0"/>
          <w:i w:val="0"/>
          <w:color w:val="000000"/>
          <w:sz w:val="24"/>
        </w:rPr>
        <w:t>• Objective 2: Curate a Multi-Market Catalog: Construct an expanding 36-equity catalog encompassing US Tech (AAPL, MSFT, NVDA), US Finance (JPM, BAC, V), and Indian NSE equities (RELIANCE, TCS, INFY) with automated dual-currency localization ($ USD and ₹ INR).</w:t>
      </w:r>
    </w:p>
    <w:p>
      <w:pPr>
        <w:spacing w:after="120" w:before="0" w:line="360" w:lineRule="auto"/>
        <w:jc w:val="both"/>
      </w:pPr>
      <w:r>
        <w:rPr>
          <w:rFonts w:ascii="Times New Roman" w:hAnsi="Times New Roman"/>
          <w:b w:val="0"/>
          <w:i w:val="0"/>
          <w:color w:val="000000"/>
          <w:sz w:val="24"/>
        </w:rPr>
        <w:t>• Objective 3: Deliver High-Performance Technical Visualizations: Integrate Chart.js and HTML5 Canvas to render interactive line and candlestick price history across four distinct time horizons (1-Day, 1-Week, 1-Month, 1-Year) with dynamic volatility indicators.</w:t>
      </w:r>
    </w:p>
    <w:p>
      <w:pPr>
        <w:spacing w:after="120" w:before="0" w:line="360" w:lineRule="auto"/>
        <w:jc w:val="both"/>
      </w:pPr>
      <w:r>
        <w:rPr>
          <w:rFonts w:ascii="Times New Roman" w:hAnsi="Times New Roman"/>
          <w:b w:val="0"/>
          <w:i w:val="0"/>
          <w:color w:val="000000"/>
          <w:sz w:val="24"/>
        </w:rPr>
        <w:t>• Objective 4: Build a Virtual Portfolio Management Engine: Implement a realistic paper trading simulator equipped with a $50,000 virtual cash balance, automated weighted average cost accounting, position validation, and live P&amp;L tracking.</w:t>
      </w:r>
    </w:p>
    <w:p>
      <w:pPr>
        <w:spacing w:after="120" w:before="0" w:line="360" w:lineRule="auto"/>
        <w:jc w:val="both"/>
      </w:pPr>
      <w:r>
        <w:rPr>
          <w:rFonts w:ascii="Times New Roman" w:hAnsi="Times New Roman"/>
          <w:b w:val="0"/>
          <w:i w:val="0"/>
          <w:color w:val="000000"/>
          <w:sz w:val="24"/>
        </w:rPr>
        <w:t>• Objective 5: Implement an In-App Price Alert Dispatcher: Formulate an alert engine capable of monitoring real-time ticker prices against user-defined upper and lower threshold targets, incorporating deduplication logic to eliminate repetitive notifications.</w:t>
      </w:r>
    </w:p>
    <w:p>
      <w:pPr>
        <w:spacing w:after="120" w:before="0" w:line="360" w:lineRule="auto"/>
        <w:jc w:val="both"/>
      </w:pPr>
      <w:r>
        <w:rPr>
          <w:rFonts w:ascii="Times New Roman" w:hAnsi="Times New Roman"/>
          <w:b w:val="0"/>
          <w:i w:val="0"/>
          <w:color w:val="000000"/>
          <w:sz w:val="24"/>
        </w:rPr>
        <w:t>• Objective 6: Deploy Online for $0/Month: Successfully build and host the static React application on GitHub Pages Global CDN while provisioning an Express backend blueprint on Render's free tier.</w:t>
      </w:r>
    </w:p>
    <w:p>
      <w:r>
        <w:br w:type="page"/>
      </w:r>
    </w:p>
    <w:p>
      <w:pPr>
        <w:keepNext/>
        <w:spacing w:before="320" w:after="160"/>
      </w:pPr>
      <w:r>
        <w:rPr>
          <w:rFonts w:ascii="Times New Roman" w:hAnsi="Times New Roman"/>
          <w:b/>
          <w:color w:val="0F172A"/>
          <w:sz w:val="30"/>
        </w:rPr>
        <w:t>Chapter 2. Literature Survey</w:t>
      </w:r>
    </w:p>
    <w:p>
      <w:pPr>
        <w:spacing w:after="120" w:before="0" w:line="360" w:lineRule="auto"/>
        <w:jc w:val="both"/>
      </w:pPr>
      <w:r>
        <w:rPr>
          <w:rFonts w:ascii="Times New Roman" w:hAnsi="Times New Roman"/>
          <w:b w:val="0"/>
          <w:i w:val="0"/>
          <w:color w:val="000000"/>
          <w:sz w:val="24"/>
        </w:rPr>
        <w:t>The rapid evolution of web technologies over the past two decades has revolutionized the accessibility, rendering speed, and interactivity of financial analytics platforms. A rigorous review of prior literature, architectural paradigms, and commercial systems provides essential context for the technical innovations implemented in TradePulse.</w:t>
      </w:r>
    </w:p>
    <w:p>
      <w:pPr>
        <w:keepNext/>
        <w:spacing w:before="240" w:after="120"/>
      </w:pPr>
      <w:r>
        <w:rPr>
          <w:rFonts w:ascii="Times New Roman" w:hAnsi="Times New Roman"/>
          <w:b/>
          <w:color w:val="1E293B"/>
          <w:sz w:val="26"/>
        </w:rPr>
        <w:t>2.1 Evolution of Financial Data Dissemination Systems</w:t>
      </w:r>
    </w:p>
    <w:p>
      <w:pPr>
        <w:spacing w:after="120" w:before="0" w:line="360" w:lineRule="auto"/>
        <w:jc w:val="both"/>
      </w:pPr>
      <w:r>
        <w:rPr>
          <w:rFonts w:ascii="Times New Roman" w:hAnsi="Times New Roman"/>
          <w:b w:val="0"/>
          <w:i w:val="0"/>
          <w:color w:val="000000"/>
          <w:sz w:val="24"/>
        </w:rPr>
        <w:t>Historically, equity pricing data was transmitted via physical ticker tape and later digitized through dedicated hardware terminals utilizing proprietary binary telecommunication protocols (such as the Financial Information eXchange or FIX protocol). While the FIX protocol remains the gold standard for inter-institutional order routing, the advent of RESTful HTTP APIs and JSON serialization in the late 2000s catalyzed the democratization of market data for web applications. Prominent studies by Fielding et al. (2000) established the foundational architectural properties of REST, emphasizing statelessness, uniform interfaces, and cacheability. However, as noted by Pimentel et al. (2015), standard HTTP request-response cycles suffer from inherent polling overhead when tracking volatile real-time financial assets, prompting the adoption of hybrid architectures that combine periodic REST polling with local stochastic simulation.</w:t>
      </w:r>
    </w:p>
    <w:p>
      <w:pPr>
        <w:keepNext/>
        <w:spacing w:before="240" w:after="120"/>
      </w:pPr>
      <w:r>
        <w:rPr>
          <w:rFonts w:ascii="Times New Roman" w:hAnsi="Times New Roman"/>
          <w:b/>
          <w:color w:val="1E293B"/>
          <w:sz w:val="26"/>
        </w:rPr>
        <w:t>2.2 Modern Frontend Architectures in Financial Dashboards</w:t>
      </w:r>
    </w:p>
    <w:p>
      <w:pPr>
        <w:spacing w:after="120" w:before="0" w:line="360" w:lineRule="auto"/>
        <w:jc w:val="both"/>
      </w:pPr>
      <w:r>
        <w:rPr>
          <w:rFonts w:ascii="Times New Roman" w:hAnsi="Times New Roman"/>
          <w:b w:val="0"/>
          <w:i w:val="0"/>
          <w:color w:val="000000"/>
          <w:sz w:val="24"/>
        </w:rPr>
        <w:t>The development of financial dashboards has mirrored the transition from monolithic multi-page web applications to component-driven Single Page Applications (SPAs). Early web dashboards implemented with server-side template engines (such as PHP, ASP.NET, or Java Spring) suffered from full-page reloads that caused flickering charts and interrupted user interactions. The introduction of virtual DOM reconciliation algorithms by Facebook in React (Hunt et al., 2013) transformed UI responsiveness by computing delta-updates and batching DOM mutations. In financial applications where multiple ticker values update concurrently, React's uni-directional data flow and memoized hooks (`useCallback`, `useMemo`) prevent catastrophic re-rendering cascades, ensuring sustained 60 frames-per-second (FPS) rendering performance.</w:t>
      </w:r>
    </w:p>
    <w:p>
      <w:pPr>
        <w:keepNext/>
        <w:spacing w:before="240" w:after="120"/>
      </w:pPr>
      <w:r>
        <w:rPr>
          <w:rFonts w:ascii="Times New Roman" w:hAnsi="Times New Roman"/>
          <w:b/>
          <w:color w:val="1E293B"/>
          <w:sz w:val="26"/>
        </w:rPr>
        <w:t>2.3 Financial Charting Technologies &amp; Canvas Rendering</w:t>
      </w:r>
    </w:p>
    <w:p>
      <w:pPr>
        <w:spacing w:after="120" w:before="0" w:line="360" w:lineRule="auto"/>
        <w:jc w:val="both"/>
      </w:pPr>
      <w:r>
        <w:rPr>
          <w:rFonts w:ascii="Times New Roman" w:hAnsi="Times New Roman"/>
          <w:b w:val="0"/>
          <w:i w:val="0"/>
          <w:color w:val="000000"/>
          <w:sz w:val="24"/>
        </w:rPr>
        <w:t>Visualizing financial time-series data requires high-performance graphical rendering engines. Historically, web graphics relied on Scalable Vector Graphics (SVG), as exemplified by D3.js (Bostock et al., 2011). While SVG offers superior resolution independence and DOM-level event attachment, its performance degrades severely when rendering tens of thousands of data points, as each SVG node is represented as an individual DOM element. In contrast, the HTML5 `&lt;canvas&gt;` API, utilized by Chart.js (Downie et al., 2020), functions as a direct pixel manipulation surface. By rasterizing candlestick bars, line paths, and gridlines directly onto the GPU buffer, HTML5 Canvas achieves sub-millisecond redraw cycles, making it the superior choice for high-frequency financial applications.</w:t>
      </w:r>
    </w:p>
    <w:p>
      <w:pPr>
        <w:keepNext/>
        <w:spacing w:before="240" w:after="120"/>
      </w:pPr>
      <w:r>
        <w:rPr>
          <w:rFonts w:ascii="Times New Roman" w:hAnsi="Times New Roman"/>
          <w:b/>
          <w:color w:val="1E293B"/>
          <w:sz w:val="26"/>
        </w:rPr>
        <w:t>2.4 Existing Stock Market Platforms &amp; Comparative Analysis</w:t>
      </w:r>
    </w:p>
    <w:p>
      <w:pPr>
        <w:spacing w:after="120" w:before="0" w:line="360" w:lineRule="auto"/>
        <w:jc w:val="both"/>
      </w:pPr>
      <w:r>
        <w:rPr>
          <w:rFonts w:ascii="Times New Roman" w:hAnsi="Times New Roman"/>
          <w:b w:val="0"/>
          <w:i w:val="0"/>
          <w:color w:val="000000"/>
          <w:sz w:val="24"/>
        </w:rPr>
        <w:t>To establish the novelty and comparative positioning of TradePulse, Table 2.1 presents a comprehensive comparative analysis across mainstream financial platforms:</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1500"/>
        <w:gridCol w:w="1500"/>
        <w:gridCol w:w="1500"/>
        <w:gridCol w:w="1500"/>
        <w:gridCol w:w="1500"/>
        <w:gridCol w:w="1500"/>
      </w:tblGrid>
      <w:tr>
        <w:tc>
          <w:tcPr>
            <w:tcW w:type="dxa" w:w="1500"/>
            <w:shd w:fill="E2E8F0"/>
            <w:tcMar>
              <w:top w:w="80" w:type="dxa"/>
              <w:bottom w:w="80" w:type="dxa"/>
              <w:left w:w="50" w:type="dxa"/>
              <w:right w:w="50" w:type="dxa"/>
            </w:tcMar>
          </w:tcPr>
          <w:p>
            <w:pPr>
              <w:jc w:val="center"/>
            </w:pPr>
            <w:r>
              <w:rPr>
                <w:rFonts w:ascii="Times New Roman" w:hAnsi="Times New Roman"/>
                <w:b/>
                <w:sz w:val="19"/>
              </w:rPr>
              <w:t>Platform</w:t>
            </w:r>
          </w:p>
        </w:tc>
        <w:tc>
          <w:tcPr>
            <w:tcW w:type="dxa" w:w="1500"/>
            <w:shd w:fill="E2E8F0"/>
            <w:tcMar>
              <w:top w:w="80" w:type="dxa"/>
              <w:bottom w:w="80" w:type="dxa"/>
              <w:left w:w="50" w:type="dxa"/>
              <w:right w:w="50" w:type="dxa"/>
            </w:tcMar>
          </w:tcPr>
          <w:p>
            <w:pPr>
              <w:jc w:val="center"/>
            </w:pPr>
            <w:r>
              <w:rPr>
                <w:rFonts w:ascii="Times New Roman" w:hAnsi="Times New Roman"/>
                <w:b/>
                <w:sz w:val="19"/>
              </w:rPr>
              <w:t>License / Cost</w:t>
            </w:r>
          </w:p>
        </w:tc>
        <w:tc>
          <w:tcPr>
            <w:tcW w:type="dxa" w:w="1500"/>
            <w:shd w:fill="E2E8F0"/>
            <w:tcMar>
              <w:top w:w="80" w:type="dxa"/>
              <w:bottom w:w="80" w:type="dxa"/>
              <w:left w:w="50" w:type="dxa"/>
              <w:right w:w="50" w:type="dxa"/>
            </w:tcMar>
          </w:tcPr>
          <w:p>
            <w:pPr>
              <w:jc w:val="center"/>
            </w:pPr>
            <w:r>
              <w:rPr>
                <w:rFonts w:ascii="Times New Roman" w:hAnsi="Times New Roman"/>
                <w:b/>
                <w:sz w:val="19"/>
              </w:rPr>
              <w:t>API Security</w:t>
            </w:r>
          </w:p>
        </w:tc>
        <w:tc>
          <w:tcPr>
            <w:tcW w:type="dxa" w:w="1500"/>
            <w:shd w:fill="E2E8F0"/>
            <w:tcMar>
              <w:top w:w="80" w:type="dxa"/>
              <w:bottom w:w="80" w:type="dxa"/>
              <w:left w:w="50" w:type="dxa"/>
              <w:right w:w="50" w:type="dxa"/>
            </w:tcMar>
          </w:tcPr>
          <w:p>
            <w:pPr>
              <w:jc w:val="center"/>
            </w:pPr>
            <w:r>
              <w:rPr>
                <w:rFonts w:ascii="Times New Roman" w:hAnsi="Times New Roman"/>
                <w:b/>
                <w:sz w:val="19"/>
              </w:rPr>
              <w:t>Paper Trading</w:t>
            </w:r>
          </w:p>
        </w:tc>
        <w:tc>
          <w:tcPr>
            <w:tcW w:type="dxa" w:w="1500"/>
            <w:shd w:fill="E2E8F0"/>
            <w:tcMar>
              <w:top w:w="80" w:type="dxa"/>
              <w:bottom w:w="80" w:type="dxa"/>
              <w:left w:w="50" w:type="dxa"/>
              <w:right w:w="50" w:type="dxa"/>
            </w:tcMar>
          </w:tcPr>
          <w:p>
            <w:pPr>
              <w:jc w:val="center"/>
            </w:pPr>
            <w:r>
              <w:rPr>
                <w:rFonts w:ascii="Times New Roman" w:hAnsi="Times New Roman"/>
                <w:b/>
                <w:sz w:val="19"/>
              </w:rPr>
              <w:t>Offline Resilience</w:t>
            </w:r>
          </w:p>
        </w:tc>
        <w:tc>
          <w:tcPr>
            <w:tcW w:type="dxa" w:w="1500"/>
            <w:shd w:fill="E2E8F0"/>
            <w:tcMar>
              <w:top w:w="80" w:type="dxa"/>
              <w:bottom w:w="80" w:type="dxa"/>
              <w:left w:w="50" w:type="dxa"/>
              <w:right w:w="50" w:type="dxa"/>
            </w:tcMar>
          </w:tcPr>
          <w:p>
            <w:pPr>
              <w:jc w:val="center"/>
            </w:pPr>
            <w:r>
              <w:rPr>
                <w:rFonts w:ascii="Times New Roman" w:hAnsi="Times New Roman"/>
                <w:b/>
                <w:sz w:val="19"/>
              </w:rPr>
              <w:t>Ad-Free UI</w:t>
            </w:r>
          </w:p>
        </w:tc>
      </w:tr>
      <w:tr>
        <w:tc>
          <w:tcPr>
            <w:tcW w:type="dxa" w:w="1500"/>
            <w:tcMar>
              <w:top w:w="60" w:type="dxa"/>
              <w:bottom w:w="60" w:type="dxa"/>
              <w:left w:w="50" w:type="dxa"/>
              <w:right w:w="50" w:type="dxa"/>
            </w:tcMar>
          </w:tcPr>
          <w:p>
            <w:pPr>
              <w:jc w:val="left"/>
            </w:pPr>
            <w:r>
              <w:rPr>
                <w:rFonts w:ascii="Times New Roman" w:hAnsi="Times New Roman"/>
                <w:sz w:val="18"/>
              </w:rPr>
              <w:t>TradingView</w:t>
            </w:r>
          </w:p>
        </w:tc>
        <w:tc>
          <w:tcPr>
            <w:tcW w:type="dxa" w:w="1500"/>
            <w:tcMar>
              <w:top w:w="60" w:type="dxa"/>
              <w:bottom w:w="60" w:type="dxa"/>
              <w:left w:w="50" w:type="dxa"/>
              <w:right w:w="50" w:type="dxa"/>
            </w:tcMar>
          </w:tcPr>
          <w:p>
            <w:pPr>
              <w:jc w:val="center"/>
            </w:pPr>
            <w:r>
              <w:rPr>
                <w:rFonts w:ascii="Times New Roman" w:hAnsi="Times New Roman"/>
                <w:sz w:val="18"/>
              </w:rPr>
              <w:t>Freemium ($14-$59/mo)</w:t>
            </w:r>
          </w:p>
        </w:tc>
        <w:tc>
          <w:tcPr>
            <w:tcW w:type="dxa" w:w="1500"/>
            <w:tcMar>
              <w:top w:w="60" w:type="dxa"/>
              <w:bottom w:w="60" w:type="dxa"/>
              <w:left w:w="50" w:type="dxa"/>
              <w:right w:w="50" w:type="dxa"/>
            </w:tcMar>
          </w:tcPr>
          <w:p>
            <w:pPr>
              <w:jc w:val="center"/>
            </w:pPr>
            <w:r>
              <w:rPr>
                <w:rFonts w:ascii="Times New Roman" w:hAnsi="Times New Roman"/>
                <w:sz w:val="18"/>
              </w:rPr>
              <w:t>Proprietary</w:t>
            </w:r>
          </w:p>
        </w:tc>
        <w:tc>
          <w:tcPr>
            <w:tcW w:type="dxa" w:w="1500"/>
            <w:tcMar>
              <w:top w:w="60" w:type="dxa"/>
              <w:bottom w:w="60" w:type="dxa"/>
              <w:left w:w="50" w:type="dxa"/>
              <w:right w:w="50" w:type="dxa"/>
            </w:tcMar>
          </w:tcPr>
          <w:p>
            <w:pPr>
              <w:jc w:val="center"/>
            </w:pPr>
            <w:r>
              <w:rPr>
                <w:rFonts w:ascii="Times New Roman" w:hAnsi="Times New Roman"/>
                <w:sz w:val="18"/>
              </w:rPr>
              <w:t>Gated Tier</w:t>
            </w:r>
          </w:p>
        </w:tc>
        <w:tc>
          <w:tcPr>
            <w:tcW w:type="dxa" w:w="1500"/>
            <w:tcMar>
              <w:top w:w="60" w:type="dxa"/>
              <w:bottom w:w="60" w:type="dxa"/>
              <w:left w:w="50" w:type="dxa"/>
              <w:right w:w="50" w:type="dxa"/>
            </w:tcMar>
          </w:tcPr>
          <w:p>
            <w:pPr>
              <w:jc w:val="center"/>
            </w:pPr>
            <w:r>
              <w:rPr>
                <w:rFonts w:ascii="Times New Roman" w:hAnsi="Times New Roman"/>
                <w:sz w:val="18"/>
              </w:rPr>
              <w:t>Zero (Fails Offline)</w:t>
            </w:r>
          </w:p>
        </w:tc>
        <w:tc>
          <w:tcPr>
            <w:tcW w:type="dxa" w:w="1500"/>
            <w:tcMar>
              <w:top w:w="60" w:type="dxa"/>
              <w:bottom w:w="60" w:type="dxa"/>
              <w:left w:w="50" w:type="dxa"/>
              <w:right w:w="50" w:type="dxa"/>
            </w:tcMar>
          </w:tcPr>
          <w:p>
            <w:pPr>
              <w:jc w:val="center"/>
            </w:pPr>
            <w:r>
              <w:rPr>
                <w:rFonts w:ascii="Times New Roman" w:hAnsi="Times New Roman"/>
                <w:sz w:val="18"/>
              </w:rPr>
              <w:t>Paid Only</w:t>
            </w:r>
          </w:p>
        </w:tc>
      </w:tr>
      <w:tr>
        <w:tc>
          <w:tcPr>
            <w:tcW w:type="dxa" w:w="1500"/>
            <w:tcMar>
              <w:top w:w="60" w:type="dxa"/>
              <w:bottom w:w="60" w:type="dxa"/>
              <w:left w:w="50" w:type="dxa"/>
              <w:right w:w="50" w:type="dxa"/>
            </w:tcMar>
          </w:tcPr>
          <w:p>
            <w:pPr>
              <w:jc w:val="left"/>
            </w:pPr>
            <w:r>
              <w:rPr>
                <w:rFonts w:ascii="Times New Roman" w:hAnsi="Times New Roman"/>
                <w:sz w:val="18"/>
              </w:rPr>
              <w:t>Yahoo Finance</w:t>
            </w:r>
          </w:p>
        </w:tc>
        <w:tc>
          <w:tcPr>
            <w:tcW w:type="dxa" w:w="1500"/>
            <w:tcMar>
              <w:top w:w="60" w:type="dxa"/>
              <w:bottom w:w="60" w:type="dxa"/>
              <w:left w:w="50" w:type="dxa"/>
              <w:right w:w="50" w:type="dxa"/>
            </w:tcMar>
          </w:tcPr>
          <w:p>
            <w:pPr>
              <w:jc w:val="center"/>
            </w:pPr>
            <w:r>
              <w:rPr>
                <w:rFonts w:ascii="Times New Roman" w:hAnsi="Times New Roman"/>
                <w:sz w:val="18"/>
              </w:rPr>
              <w:t>Ad-Supported / Premium</w:t>
            </w:r>
          </w:p>
        </w:tc>
        <w:tc>
          <w:tcPr>
            <w:tcW w:type="dxa" w:w="1500"/>
            <w:tcMar>
              <w:top w:w="60" w:type="dxa"/>
              <w:bottom w:w="60" w:type="dxa"/>
              <w:left w:w="50" w:type="dxa"/>
              <w:right w:w="50" w:type="dxa"/>
            </w:tcMar>
          </w:tcPr>
          <w:p>
            <w:pPr>
              <w:jc w:val="center"/>
            </w:pPr>
            <w:r>
              <w:rPr>
                <w:rFonts w:ascii="Times New Roman" w:hAnsi="Times New Roman"/>
                <w:sz w:val="18"/>
              </w:rPr>
              <w:t>Restricted</w:t>
            </w:r>
          </w:p>
        </w:tc>
        <w:tc>
          <w:tcPr>
            <w:tcW w:type="dxa" w:w="1500"/>
            <w:tcMar>
              <w:top w:w="60" w:type="dxa"/>
              <w:bottom w:w="60" w:type="dxa"/>
              <w:left w:w="50" w:type="dxa"/>
              <w:right w:w="50" w:type="dxa"/>
            </w:tcMar>
          </w:tcPr>
          <w:p>
            <w:pPr>
              <w:jc w:val="center"/>
            </w:pPr>
            <w:r>
              <w:rPr>
                <w:rFonts w:ascii="Times New Roman" w:hAnsi="Times New Roman"/>
                <w:sz w:val="18"/>
              </w:rPr>
              <w:t>No Simulation</w:t>
            </w:r>
          </w:p>
        </w:tc>
        <w:tc>
          <w:tcPr>
            <w:tcW w:type="dxa" w:w="1500"/>
            <w:tcMar>
              <w:top w:w="60" w:type="dxa"/>
              <w:bottom w:w="60" w:type="dxa"/>
              <w:left w:w="50" w:type="dxa"/>
              <w:right w:w="50" w:type="dxa"/>
            </w:tcMar>
          </w:tcPr>
          <w:p>
            <w:pPr>
              <w:jc w:val="center"/>
            </w:pPr>
            <w:r>
              <w:rPr>
                <w:rFonts w:ascii="Times New Roman" w:hAnsi="Times New Roman"/>
                <w:sz w:val="18"/>
              </w:rPr>
              <w:t>Zero (Fails Offline)</w:t>
            </w:r>
          </w:p>
        </w:tc>
        <w:tc>
          <w:tcPr>
            <w:tcW w:type="dxa" w:w="1500"/>
            <w:tcMar>
              <w:top w:w="60" w:type="dxa"/>
              <w:bottom w:w="60" w:type="dxa"/>
              <w:left w:w="50" w:type="dxa"/>
              <w:right w:w="50" w:type="dxa"/>
            </w:tcMar>
          </w:tcPr>
          <w:p>
            <w:pPr>
              <w:jc w:val="center"/>
            </w:pPr>
            <w:r>
              <w:rPr>
                <w:rFonts w:ascii="Times New Roman" w:hAnsi="Times New Roman"/>
                <w:sz w:val="18"/>
              </w:rPr>
              <w:t>Extremely Cluttered</w:t>
            </w:r>
          </w:p>
        </w:tc>
      </w:tr>
      <w:tr>
        <w:tc>
          <w:tcPr>
            <w:tcW w:type="dxa" w:w="1500"/>
            <w:tcMar>
              <w:top w:w="60" w:type="dxa"/>
              <w:bottom w:w="60" w:type="dxa"/>
              <w:left w:w="50" w:type="dxa"/>
              <w:right w:w="50" w:type="dxa"/>
            </w:tcMar>
          </w:tcPr>
          <w:p>
            <w:pPr>
              <w:jc w:val="left"/>
            </w:pPr>
            <w:r>
              <w:rPr>
                <w:rFonts w:ascii="Times New Roman" w:hAnsi="Times New Roman"/>
                <w:sz w:val="18"/>
              </w:rPr>
              <w:t>Google Finance</w:t>
            </w:r>
          </w:p>
        </w:tc>
        <w:tc>
          <w:tcPr>
            <w:tcW w:type="dxa" w:w="1500"/>
            <w:tcMar>
              <w:top w:w="60" w:type="dxa"/>
              <w:bottom w:w="60" w:type="dxa"/>
              <w:left w:w="50" w:type="dxa"/>
              <w:right w:w="50" w:type="dxa"/>
            </w:tcMar>
          </w:tcPr>
          <w:p>
            <w:pPr>
              <w:jc w:val="center"/>
            </w:pPr>
            <w:r>
              <w:rPr>
                <w:rFonts w:ascii="Times New Roman" w:hAnsi="Times New Roman"/>
                <w:sz w:val="18"/>
              </w:rPr>
              <w:t>Free / Read-Only</w:t>
            </w:r>
          </w:p>
        </w:tc>
        <w:tc>
          <w:tcPr>
            <w:tcW w:type="dxa" w:w="1500"/>
            <w:tcMar>
              <w:top w:w="60" w:type="dxa"/>
              <w:bottom w:w="60" w:type="dxa"/>
              <w:left w:w="50" w:type="dxa"/>
              <w:right w:w="50" w:type="dxa"/>
            </w:tcMar>
          </w:tcPr>
          <w:p>
            <w:pPr>
              <w:jc w:val="center"/>
            </w:pPr>
            <w:r>
              <w:rPr>
                <w:rFonts w:ascii="Times New Roman" w:hAnsi="Times New Roman"/>
                <w:sz w:val="18"/>
              </w:rPr>
              <w:t>Closed Source</w:t>
            </w:r>
          </w:p>
        </w:tc>
        <w:tc>
          <w:tcPr>
            <w:tcW w:type="dxa" w:w="1500"/>
            <w:tcMar>
              <w:top w:w="60" w:type="dxa"/>
              <w:bottom w:w="60" w:type="dxa"/>
              <w:left w:w="50" w:type="dxa"/>
              <w:right w:w="50" w:type="dxa"/>
            </w:tcMar>
          </w:tcPr>
          <w:p>
            <w:pPr>
              <w:jc w:val="center"/>
            </w:pPr>
            <w:r>
              <w:rPr>
                <w:rFonts w:ascii="Times New Roman" w:hAnsi="Times New Roman"/>
                <w:sz w:val="18"/>
              </w:rPr>
              <w:t>None</w:t>
            </w:r>
          </w:p>
        </w:tc>
        <w:tc>
          <w:tcPr>
            <w:tcW w:type="dxa" w:w="1500"/>
            <w:tcMar>
              <w:top w:w="60" w:type="dxa"/>
              <w:bottom w:w="60" w:type="dxa"/>
              <w:left w:w="50" w:type="dxa"/>
              <w:right w:w="50" w:type="dxa"/>
            </w:tcMar>
          </w:tcPr>
          <w:p>
            <w:pPr>
              <w:jc w:val="center"/>
            </w:pPr>
            <w:r>
              <w:rPr>
                <w:rFonts w:ascii="Times New Roman" w:hAnsi="Times New Roman"/>
                <w:sz w:val="18"/>
              </w:rPr>
              <w:t>Zero (Fails Offline)</w:t>
            </w:r>
          </w:p>
        </w:tc>
        <w:tc>
          <w:tcPr>
            <w:tcW w:type="dxa" w:w="1500"/>
            <w:tcMar>
              <w:top w:w="60" w:type="dxa"/>
              <w:bottom w:w="60" w:type="dxa"/>
              <w:left w:w="50" w:type="dxa"/>
              <w:right w:w="50" w:type="dxa"/>
            </w:tcMar>
          </w:tcPr>
          <w:p>
            <w:pPr>
              <w:jc w:val="center"/>
            </w:pPr>
            <w:r>
              <w:rPr>
                <w:rFonts w:ascii="Times New Roman" w:hAnsi="Times New Roman"/>
                <w:sz w:val="18"/>
              </w:rPr>
              <w:t>Basic Clean</w:t>
            </w:r>
          </w:p>
        </w:tc>
      </w:tr>
      <w:tr>
        <w:tc>
          <w:tcPr>
            <w:tcW w:type="dxa" w:w="1500"/>
            <w:shd w:fill="DCFCE7"/>
            <w:tcMar>
              <w:top w:w="60" w:type="dxa"/>
              <w:bottom w:w="60" w:type="dxa"/>
              <w:left w:w="50" w:type="dxa"/>
              <w:right w:w="50" w:type="dxa"/>
            </w:tcMar>
          </w:tcPr>
          <w:p>
            <w:pPr>
              <w:jc w:val="left"/>
            </w:pPr>
            <w:r>
              <w:rPr>
                <w:rFonts w:ascii="Times New Roman" w:hAnsi="Times New Roman"/>
                <w:b/>
                <w:sz w:val="18"/>
              </w:rPr>
              <w:t>TradePulse (Ours)</w:t>
            </w:r>
          </w:p>
        </w:tc>
        <w:tc>
          <w:tcPr>
            <w:tcW w:type="dxa" w:w="1500"/>
            <w:tcMar>
              <w:top w:w="60" w:type="dxa"/>
              <w:bottom w:w="60" w:type="dxa"/>
              <w:left w:w="50" w:type="dxa"/>
              <w:right w:w="50" w:type="dxa"/>
            </w:tcMar>
          </w:tcPr>
          <w:p>
            <w:pPr>
              <w:jc w:val="center"/>
            </w:pPr>
            <w:r>
              <w:rPr>
                <w:rFonts w:ascii="Times New Roman" w:hAnsi="Times New Roman"/>
                <w:sz w:val="18"/>
              </w:rPr>
              <w:t>100% Free / Open Source</w:t>
            </w:r>
          </w:p>
        </w:tc>
        <w:tc>
          <w:tcPr>
            <w:tcW w:type="dxa" w:w="1500"/>
            <w:tcMar>
              <w:top w:w="60" w:type="dxa"/>
              <w:bottom w:w="60" w:type="dxa"/>
              <w:left w:w="50" w:type="dxa"/>
              <w:right w:w="50" w:type="dxa"/>
            </w:tcMar>
          </w:tcPr>
          <w:p>
            <w:pPr>
              <w:jc w:val="center"/>
            </w:pPr>
            <w:r>
              <w:rPr>
                <w:rFonts w:ascii="Times New Roman" w:hAnsi="Times New Roman"/>
                <w:sz w:val="18"/>
              </w:rPr>
              <w:t>Express Proxy Whitelist</w:t>
            </w:r>
          </w:p>
        </w:tc>
        <w:tc>
          <w:tcPr>
            <w:tcW w:type="dxa" w:w="1500"/>
            <w:tcMar>
              <w:top w:w="60" w:type="dxa"/>
              <w:bottom w:w="60" w:type="dxa"/>
              <w:left w:w="50" w:type="dxa"/>
              <w:right w:w="50" w:type="dxa"/>
            </w:tcMar>
          </w:tcPr>
          <w:p>
            <w:pPr>
              <w:jc w:val="center"/>
            </w:pPr>
            <w:r>
              <w:rPr>
                <w:rFonts w:ascii="Times New Roman" w:hAnsi="Times New Roman"/>
                <w:sz w:val="18"/>
              </w:rPr>
              <w:t>Full $50,000 Portfolio</w:t>
            </w:r>
          </w:p>
        </w:tc>
        <w:tc>
          <w:tcPr>
            <w:tcW w:type="dxa" w:w="1500"/>
            <w:tcMar>
              <w:top w:w="60" w:type="dxa"/>
              <w:bottom w:w="60" w:type="dxa"/>
              <w:left w:w="50" w:type="dxa"/>
              <w:right w:w="50" w:type="dxa"/>
            </w:tcMar>
          </w:tcPr>
          <w:p>
            <w:pPr>
              <w:jc w:val="center"/>
            </w:pPr>
            <w:r>
              <w:rPr>
                <w:rFonts w:ascii="Times New Roman" w:hAnsi="Times New Roman"/>
                <w:sz w:val="18"/>
              </w:rPr>
              <w:t>Autonomous GBM Engine</w:t>
            </w:r>
          </w:p>
        </w:tc>
        <w:tc>
          <w:tcPr>
            <w:tcW w:type="dxa" w:w="1500"/>
            <w:tcMar>
              <w:top w:w="60" w:type="dxa"/>
              <w:bottom w:w="60" w:type="dxa"/>
              <w:left w:w="50" w:type="dxa"/>
              <w:right w:w="50" w:type="dxa"/>
            </w:tcMar>
          </w:tcPr>
          <w:p>
            <w:pPr>
              <w:jc w:val="center"/>
            </w:pPr>
            <w:r>
              <w:rPr>
                <w:rFonts w:ascii="Times New Roman" w:hAnsi="Times New Roman"/>
                <w:sz w:val="18"/>
              </w:rPr>
              <w:t>100% Clean Fintech</w:t>
            </w:r>
          </w:p>
        </w:tc>
      </w:tr>
    </w:tbl>
    <w:p>
      <w:pPr>
        <w:spacing w:after="120" w:before="0" w:line="360" w:lineRule="auto"/>
        <w:jc w:val="center"/>
      </w:pPr>
      <w:r>
        <w:rPr>
          <w:rFonts w:ascii="Times New Roman" w:hAnsi="Times New Roman"/>
          <w:b w:val="0"/>
          <w:i/>
          <w:color w:val="000000"/>
          <w:sz w:val="20"/>
        </w:rPr>
        <w:br/>
        <w:t>Table 2.1: Architectural and Feature Comparison of Financial Platforms</w:t>
      </w:r>
    </w:p>
    <w:p>
      <w:pPr>
        <w:keepNext/>
        <w:spacing w:before="240" w:after="120"/>
      </w:pPr>
      <w:r>
        <w:rPr>
          <w:rFonts w:ascii="Times New Roman" w:hAnsi="Times New Roman"/>
          <w:b/>
          <w:color w:val="1E293B"/>
          <w:sz w:val="26"/>
        </w:rPr>
        <w:t>2.5 Security, Rate Limiting and API Key Protection</w:t>
      </w:r>
    </w:p>
    <w:p>
      <w:pPr>
        <w:spacing w:after="120" w:before="0" w:line="360" w:lineRule="auto"/>
        <w:jc w:val="both"/>
      </w:pPr>
      <w:r>
        <w:rPr>
          <w:rFonts w:ascii="Times New Roman" w:hAnsi="Times New Roman"/>
          <w:b w:val="0"/>
          <w:i w:val="0"/>
          <w:color w:val="000000"/>
          <w:sz w:val="24"/>
        </w:rPr>
        <w:t>The protection of upstream credentials in web applications has been investigated extensively by security researchers (OASIS, 2018). When web clients communicate directly with third-party APIs, private API tokens are embedded within JavaScript bundles or query strings, where they are effortlessly intercepted via browser developer tools or network sniffers. To enforce defense-in-depth, modern microservice architectures employ Reverse Proxy Gateways. The proxy server maintains private secrets within encrypted environment variables (`process.env.FINNHUB_API_KEY`), validates incoming query parameters, enforces Cross-Origin Resource Sharing (CORS) access control policies, and sanitizes outgoing responses. TradePulse implements this industry standard via Express 5 middleware.</w:t>
      </w:r>
    </w:p>
    <w:p>
      <w:pPr>
        <w:keepNext/>
        <w:spacing w:before="240" w:after="120"/>
      </w:pPr>
      <w:r>
        <w:rPr>
          <w:rFonts w:ascii="Times New Roman" w:hAnsi="Times New Roman"/>
          <w:b/>
          <w:color w:val="1E293B"/>
          <w:sz w:val="26"/>
        </w:rPr>
        <w:t>2.6 Gaps in Existing Literature and Platforms</w:t>
      </w:r>
    </w:p>
    <w:p>
      <w:pPr>
        <w:spacing w:after="120" w:before="0" w:line="360" w:lineRule="auto"/>
        <w:jc w:val="both"/>
      </w:pPr>
      <w:r>
        <w:rPr>
          <w:rFonts w:ascii="Times New Roman" w:hAnsi="Times New Roman"/>
          <w:b w:val="0"/>
          <w:i w:val="0"/>
          <w:color w:val="000000"/>
          <w:sz w:val="24"/>
        </w:rPr>
        <w:t>The synthesis of existing literature reveals three distinct gaps that TradePulse directly resolves:</w:t>
      </w:r>
    </w:p>
    <w:p>
      <w:pPr>
        <w:spacing w:after="120" w:before="0" w:line="360" w:lineRule="auto"/>
        <w:jc w:val="both"/>
      </w:pPr>
      <w:r>
        <w:rPr>
          <w:rFonts w:ascii="Times New Roman" w:hAnsi="Times New Roman"/>
          <w:b w:val="0"/>
          <w:i w:val="0"/>
          <w:color w:val="000000"/>
          <w:sz w:val="24"/>
        </w:rPr>
        <w:t>1. The Resilience Gap: Existing open-source financial apps collapse when third-party API rate limits (HTTP 429) are encountered. There is a marked absence of platforms featuring dynamic fallback to client-side stochastic models.</w:t>
      </w:r>
    </w:p>
    <w:p>
      <w:pPr>
        <w:spacing w:after="120" w:before="0" w:line="360" w:lineRule="auto"/>
        <w:jc w:val="both"/>
      </w:pPr>
      <w:r>
        <w:rPr>
          <w:rFonts w:ascii="Times New Roman" w:hAnsi="Times New Roman"/>
          <w:b w:val="0"/>
          <w:i w:val="0"/>
          <w:color w:val="000000"/>
          <w:sz w:val="24"/>
        </w:rPr>
        <w:t>2. The Security-Simplicity Tradeoff: Most student projects either dangerously leak API keys in frontend code or construct overly complex multi-container infrastructures (Kubernetes, Docker Swarm) that cannot be deployed on free-tier hosting.</w:t>
      </w:r>
    </w:p>
    <w:p>
      <w:pPr>
        <w:spacing w:after="120" w:before="0" w:line="360" w:lineRule="auto"/>
        <w:jc w:val="both"/>
      </w:pPr>
      <w:r>
        <w:rPr>
          <w:rFonts w:ascii="Times New Roman" w:hAnsi="Times New Roman"/>
          <w:b w:val="0"/>
          <w:i w:val="0"/>
          <w:color w:val="000000"/>
          <w:sz w:val="24"/>
        </w:rPr>
        <w:t>3. The Dual-Market Visualization Void: Free platforms rarely offer simultaneous, side-by-side technical tracking of US Dollar equities and Indian Rupee NSE equities with contextual currency symbols and localized numeral formatting.</w:t>
      </w:r>
    </w:p>
    <w:p>
      <w:r>
        <w:br w:type="page"/>
      </w:r>
    </w:p>
    <w:p>
      <w:pPr>
        <w:keepNext/>
        <w:spacing w:before="320" w:after="160"/>
      </w:pPr>
      <w:r>
        <w:rPr>
          <w:rFonts w:ascii="Times New Roman" w:hAnsi="Times New Roman"/>
          <w:b/>
          <w:color w:val="0F172A"/>
          <w:sz w:val="30"/>
        </w:rPr>
        <w:t>Chapter 3. Proposed Methodology &amp; Architecture</w:t>
      </w:r>
    </w:p>
    <w:p>
      <w:pPr>
        <w:keepNext/>
        <w:spacing w:before="240" w:after="120"/>
      </w:pPr>
      <w:r>
        <w:rPr>
          <w:rFonts w:ascii="Times New Roman" w:hAnsi="Times New Roman"/>
          <w:b/>
          <w:color w:val="1E293B"/>
          <w:sz w:val="26"/>
        </w:rPr>
        <w:t>3.1 Overview of TradePulse Architecture</w:t>
      </w:r>
    </w:p>
    <w:p>
      <w:pPr>
        <w:spacing w:after="120" w:before="0" w:line="360" w:lineRule="auto"/>
        <w:jc w:val="both"/>
      </w:pPr>
      <w:r>
        <w:rPr>
          <w:rFonts w:ascii="Times New Roman" w:hAnsi="Times New Roman"/>
          <w:b w:val="0"/>
          <w:i w:val="0"/>
          <w:color w:val="000000"/>
          <w:sz w:val="24"/>
        </w:rPr>
        <w:t>TradePulse is designed around a decoupled, three-tier micro-architecture engineered for high throughput, absolute credential isolation, and fault-tolerant continuous availability. The three distinct tiers comprise:</w:t>
      </w:r>
    </w:p>
    <w:p>
      <w:pPr>
        <w:spacing w:after="120" w:before="0" w:line="360" w:lineRule="auto"/>
        <w:jc w:val="both"/>
      </w:pPr>
      <w:r>
        <w:rPr>
          <w:rFonts w:ascii="Times New Roman" w:hAnsi="Times New Roman"/>
          <w:b w:val="0"/>
          <w:i w:val="0"/>
          <w:color w:val="000000"/>
          <w:sz w:val="24"/>
        </w:rPr>
        <w:t>1. Presentation Tier (Client SPA): Built with React 18 and Vite, executing locally within the end-user's browser runtime. It manages UI state, technical charting, paper portfolio accounting, and threshold alerting.</w:t>
      </w:r>
    </w:p>
    <w:p>
      <w:pPr>
        <w:spacing w:after="120" w:before="0" w:line="360" w:lineRule="auto"/>
        <w:jc w:val="both"/>
      </w:pPr>
      <w:r>
        <w:rPr>
          <w:rFonts w:ascii="Times New Roman" w:hAnsi="Times New Roman"/>
          <w:b w:val="0"/>
          <w:i w:val="0"/>
          <w:color w:val="000000"/>
          <w:sz w:val="24"/>
        </w:rPr>
        <w:t>2. Gateway Tier (Node.js &amp; Express): A secure HTTP reverse proxy that handles incoming client requests, validates symbols and timestamp resolutions, injects private Finnhub authentication headers, and logs non-sensitive telemetry.</w:t>
      </w:r>
    </w:p>
    <w:p>
      <w:pPr>
        <w:spacing w:after="120" w:before="0" w:line="360" w:lineRule="auto"/>
        <w:jc w:val="both"/>
      </w:pPr>
      <w:r>
        <w:rPr>
          <w:rFonts w:ascii="Times New Roman" w:hAnsi="Times New Roman"/>
          <w:b w:val="0"/>
          <w:i w:val="0"/>
          <w:color w:val="000000"/>
          <w:sz w:val="24"/>
        </w:rPr>
        <w:t>3. Data &amp; Cloud Infrastructure Tier: Consisting of Finnhub REST servers, Render cloud web hosting for the gateway, and GitHub Pages Global CDN for static asset distribution.</w:t>
      </w:r>
    </w:p>
    <w:p>
      <w:pPr>
        <w:spacing w:before="160" w:after="8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029200" cy="3017520"/>
                    </a:xfrm>
                    <a:prstGeom prst="rect"/>
                  </pic:spPr>
                </pic:pic>
              </a:graphicData>
            </a:graphic>
          </wp:inline>
        </w:drawing>
      </w:r>
    </w:p>
    <w:p>
      <w:pPr>
        <w:spacing w:after="240"/>
        <w:jc w:val="center"/>
      </w:pPr>
      <w:r>
        <w:rPr>
          <w:rFonts w:ascii="Times New Roman" w:hAnsi="Times New Roman"/>
          <w:b/>
          <w:i/>
          <w:color w:val="475569"/>
          <w:sz w:val="20"/>
        </w:rPr>
        <w:t>Figure 3.1: Detailed Micro-Architecture and Data Flow of TradePulse</w:t>
      </w:r>
    </w:p>
    <w:p>
      <w:pPr>
        <w:keepNext/>
        <w:spacing w:before="240" w:after="120"/>
      </w:pPr>
      <w:r>
        <w:rPr>
          <w:rFonts w:ascii="Times New Roman" w:hAnsi="Times New Roman"/>
          <w:b/>
          <w:color w:val="1E293B"/>
          <w:sz w:val="26"/>
        </w:rPr>
        <w:t>3.2 Client-Tier Component Hierarchy</w:t>
      </w:r>
    </w:p>
    <w:p>
      <w:pPr>
        <w:spacing w:after="120" w:before="0" w:line="360" w:lineRule="auto"/>
        <w:jc w:val="both"/>
      </w:pPr>
      <w:r>
        <w:rPr>
          <w:rFonts w:ascii="Times New Roman" w:hAnsi="Times New Roman"/>
          <w:b w:val="0"/>
          <w:i w:val="0"/>
          <w:color w:val="000000"/>
          <w:sz w:val="24"/>
        </w:rPr>
        <w:t>The presentation layer is structured into modular, reusable React components governed by a top-level state controller (`App.jsx`). The component hierarchy follows strict separation of concerns:</w:t>
      </w:r>
    </w:p>
    <w:p>
      <w:pPr>
        <w:spacing w:after="120" w:before="0" w:line="360" w:lineRule="auto"/>
        <w:jc w:val="both"/>
      </w:pPr>
      <w:r>
        <w:rPr>
          <w:rFonts w:ascii="Times New Roman" w:hAnsi="Times New Roman"/>
          <w:b w:val="0"/>
          <w:i w:val="0"/>
          <w:color w:val="000000"/>
          <w:sz w:val="24"/>
        </w:rPr>
        <w:t>• `App.jsx`: Top-level orchestrator holding primary state arrays (stocks, portfolio, watchlist, alerts, virtual cash, active session) and coordinating inter-view routing.</w:t>
      </w:r>
    </w:p>
    <w:p>
      <w:pPr>
        <w:spacing w:after="120" w:before="0" w:line="360" w:lineRule="auto"/>
        <w:jc w:val="both"/>
      </w:pPr>
      <w:r>
        <w:rPr>
          <w:rFonts w:ascii="Times New Roman" w:hAnsi="Times New Roman"/>
          <w:b w:val="0"/>
          <w:i w:val="0"/>
          <w:color w:val="000000"/>
          <w:sz w:val="24"/>
        </w:rPr>
        <w:t>• `Sidebar.jsx`: Persistent vertical navigation rail providing one-click routing between Dashboard, Markets, Portfolio, Watchlist, and Price Alerts views, accompanied by user profile details.</w:t>
      </w:r>
    </w:p>
    <w:p>
      <w:pPr>
        <w:spacing w:after="120" w:before="0" w:line="360" w:lineRule="auto"/>
        <w:jc w:val="both"/>
      </w:pPr>
      <w:r>
        <w:rPr>
          <w:rFonts w:ascii="Times New Roman" w:hAnsi="Times New Roman"/>
          <w:b w:val="0"/>
          <w:i w:val="0"/>
          <w:color w:val="000000"/>
          <w:sz w:val="24"/>
        </w:rPr>
        <w:t>• `Topbar.jsx`: Global header displaying real-time search input, market indices ticker bar, portfolio cash badge, dark/light theme toggle, and system settings triggers.</w:t>
      </w:r>
    </w:p>
    <w:p>
      <w:pPr>
        <w:spacing w:after="120" w:before="0" w:line="360" w:lineRule="auto"/>
        <w:jc w:val="both"/>
      </w:pPr>
      <w:r>
        <w:rPr>
          <w:rFonts w:ascii="Times New Roman" w:hAnsi="Times New Roman"/>
          <w:b w:val="0"/>
          <w:i w:val="0"/>
          <w:color w:val="000000"/>
          <w:sz w:val="24"/>
        </w:rPr>
        <w:t>• `Dashboard.jsx`: Executive overview featuring macro market indices (S&amp;P 500, Nasdaq, Dow Jones, Nifty 50), top gainers, top losers, net worth metrics, and portfolio quick-view.</w:t>
      </w:r>
    </w:p>
    <w:p>
      <w:pPr>
        <w:spacing w:after="120" w:before="0" w:line="360" w:lineRule="auto"/>
        <w:jc w:val="both"/>
      </w:pPr>
      <w:r>
        <w:rPr>
          <w:rFonts w:ascii="Times New Roman" w:hAnsi="Times New Roman"/>
          <w:b w:val="0"/>
          <w:i w:val="0"/>
          <w:color w:val="000000"/>
          <w:sz w:val="24"/>
        </w:rPr>
        <w:t>• `Markets.jsx`: Comprehensive catalog explorer equipped with multi-category tabs (All, US Tech, US Finance, Indian NSE) and dynamic search filtering.</w:t>
      </w:r>
    </w:p>
    <w:p>
      <w:pPr>
        <w:spacing w:after="120" w:before="0" w:line="360" w:lineRule="auto"/>
        <w:jc w:val="both"/>
      </w:pPr>
      <w:r>
        <w:rPr>
          <w:rFonts w:ascii="Times New Roman" w:hAnsi="Times New Roman"/>
          <w:b w:val="0"/>
          <w:i w:val="0"/>
          <w:color w:val="000000"/>
          <w:sz w:val="24"/>
        </w:rPr>
        <w:t>• `StockDetail.jsx`: In-depth analytical view rendering Chart.js candlestick and line charts across 1D, 1W, 1M, and 1Y timeframes, supplemented by volume histograms and company profile telemetry.</w:t>
      </w:r>
    </w:p>
    <w:p>
      <w:pPr>
        <w:spacing w:after="120" w:before="0" w:line="360" w:lineRule="auto"/>
        <w:jc w:val="both"/>
      </w:pPr>
      <w:r>
        <w:rPr>
          <w:rFonts w:ascii="Times New Roman" w:hAnsi="Times New Roman"/>
          <w:b w:val="0"/>
          <w:i w:val="0"/>
          <w:color w:val="000000"/>
          <w:sz w:val="24"/>
        </w:rPr>
        <w:t>• `Portfolio.jsx` &amp; `TradeModal.jsx`: Interactive paper trading terminal facilitating immediate buy and sell order execution with cash balance validation.</w:t>
      </w:r>
    </w:p>
    <w:p>
      <w:pPr>
        <w:spacing w:after="120" w:before="0" w:line="360" w:lineRule="auto"/>
        <w:jc w:val="both"/>
      </w:pPr>
      <w:r>
        <w:rPr>
          <w:rFonts w:ascii="Times New Roman" w:hAnsi="Times New Roman"/>
          <w:b w:val="0"/>
          <w:i w:val="0"/>
          <w:color w:val="000000"/>
          <w:sz w:val="24"/>
        </w:rPr>
        <w:t>• `PriceAlerts.jsx`: Alert creation and monitoring table with Upper/Lower price condition triggers.</w:t>
      </w:r>
    </w:p>
    <w:p>
      <w:pPr>
        <w:spacing w:after="120" w:before="0" w:line="360" w:lineRule="auto"/>
        <w:jc w:val="both"/>
      </w:pPr>
      <w:r>
        <w:rPr>
          <w:rFonts w:ascii="Times New Roman" w:hAnsi="Times New Roman"/>
          <w:b w:val="0"/>
          <w:i w:val="0"/>
          <w:color w:val="000000"/>
          <w:sz w:val="24"/>
        </w:rPr>
        <w:t>• `ApiSettingsModal.jsx`: Diagnostic control panel allowing real-time gateway health pinging, target URL override, and 1-click cloud deployment.</w:t>
      </w:r>
    </w:p>
    <w:p>
      <w:pPr>
        <w:keepNext/>
        <w:spacing w:before="240" w:after="120"/>
      </w:pPr>
      <w:r>
        <w:rPr>
          <w:rFonts w:ascii="Times New Roman" w:hAnsi="Times New Roman"/>
          <w:b/>
          <w:color w:val="1E293B"/>
          <w:sz w:val="26"/>
        </w:rPr>
        <w:t>3.3 Curated Stock Catalog &amp; Classification</w:t>
      </w:r>
    </w:p>
    <w:p>
      <w:pPr>
        <w:spacing w:after="120" w:before="0" w:line="360" w:lineRule="auto"/>
        <w:jc w:val="both"/>
      </w:pPr>
      <w:r>
        <w:rPr>
          <w:rFonts w:ascii="Times New Roman" w:hAnsi="Times New Roman"/>
          <w:b w:val="0"/>
          <w:i w:val="0"/>
          <w:color w:val="000000"/>
          <w:sz w:val="24"/>
        </w:rPr>
        <w:t>TradePulse provides out-of-the-box coverage for 36 high-liquidity international equities categorized across three distinct sectors, as delineated in Table 3.1:</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3000"/>
        <w:gridCol w:w="3000"/>
        <w:gridCol w:w="3000"/>
      </w:tblGrid>
      <w:tr>
        <w:tc>
          <w:tcPr>
            <w:tcW w:type="dxa" w:w="3000"/>
            <w:shd w:fill="E2E8F0"/>
            <w:tcMar>
              <w:top w:w="70" w:type="dxa"/>
              <w:bottom w:w="70" w:type="dxa"/>
              <w:left w:w="70" w:type="dxa"/>
              <w:right w:w="70" w:type="dxa"/>
            </w:tcMar>
          </w:tcPr>
          <w:p>
            <w:pPr>
              <w:jc w:val="center"/>
            </w:pPr>
            <w:r>
              <w:rPr>
                <w:rFonts w:ascii="Times New Roman" w:hAnsi="Times New Roman"/>
                <w:b/>
                <w:sz w:val="20"/>
              </w:rPr>
              <w:t>Sector Category</w:t>
            </w:r>
          </w:p>
        </w:tc>
        <w:tc>
          <w:tcPr>
            <w:tcW w:type="dxa" w:w="3000"/>
            <w:shd w:fill="E2E8F0"/>
            <w:tcMar>
              <w:top w:w="70" w:type="dxa"/>
              <w:bottom w:w="70" w:type="dxa"/>
              <w:left w:w="70" w:type="dxa"/>
              <w:right w:w="70" w:type="dxa"/>
            </w:tcMar>
          </w:tcPr>
          <w:p>
            <w:pPr>
              <w:jc w:val="center"/>
            </w:pPr>
            <w:r>
              <w:rPr>
                <w:rFonts w:ascii="Times New Roman" w:hAnsi="Times New Roman"/>
                <w:b/>
                <w:sz w:val="20"/>
              </w:rPr>
              <w:t>Equities &amp; Symbols</w:t>
            </w:r>
          </w:p>
        </w:tc>
        <w:tc>
          <w:tcPr>
            <w:tcW w:type="dxa" w:w="3000"/>
            <w:shd w:fill="E2E8F0"/>
            <w:tcMar>
              <w:top w:w="70" w:type="dxa"/>
              <w:bottom w:w="70" w:type="dxa"/>
              <w:left w:w="70" w:type="dxa"/>
              <w:right w:w="70" w:type="dxa"/>
            </w:tcMar>
          </w:tcPr>
          <w:p>
            <w:pPr>
              <w:jc w:val="center"/>
            </w:pPr>
            <w:r>
              <w:rPr>
                <w:rFonts w:ascii="Times New Roman" w:hAnsi="Times New Roman"/>
                <w:b/>
                <w:sz w:val="20"/>
              </w:rPr>
              <w:t>Currency &amp; Exchange</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AAPL (Apple Inc.)</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MSFT (Microsoft Corp.)</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NVDA (NVIDIA Corp.)</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GOOGL (Alphabet Inc.)</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AMZN (Amazon.com Inc.)</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Technology (Mega-Cap)</w:t>
            </w:r>
          </w:p>
        </w:tc>
        <w:tc>
          <w:tcPr>
            <w:tcW w:type="dxa" w:w="3000"/>
            <w:tcMar>
              <w:top w:w="40" w:type="dxa"/>
              <w:bottom w:w="40" w:type="dxa"/>
              <w:left w:w="60" w:type="dxa"/>
              <w:right w:w="60" w:type="dxa"/>
            </w:tcMar>
          </w:tcPr>
          <w:p>
            <w:r>
              <w:rPr>
                <w:rFonts w:ascii="Times New Roman" w:hAnsi="Times New Roman"/>
                <w:sz w:val="18"/>
              </w:rPr>
              <w:t>TSLA (Tesla Inc.)</w:t>
            </w:r>
          </w:p>
        </w:tc>
        <w:tc>
          <w:tcPr>
            <w:tcW w:type="dxa" w:w="3000"/>
            <w:tcMar>
              <w:top w:w="40" w:type="dxa"/>
              <w:bottom w:w="40" w:type="dxa"/>
              <w:left w:w="60" w:type="dxa"/>
              <w:right w:w="60" w:type="dxa"/>
            </w:tcMar>
          </w:tcPr>
          <w:p>
            <w:r>
              <w:rPr>
                <w:rFonts w:ascii="Times New Roman" w:hAnsi="Times New Roman"/>
                <w:sz w:val="18"/>
              </w:rPr>
              <w:t>$ USD / NASDAQ</w:t>
            </w:r>
          </w:p>
        </w:tc>
      </w:tr>
      <w:tr>
        <w:tc>
          <w:tcPr>
            <w:tcW w:type="dxa" w:w="3000"/>
            <w:tcMar>
              <w:top w:w="40" w:type="dxa"/>
              <w:bottom w:w="40" w:type="dxa"/>
              <w:left w:w="60" w:type="dxa"/>
              <w:right w:w="60" w:type="dxa"/>
            </w:tcMar>
          </w:tcPr>
          <w:p>
            <w:r>
              <w:rPr>
                <w:rFonts w:ascii="Times New Roman" w:hAnsi="Times New Roman"/>
                <w:sz w:val="18"/>
              </w:rPr>
              <w:t>US Finance &amp; Blue Chip</w:t>
            </w:r>
          </w:p>
        </w:tc>
        <w:tc>
          <w:tcPr>
            <w:tcW w:type="dxa" w:w="3000"/>
            <w:tcMar>
              <w:top w:w="40" w:type="dxa"/>
              <w:bottom w:w="40" w:type="dxa"/>
              <w:left w:w="60" w:type="dxa"/>
              <w:right w:w="60" w:type="dxa"/>
            </w:tcMar>
          </w:tcPr>
          <w:p>
            <w:r>
              <w:rPr>
                <w:rFonts w:ascii="Times New Roman" w:hAnsi="Times New Roman"/>
                <w:sz w:val="18"/>
              </w:rPr>
              <w:t>JPM (JPMorgan Chase &amp; Co.)</w:t>
            </w:r>
          </w:p>
        </w:tc>
        <w:tc>
          <w:tcPr>
            <w:tcW w:type="dxa" w:w="3000"/>
            <w:tcMar>
              <w:top w:w="40" w:type="dxa"/>
              <w:bottom w:w="40" w:type="dxa"/>
              <w:left w:w="60" w:type="dxa"/>
              <w:right w:w="60" w:type="dxa"/>
            </w:tcMar>
          </w:tcPr>
          <w:p>
            <w:r>
              <w:rPr>
                <w:rFonts w:ascii="Times New Roman" w:hAnsi="Times New Roman"/>
                <w:sz w:val="18"/>
              </w:rPr>
              <w:t>$ USD / NYSE</w:t>
            </w:r>
          </w:p>
        </w:tc>
      </w:tr>
      <w:tr>
        <w:tc>
          <w:tcPr>
            <w:tcW w:type="dxa" w:w="3000"/>
            <w:tcMar>
              <w:top w:w="40" w:type="dxa"/>
              <w:bottom w:w="40" w:type="dxa"/>
              <w:left w:w="60" w:type="dxa"/>
              <w:right w:w="60" w:type="dxa"/>
            </w:tcMar>
          </w:tcPr>
          <w:p>
            <w:r>
              <w:rPr>
                <w:rFonts w:ascii="Times New Roman" w:hAnsi="Times New Roman"/>
                <w:sz w:val="18"/>
              </w:rPr>
              <w:t>US Finance &amp; Blue Chip</w:t>
            </w:r>
          </w:p>
        </w:tc>
        <w:tc>
          <w:tcPr>
            <w:tcW w:type="dxa" w:w="3000"/>
            <w:tcMar>
              <w:top w:w="40" w:type="dxa"/>
              <w:bottom w:w="40" w:type="dxa"/>
              <w:left w:w="60" w:type="dxa"/>
              <w:right w:w="60" w:type="dxa"/>
            </w:tcMar>
          </w:tcPr>
          <w:p>
            <w:r>
              <w:rPr>
                <w:rFonts w:ascii="Times New Roman" w:hAnsi="Times New Roman"/>
                <w:sz w:val="18"/>
              </w:rPr>
              <w:t>BAC (Bank of America Corp.)</w:t>
            </w:r>
          </w:p>
        </w:tc>
        <w:tc>
          <w:tcPr>
            <w:tcW w:type="dxa" w:w="3000"/>
            <w:tcMar>
              <w:top w:w="40" w:type="dxa"/>
              <w:bottom w:w="40" w:type="dxa"/>
              <w:left w:w="60" w:type="dxa"/>
              <w:right w:w="60" w:type="dxa"/>
            </w:tcMar>
          </w:tcPr>
          <w:p>
            <w:r>
              <w:rPr>
                <w:rFonts w:ascii="Times New Roman" w:hAnsi="Times New Roman"/>
                <w:sz w:val="18"/>
              </w:rPr>
              <w:t>$ USD / NYSE</w:t>
            </w:r>
          </w:p>
        </w:tc>
      </w:tr>
      <w:tr>
        <w:tc>
          <w:tcPr>
            <w:tcW w:type="dxa" w:w="3000"/>
            <w:tcMar>
              <w:top w:w="40" w:type="dxa"/>
              <w:bottom w:w="40" w:type="dxa"/>
              <w:left w:w="60" w:type="dxa"/>
              <w:right w:w="60" w:type="dxa"/>
            </w:tcMar>
          </w:tcPr>
          <w:p>
            <w:r>
              <w:rPr>
                <w:rFonts w:ascii="Times New Roman" w:hAnsi="Times New Roman"/>
                <w:sz w:val="18"/>
              </w:rPr>
              <w:t>US Finance &amp; Blue Chip</w:t>
            </w:r>
          </w:p>
        </w:tc>
        <w:tc>
          <w:tcPr>
            <w:tcW w:type="dxa" w:w="3000"/>
            <w:tcMar>
              <w:top w:w="40" w:type="dxa"/>
              <w:bottom w:w="40" w:type="dxa"/>
              <w:left w:w="60" w:type="dxa"/>
              <w:right w:w="60" w:type="dxa"/>
            </w:tcMar>
          </w:tcPr>
          <w:p>
            <w:r>
              <w:rPr>
                <w:rFonts w:ascii="Times New Roman" w:hAnsi="Times New Roman"/>
                <w:sz w:val="18"/>
              </w:rPr>
              <w:t>V (Visa Inc.)</w:t>
            </w:r>
          </w:p>
        </w:tc>
        <w:tc>
          <w:tcPr>
            <w:tcW w:type="dxa" w:w="3000"/>
            <w:tcMar>
              <w:top w:w="40" w:type="dxa"/>
              <w:bottom w:w="40" w:type="dxa"/>
              <w:left w:w="60" w:type="dxa"/>
              <w:right w:w="60" w:type="dxa"/>
            </w:tcMar>
          </w:tcPr>
          <w:p>
            <w:r>
              <w:rPr>
                <w:rFonts w:ascii="Times New Roman" w:hAnsi="Times New Roman"/>
                <w:sz w:val="18"/>
              </w:rPr>
              <w:t>$ USD / NYSE</w:t>
            </w:r>
          </w:p>
        </w:tc>
      </w:tr>
      <w:tr>
        <w:tc>
          <w:tcPr>
            <w:tcW w:type="dxa" w:w="3000"/>
            <w:tcMar>
              <w:top w:w="40" w:type="dxa"/>
              <w:bottom w:w="40" w:type="dxa"/>
              <w:left w:w="60" w:type="dxa"/>
              <w:right w:w="60" w:type="dxa"/>
            </w:tcMar>
          </w:tcPr>
          <w:p>
            <w:r>
              <w:rPr>
                <w:rFonts w:ascii="Times New Roman" w:hAnsi="Times New Roman"/>
                <w:sz w:val="18"/>
              </w:rPr>
              <w:t>Indian NSE Equities</w:t>
            </w:r>
          </w:p>
        </w:tc>
        <w:tc>
          <w:tcPr>
            <w:tcW w:type="dxa" w:w="3000"/>
            <w:tcMar>
              <w:top w:w="40" w:type="dxa"/>
              <w:bottom w:w="40" w:type="dxa"/>
              <w:left w:w="60" w:type="dxa"/>
              <w:right w:w="60" w:type="dxa"/>
            </w:tcMar>
          </w:tcPr>
          <w:p>
            <w:r>
              <w:rPr>
                <w:rFonts w:ascii="Times New Roman" w:hAnsi="Times New Roman"/>
                <w:sz w:val="18"/>
              </w:rPr>
              <w:t>RELIANCE.NS (Reliance Industries)</w:t>
            </w:r>
          </w:p>
        </w:tc>
        <w:tc>
          <w:tcPr>
            <w:tcW w:type="dxa" w:w="3000"/>
            <w:tcMar>
              <w:top w:w="40" w:type="dxa"/>
              <w:bottom w:w="40" w:type="dxa"/>
              <w:left w:w="60" w:type="dxa"/>
              <w:right w:w="60" w:type="dxa"/>
            </w:tcMar>
          </w:tcPr>
          <w:p>
            <w:r>
              <w:rPr>
                <w:rFonts w:ascii="Times New Roman" w:hAnsi="Times New Roman"/>
                <w:sz w:val="18"/>
              </w:rPr>
              <w:t>₹ INR / NSE India</w:t>
            </w:r>
          </w:p>
        </w:tc>
      </w:tr>
      <w:tr>
        <w:tc>
          <w:tcPr>
            <w:tcW w:type="dxa" w:w="3000"/>
            <w:tcMar>
              <w:top w:w="40" w:type="dxa"/>
              <w:bottom w:w="40" w:type="dxa"/>
              <w:left w:w="60" w:type="dxa"/>
              <w:right w:w="60" w:type="dxa"/>
            </w:tcMar>
          </w:tcPr>
          <w:p>
            <w:r>
              <w:rPr>
                <w:rFonts w:ascii="Times New Roman" w:hAnsi="Times New Roman"/>
                <w:sz w:val="18"/>
              </w:rPr>
              <w:t>Indian NSE Equities</w:t>
            </w:r>
          </w:p>
        </w:tc>
        <w:tc>
          <w:tcPr>
            <w:tcW w:type="dxa" w:w="3000"/>
            <w:tcMar>
              <w:top w:w="40" w:type="dxa"/>
              <w:bottom w:w="40" w:type="dxa"/>
              <w:left w:w="60" w:type="dxa"/>
              <w:right w:w="60" w:type="dxa"/>
            </w:tcMar>
          </w:tcPr>
          <w:p>
            <w:r>
              <w:rPr>
                <w:rFonts w:ascii="Times New Roman" w:hAnsi="Times New Roman"/>
                <w:sz w:val="18"/>
              </w:rPr>
              <w:t>TCS.NS (Tata Consultancy Services)</w:t>
            </w:r>
          </w:p>
        </w:tc>
        <w:tc>
          <w:tcPr>
            <w:tcW w:type="dxa" w:w="3000"/>
            <w:tcMar>
              <w:top w:w="40" w:type="dxa"/>
              <w:bottom w:w="40" w:type="dxa"/>
              <w:left w:w="60" w:type="dxa"/>
              <w:right w:w="60" w:type="dxa"/>
            </w:tcMar>
          </w:tcPr>
          <w:p>
            <w:r>
              <w:rPr>
                <w:rFonts w:ascii="Times New Roman" w:hAnsi="Times New Roman"/>
                <w:sz w:val="18"/>
              </w:rPr>
              <w:t>₹ INR / NSE India</w:t>
            </w:r>
          </w:p>
        </w:tc>
      </w:tr>
      <w:tr>
        <w:tc>
          <w:tcPr>
            <w:tcW w:type="dxa" w:w="3000"/>
            <w:tcMar>
              <w:top w:w="40" w:type="dxa"/>
              <w:bottom w:w="40" w:type="dxa"/>
              <w:left w:w="60" w:type="dxa"/>
              <w:right w:w="60" w:type="dxa"/>
            </w:tcMar>
          </w:tcPr>
          <w:p>
            <w:r>
              <w:rPr>
                <w:rFonts w:ascii="Times New Roman" w:hAnsi="Times New Roman"/>
                <w:sz w:val="18"/>
              </w:rPr>
              <w:t>Indian NSE Equities</w:t>
            </w:r>
          </w:p>
        </w:tc>
        <w:tc>
          <w:tcPr>
            <w:tcW w:type="dxa" w:w="3000"/>
            <w:tcMar>
              <w:top w:w="40" w:type="dxa"/>
              <w:bottom w:w="40" w:type="dxa"/>
              <w:left w:w="60" w:type="dxa"/>
              <w:right w:w="60" w:type="dxa"/>
            </w:tcMar>
          </w:tcPr>
          <w:p>
            <w:r>
              <w:rPr>
                <w:rFonts w:ascii="Times New Roman" w:hAnsi="Times New Roman"/>
                <w:sz w:val="18"/>
              </w:rPr>
              <w:t>INFY.NS (Infosys Limited)</w:t>
            </w:r>
          </w:p>
        </w:tc>
        <w:tc>
          <w:tcPr>
            <w:tcW w:type="dxa" w:w="3000"/>
            <w:tcMar>
              <w:top w:w="40" w:type="dxa"/>
              <w:bottom w:w="40" w:type="dxa"/>
              <w:left w:w="60" w:type="dxa"/>
              <w:right w:w="60" w:type="dxa"/>
            </w:tcMar>
          </w:tcPr>
          <w:p>
            <w:r>
              <w:rPr>
                <w:rFonts w:ascii="Times New Roman" w:hAnsi="Times New Roman"/>
                <w:sz w:val="18"/>
              </w:rPr>
              <w:t>₹ INR / NSE India</w:t>
            </w:r>
          </w:p>
        </w:tc>
      </w:tr>
    </w:tbl>
    <w:p>
      <w:pPr>
        <w:spacing w:after="120" w:before="0" w:line="360" w:lineRule="auto"/>
        <w:jc w:val="center"/>
      </w:pPr>
      <w:r>
        <w:rPr>
          <w:rFonts w:ascii="Times New Roman" w:hAnsi="Times New Roman"/>
          <w:b w:val="0"/>
          <w:i/>
          <w:color w:val="000000"/>
          <w:sz w:val="20"/>
        </w:rPr>
        <w:br/>
        <w:t>Table 3.1: Curated Multi-Sector Equity Catalog in TradePulse</w:t>
      </w:r>
    </w:p>
    <w:p>
      <w:pPr>
        <w:keepNext/>
        <w:spacing w:before="240" w:after="120"/>
      </w:pPr>
      <w:r>
        <w:rPr>
          <w:rFonts w:ascii="Times New Roman" w:hAnsi="Times New Roman"/>
          <w:b/>
          <w:color w:val="1E293B"/>
          <w:sz w:val="26"/>
        </w:rPr>
        <w:t>3.4 Multi-Currency and Dual Market Engine</w:t>
      </w:r>
    </w:p>
    <w:p>
      <w:pPr>
        <w:spacing w:after="120" w:before="0" w:line="360" w:lineRule="auto"/>
        <w:jc w:val="both"/>
      </w:pPr>
      <w:r>
        <w:rPr>
          <w:rFonts w:ascii="Times New Roman" w:hAnsi="Times New Roman"/>
          <w:b w:val="0"/>
          <w:i w:val="0"/>
          <w:color w:val="000000"/>
          <w:sz w:val="24"/>
        </w:rPr>
        <w:t>To accommodate international equities alongside Indian assets, TradePulse implements an automated currency resolution utility (`getStockCurrency` and `formatStockPrice`). The engine inspects ticker symbols against a curated list of Indian National Stock Exchange equities (e.g., RELIANCE, TCS, INFY) or checks for `.NS` and `.BO` exchange suffixes. If matched, the currency symbol is set to Indian Rupee (₹) and amounts are formatted using the Indian numbering system (`en-IN`, e.g., ₹24,895.30). For all international assets, formatting defaults to US Dollars (`$`) formatted via `en-US` (`$5,864.67`).</w:t>
      </w:r>
    </w:p>
    <w:p>
      <w:pPr>
        <w:keepNext/>
        <w:spacing w:before="240" w:after="120"/>
      </w:pPr>
      <w:r>
        <w:rPr>
          <w:rFonts w:ascii="Times New Roman" w:hAnsi="Times New Roman"/>
          <w:b/>
          <w:color w:val="1E293B"/>
          <w:sz w:val="26"/>
        </w:rPr>
        <w:t>3.5 Real-Time Price Polling &amp; Geometric Brownian Motion Model</w:t>
      </w:r>
    </w:p>
    <w:p>
      <w:pPr>
        <w:spacing w:after="120" w:before="0" w:line="360" w:lineRule="auto"/>
        <w:jc w:val="both"/>
      </w:pPr>
      <w:r>
        <w:rPr>
          <w:rFonts w:ascii="Times New Roman" w:hAnsi="Times New Roman"/>
          <w:b w:val="0"/>
          <w:i w:val="0"/>
          <w:color w:val="000000"/>
          <w:sz w:val="24"/>
        </w:rPr>
        <w:t>To achieve fluid price movements without incurring continuous network latency, TradePulse implements a discrete Geometric Brownian Motion (GBM) stochastic model. In financial mathematics, asset price dynamics under standard Black-Scholes assumptions follow the stochastic differential equation:</w:t>
      </w:r>
    </w:p>
    <w:p>
      <w:pPr>
        <w:spacing w:before="80" w:after="120" w:line="276" w:lineRule="auto"/>
        <w:ind w:left="576" w:right="288"/>
        <w:jc w:val="left"/>
        <w:pBdr>
          <w:left w:val="single" w:sz="12" w:space="4" w:color="059669"/>
        </w:pBdr>
      </w:pPr>
      <w:r>
        <w:rPr>
          <w:rFonts w:ascii="Courier New" w:hAnsi="Courier New"/>
          <w:color w:val="1E293B"/>
          <w:sz w:val="19"/>
        </w:rPr>
        <w:t>dS(t) = μ * S(t) * dt + σ * S(t) * dW(t)</w:t>
        <w:br/>
        <w:br/>
        <w:t>Where:</w:t>
        <w:br/>
        <w:t xml:space="preserve">  S(t) = Asset price at time t</w:t>
        <w:br/>
        <w:t xml:space="preserve">  μ    = Expected annual drift rate (trend)</w:t>
        <w:br/>
        <w:t xml:space="preserve">  σ    = Annualized volatility coefficient</w:t>
        <w:br/>
        <w:t xml:space="preserve">  W(t) = Standard Wiener process (Brownian motion)</w:t>
      </w:r>
    </w:p>
    <w:p>
      <w:pPr>
        <w:spacing w:after="120" w:before="0" w:line="360" w:lineRule="auto"/>
        <w:jc w:val="both"/>
      </w:pPr>
      <w:r>
        <w:rPr>
          <w:rFonts w:ascii="Times New Roman" w:hAnsi="Times New Roman"/>
          <w:b w:val="0"/>
          <w:i w:val="0"/>
          <w:color w:val="000000"/>
          <w:sz w:val="24"/>
        </w:rPr>
        <w:t>In our discrete simulation engine, daily and intraday candlestick intervals are generated by computing step-wise price increments:</w:t>
      </w:r>
    </w:p>
    <w:p>
      <w:pPr>
        <w:spacing w:before="80" w:after="120" w:line="276" w:lineRule="auto"/>
        <w:ind w:left="576" w:right="288"/>
        <w:jc w:val="left"/>
        <w:pBdr>
          <w:left w:val="single" w:sz="12" w:space="4" w:color="059669"/>
        </w:pBdr>
      </w:pPr>
      <w:r>
        <w:rPr>
          <w:rFonts w:ascii="Courier New" w:hAnsi="Courier New"/>
          <w:color w:val="1E293B"/>
          <w:sz w:val="19"/>
        </w:rPr>
        <w:t>ΔS = S * (μ * Δt + σ * ε * sqrt(Δt))</w:t>
        <w:br/>
        <w:br/>
        <w:t>Where ε is a standard normally distributed random variable ~ N(0, 1).</w:t>
      </w:r>
    </w:p>
    <w:p>
      <w:pPr>
        <w:spacing w:after="120" w:before="0" w:line="360" w:lineRule="auto"/>
        <w:jc w:val="both"/>
      </w:pPr>
      <w:r>
        <w:rPr>
          <w:rFonts w:ascii="Times New Roman" w:hAnsi="Times New Roman"/>
          <w:b w:val="0"/>
          <w:i w:val="0"/>
          <w:color w:val="000000"/>
          <w:sz w:val="24"/>
        </w:rPr>
        <w:t>From the resulting price path, the Open, High, Low, and Close (OHLC) values are derived to construct realistic candlestick bodies and shadows, ensuring that technical indicators (such as 20-day Simple Moving Averages) behave authentically.</w:t>
      </w:r>
    </w:p>
    <w:p>
      <w:pPr>
        <w:keepNext/>
        <w:spacing w:before="240" w:after="120"/>
      </w:pPr>
      <w:r>
        <w:rPr>
          <w:rFonts w:ascii="Times New Roman" w:hAnsi="Times New Roman"/>
          <w:b/>
          <w:color w:val="1E293B"/>
          <w:sz w:val="26"/>
        </w:rPr>
        <w:t>3.6 Secure API Gateway &amp; CORS Policies</w:t>
      </w:r>
    </w:p>
    <w:p>
      <w:pPr>
        <w:spacing w:after="120" w:before="0" w:line="360" w:lineRule="auto"/>
        <w:jc w:val="both"/>
      </w:pPr>
      <w:r>
        <w:rPr>
          <w:rFonts w:ascii="Times New Roman" w:hAnsi="Times New Roman"/>
          <w:b w:val="0"/>
          <w:i w:val="0"/>
          <w:color w:val="000000"/>
          <w:sz w:val="24"/>
        </w:rPr>
        <w:t>The Node.js Express server acts as an authenticating reverse proxy. Outgoing requests to `https://finnhub.io/api/v1/quote` append `token=process.env.FINNHUB_API_KEY` internally. The server implements a strict Cross-Origin Resource Sharing (CORS) security policy allowing requests exclusively from verified origins (`https://abhinaysingh7.github.io`, `http://localhost:5173`, and `http://127.0.0.1:5173`). All client requests lacking origin headers or originating from unapproved domains are rejected with HTTP 403 Forbidden.</w:t>
      </w:r>
    </w:p>
    <w:p>
      <w:pPr>
        <w:keepNext/>
        <w:spacing w:before="240" w:after="120"/>
      </w:pPr>
      <w:r>
        <w:rPr>
          <w:rFonts w:ascii="Times New Roman" w:hAnsi="Times New Roman"/>
          <w:b/>
          <w:color w:val="1E293B"/>
          <w:sz w:val="26"/>
        </w:rPr>
        <w:t>3.7 Virtual Portfolio Accounting &amp; Transaction Integrity</w:t>
      </w:r>
    </w:p>
    <w:p>
      <w:pPr>
        <w:spacing w:after="120" w:before="0" w:line="360" w:lineRule="auto"/>
        <w:jc w:val="both"/>
      </w:pPr>
      <w:r>
        <w:rPr>
          <w:rFonts w:ascii="Times New Roman" w:hAnsi="Times New Roman"/>
          <w:b w:val="0"/>
          <w:i w:val="0"/>
          <w:color w:val="000000"/>
          <w:sz w:val="24"/>
        </w:rPr>
        <w:t>When a user executes a Buy order, TradePulse validates whether available cash balance `C` satisfies `C &gt;= Quantity * Price`. Upon confirmation, the position's weighted average cost basis is recalculated according to:</w:t>
      </w:r>
    </w:p>
    <w:p>
      <w:pPr>
        <w:spacing w:before="80" w:after="120" w:line="276" w:lineRule="auto"/>
        <w:ind w:left="576" w:right="288"/>
        <w:jc w:val="left"/>
        <w:pBdr>
          <w:left w:val="single" w:sz="12" w:space="4" w:color="059669"/>
        </w:pBdr>
      </w:pPr>
      <w:r>
        <w:rPr>
          <w:rFonts w:ascii="Courier New" w:hAnsi="Courier New"/>
          <w:color w:val="1E293B"/>
          <w:sz w:val="19"/>
        </w:rPr>
        <w:t>New_Avg_Price = (Existing_Shares * Existing_Avg + Buy_Qty * Buy_Price) / (Existing_Shares + Buy_Qty)</w:t>
      </w:r>
    </w:p>
    <w:p>
      <w:pPr>
        <w:spacing w:after="120" w:before="0" w:line="360" w:lineRule="auto"/>
        <w:jc w:val="both"/>
      </w:pPr>
      <w:r>
        <w:rPr>
          <w:rFonts w:ascii="Times New Roman" w:hAnsi="Times New Roman"/>
          <w:b w:val="0"/>
          <w:i w:val="0"/>
          <w:color w:val="000000"/>
          <w:sz w:val="24"/>
        </w:rPr>
        <w:t>When a Sell order is submitted, the system verifies `Held_Quantity &gt;= Sell_Quantity`. Cash proceeds (`Sell_Qty * Current_Price`) are credited to virtual cash, the position quantity is decremented, and the holding is automatically pruned if the resulting quantity reaches zero.</w:t>
      </w:r>
    </w:p>
    <w:p>
      <w:r>
        <w:br w:type="page"/>
      </w:r>
    </w:p>
    <w:p>
      <w:pPr>
        <w:keepNext/>
        <w:spacing w:before="320" w:after="160"/>
      </w:pPr>
      <w:r>
        <w:rPr>
          <w:rFonts w:ascii="Times New Roman" w:hAnsi="Times New Roman"/>
          <w:b/>
          <w:color w:val="0F172A"/>
          <w:sz w:val="30"/>
        </w:rPr>
        <w:t>Chapter 4. Implementation</w:t>
      </w:r>
    </w:p>
    <w:p>
      <w:pPr>
        <w:keepNext/>
        <w:spacing w:before="240" w:after="120"/>
      </w:pPr>
      <w:r>
        <w:rPr>
          <w:rFonts w:ascii="Times New Roman" w:hAnsi="Times New Roman"/>
          <w:b/>
          <w:color w:val="1E293B"/>
          <w:sz w:val="26"/>
        </w:rPr>
        <w:t>4.1 Introduction to Implementation Environment</w:t>
      </w:r>
    </w:p>
    <w:p>
      <w:pPr>
        <w:spacing w:after="120" w:before="0" w:line="360" w:lineRule="auto"/>
        <w:jc w:val="both"/>
      </w:pPr>
      <w:r>
        <w:rPr>
          <w:rFonts w:ascii="Times New Roman" w:hAnsi="Times New Roman"/>
          <w:b w:val="0"/>
          <w:i w:val="0"/>
          <w:color w:val="000000"/>
          <w:sz w:val="24"/>
        </w:rPr>
        <w:t>The implementation of TradePulse was executed using modern full-stack JavaScript technologies, leveraging React 18 for declarative UI composition, Vite 5 as the next-generation bundler, Chart.js 4 for hardware-accelerated charting, and Node.js with Express 5 for the backend gateway. The codebase adheres strictly to ECMAScript 2022+ standards, modular component design, and zero extraneous dependencies.</w:t>
      </w:r>
    </w:p>
    <w:p>
      <w:pPr>
        <w:keepNext/>
        <w:spacing w:before="240" w:after="120"/>
      </w:pPr>
      <w:r>
        <w:rPr>
          <w:rFonts w:ascii="Times New Roman" w:hAnsi="Times New Roman"/>
          <w:b/>
          <w:color w:val="1E293B"/>
          <w:sz w:val="26"/>
        </w:rPr>
        <w:t>4.2 Implementation Strategy</w:t>
      </w:r>
    </w:p>
    <w:p>
      <w:pPr>
        <w:keepNext/>
        <w:spacing w:before="160" w:after="80"/>
      </w:pPr>
      <w:r>
        <w:rPr>
          <w:rFonts w:ascii="Times New Roman" w:hAnsi="Times New Roman"/>
          <w:b/>
          <w:color w:val="334155"/>
          <w:sz w:val="24"/>
        </w:rPr>
        <w:t>4.2.1 Algorithmic Candlestick Generation</w:t>
      </w:r>
    </w:p>
    <w:p>
      <w:pPr>
        <w:spacing w:after="120" w:before="0" w:line="360" w:lineRule="auto"/>
        <w:jc w:val="both"/>
      </w:pPr>
      <w:r>
        <w:rPr>
          <w:rFonts w:ascii="Times New Roman" w:hAnsi="Times New Roman"/>
          <w:b w:val="0"/>
          <w:i w:val="0"/>
          <w:color w:val="000000"/>
          <w:sz w:val="24"/>
        </w:rPr>
        <w:t>Algorithm 4.1 describes the procedural generation of historical candlestick datasets for any specified symbol and timeframe when operating in autonomous simulation mode:</w:t>
      </w:r>
    </w:p>
    <w:p>
      <w:pPr>
        <w:spacing w:before="160" w:after="80"/>
        <w:jc w:val="center"/>
      </w:pPr>
      <w:r>
        <w:drawing>
          <wp:inline xmlns:a="http://schemas.openxmlformats.org/drawingml/2006/main" xmlns:pic="http://schemas.openxmlformats.org/drawingml/2006/picture">
            <wp:extent cx="5029200" cy="3073400"/>
            <wp:docPr id="6" name="Picture 6"/>
            <wp:cNvGraphicFramePr>
              <a:graphicFrameLocks noChangeAspect="1"/>
            </wp:cNvGraphicFramePr>
            <a:graphic>
              <a:graphicData uri="http://schemas.openxmlformats.org/drawingml/2006/picture">
                <pic:pic>
                  <pic:nvPicPr>
                    <pic:cNvPr id="0" name="fig_gbm_flowchart.png"/>
                    <pic:cNvPicPr/>
                  </pic:nvPicPr>
                  <pic:blipFill>
                    <a:blip r:embed="rId14"/>
                    <a:stretch>
                      <a:fillRect/>
                    </a:stretch>
                  </pic:blipFill>
                  <pic:spPr>
                    <a:xfrm>
                      <a:off x="0" y="0"/>
                      <a:ext cx="5029200" cy="3073400"/>
                    </a:xfrm>
                    <a:prstGeom prst="rect"/>
                  </pic:spPr>
                </pic:pic>
              </a:graphicData>
            </a:graphic>
          </wp:inline>
        </w:drawing>
      </w:r>
    </w:p>
    <w:p>
      <w:pPr>
        <w:spacing w:after="240"/>
        <w:jc w:val="center"/>
      </w:pPr>
      <w:r>
        <w:rPr>
          <w:rFonts w:ascii="Times New Roman" w:hAnsi="Times New Roman"/>
          <w:b/>
          <w:i/>
          <w:color w:val="475569"/>
          <w:sz w:val="20"/>
        </w:rPr>
        <w:t>Figure 4.1: Geometric Brownian Motion Candlestick Generation Flowchart</w:t>
      </w:r>
    </w:p>
    <w:p>
      <w:pPr>
        <w:spacing w:before="80" w:after="120" w:line="276" w:lineRule="auto"/>
        <w:ind w:left="576" w:right="288"/>
        <w:jc w:val="left"/>
        <w:pBdr>
          <w:left w:val="single" w:sz="12" w:space="4" w:color="059669"/>
        </w:pBdr>
      </w:pPr>
      <w:r>
        <w:rPr>
          <w:rFonts w:ascii="Courier New" w:hAnsi="Courier New"/>
          <w:color w:val="1E293B"/>
          <w:sz w:val="19"/>
        </w:rPr>
        <w:t>Algorithm 4.1: Stochastic Candlestick Series Generation</w:t>
        <w:br/>
        <w:t>Input: Symbol, Resolution ('D','W','M'), Timeframe Window (from, to), BasePrice P0</w:t>
        <w:br/>
        <w:t>Output: Array of Candle Objects { timestamp, open, high, low, close, volume }</w:t>
        <w:br/>
        <w:br/>
        <w:t>1. Determine total intervals N based on resolution and window:</w:t>
        <w:br/>
        <w:t xml:space="preserve">   N = floor((to - from) / interval_seconds)</w:t>
        <w:br/>
        <w:t>2. Initialize current_price = P0</w:t>
        <w:br/>
        <w:t>3. Initialize empty candle_array</w:t>
        <w:br/>
        <w:t>4. For step i = 0 to N-1:</w:t>
        <w:br/>
        <w:t xml:space="preserve">     a. Generate gaussian random variables e1, e2 ~ Normal(0, 1)</w:t>
        <w:br/>
        <w:t xml:space="preserve">     b. Compute percentage drift: pct_change = (e1 * volatility) + drift</w:t>
        <w:br/>
        <w:t xml:space="preserve">     c. candle_open = current_price</w:t>
        <w:br/>
        <w:t xml:space="preserve">     d. candle_close = current_price * (1 + pct_change)</w:t>
        <w:br/>
        <w:t xml:space="preserve">     e. max_oc = max(candle_open, candle_close)</w:t>
        <w:br/>
        <w:t xml:space="preserve">     f. min_oc = min(candle_open, candle_close)</w:t>
        <w:br/>
        <w:t xml:space="preserve">     g. candle_high = max_oc + abs(e2 * spread * current_price)</w:t>
        <w:br/>
        <w:t xml:space="preserve">     h. candle_low  = max(0.01, min_oc - abs(e2 * spread * current_price))</w:t>
        <w:br/>
        <w:t xml:space="preserve">     i. candle_volume = baseline_vol * (0.6 + 0.8 * random())</w:t>
        <w:br/>
        <w:t xml:space="preserve">     j. Append { timestamp: from + i*interval, open, high, low, close, volume }</w:t>
        <w:br/>
        <w:t xml:space="preserve">     k. current_price = candle_close</w:t>
        <w:br/>
        <w:t>5. Return candle_array</w:t>
      </w:r>
    </w:p>
    <w:p>
      <w:pPr>
        <w:keepNext/>
        <w:spacing w:before="160" w:after="80"/>
      </w:pPr>
      <w:r>
        <w:rPr>
          <w:rFonts w:ascii="Times New Roman" w:hAnsi="Times New Roman"/>
          <w:b/>
          <w:color w:val="334155"/>
          <w:sz w:val="24"/>
        </w:rPr>
        <w:t>4.2.2 Virtual Trading Execution Strategy</w:t>
      </w:r>
    </w:p>
    <w:p>
      <w:pPr>
        <w:spacing w:after="120" w:before="0" w:line="360" w:lineRule="auto"/>
        <w:jc w:val="both"/>
      </w:pPr>
      <w:r>
        <w:rPr>
          <w:rFonts w:ascii="Times New Roman" w:hAnsi="Times New Roman"/>
          <w:b w:val="0"/>
          <w:i w:val="0"/>
          <w:color w:val="000000"/>
          <w:sz w:val="24"/>
        </w:rPr>
        <w:t>The virtual paper trading logic ensures zero negative cash balances and accurate cost basis tracking. Figure 4.2 illustrates the order lifecycle:</w:t>
      </w:r>
    </w:p>
    <w:p>
      <w:pPr>
        <w:spacing w:before="160" w:after="80"/>
        <w:jc w:val="center"/>
      </w:pPr>
      <w:r>
        <w:drawing>
          <wp:inline xmlns:a="http://schemas.openxmlformats.org/drawingml/2006/main" xmlns:pic="http://schemas.openxmlformats.org/drawingml/2006/picture">
            <wp:extent cx="5029200" cy="3073400"/>
            <wp:docPr id="7" name="Picture 7"/>
            <wp:cNvGraphicFramePr>
              <a:graphicFrameLocks noChangeAspect="1"/>
            </wp:cNvGraphicFramePr>
            <a:graphic>
              <a:graphicData uri="http://schemas.openxmlformats.org/drawingml/2006/picture">
                <pic:pic>
                  <pic:nvPicPr>
                    <pic:cNvPr id="0" name="fig_portfolio_flowchart.png"/>
                    <pic:cNvPicPr/>
                  </pic:nvPicPr>
                  <pic:blipFill>
                    <a:blip r:embed="rId15"/>
                    <a:stretch>
                      <a:fillRect/>
                    </a:stretch>
                  </pic:blipFill>
                  <pic:spPr>
                    <a:xfrm>
                      <a:off x="0" y="0"/>
                      <a:ext cx="5029200" cy="3073400"/>
                    </a:xfrm>
                    <a:prstGeom prst="rect"/>
                  </pic:spPr>
                </pic:pic>
              </a:graphicData>
            </a:graphic>
          </wp:inline>
        </w:drawing>
      </w:r>
    </w:p>
    <w:p>
      <w:pPr>
        <w:spacing w:after="240"/>
        <w:jc w:val="center"/>
      </w:pPr>
      <w:r>
        <w:rPr>
          <w:rFonts w:ascii="Times New Roman" w:hAnsi="Times New Roman"/>
          <w:b/>
          <w:i/>
          <w:color w:val="475569"/>
          <w:sz w:val="20"/>
        </w:rPr>
        <w:t>Figure 4.2: Virtual Portfolio Order Execution and Accounting Flowchart</w:t>
      </w:r>
    </w:p>
    <w:p>
      <w:pPr>
        <w:spacing w:before="80" w:after="120" w:line="276" w:lineRule="auto"/>
        <w:ind w:left="576" w:right="288"/>
        <w:jc w:val="left"/>
        <w:pBdr>
          <w:left w:val="single" w:sz="12" w:space="4" w:color="059669"/>
        </w:pBdr>
      </w:pPr>
      <w:r>
        <w:rPr>
          <w:rFonts w:ascii="Courier New" w:hAnsi="Courier New"/>
          <w:color w:val="1E293B"/>
          <w:sz w:val="19"/>
        </w:rPr>
        <w:t>Algorithm 4.2: Order Execution and Cash Accounting</w:t>
        <w:br/>
        <w:t>Input: OrderType ('buy', 'sell'), Symbol, Quantity Q, MarketPrice P</w:t>
        <w:br/>
        <w:t>State: VirtualCash C, Portfolio Holdings H[]</w:t>
        <w:br/>
        <w:br/>
        <w:t>1. TotalOrderCost = Q * P</w:t>
        <w:br/>
        <w:t>2. If OrderType == 'buy':</w:t>
        <w:br/>
        <w:t xml:space="preserve">     a. If C &lt; TotalOrderCost:</w:t>
        <w:br/>
        <w:t xml:space="preserve">          Reject order with error: "Insufficient virtual cash balance"</w:t>
        <w:br/>
        <w:t xml:space="preserve">     b. Deduct cash: C = C - TotalOrderCost</w:t>
        <w:br/>
        <w:t xml:space="preserve">     c. Find existing holding item in H where item.symbol == Symbol</w:t>
        <w:br/>
        <w:t xml:space="preserve">     d. If item exists:</w:t>
        <w:br/>
        <w:t xml:space="preserve">          item.avgPrice = ((item.qty * item.avgPrice) + TotalOrderCost) / (item.qty + Q)</w:t>
        <w:br/>
        <w:t xml:space="preserve">          item.qty = item.qty + Q</w:t>
        <w:br/>
        <w:t xml:space="preserve">        Else:</w:t>
        <w:br/>
        <w:t xml:space="preserve">          Append new holding { symbol: Symbol, qty: Q, avgPrice: P } to H</w:t>
        <w:br/>
        <w:t>3. Else if OrderType == 'sell':</w:t>
        <w:br/>
        <w:t xml:space="preserve">     a. Find holding item in H where item.symbol == Symbol</w:t>
        <w:br/>
        <w:t xml:space="preserve">     b. If item does not exist or item.qty &lt; Q:</w:t>
        <w:br/>
        <w:t xml:space="preserve">          Reject order with error: "Insufficient shares to sell"</w:t>
        <w:br/>
        <w:t xml:space="preserve">     c. Credit cash: C = C + TotalOrderCost</w:t>
        <w:br/>
        <w:t xml:space="preserve">     d. item.qty = item.qty - Q</w:t>
        <w:br/>
        <w:t xml:space="preserve">     e. If item.qty == 0:</w:t>
        <w:br/>
        <w:t xml:space="preserve">          Remove item from H</w:t>
        <w:br/>
        <w:t>4. Persist C and H to localStorage</w:t>
        <w:br/>
        <w:t>5. Dispatch confirmation notification toast</w:t>
      </w:r>
    </w:p>
    <w:p>
      <w:pPr>
        <w:keepNext/>
        <w:spacing w:before="160" w:after="80"/>
      </w:pPr>
      <w:r>
        <w:rPr>
          <w:rFonts w:ascii="Times New Roman" w:hAnsi="Times New Roman"/>
          <w:b/>
          <w:color w:val="334155"/>
          <w:sz w:val="24"/>
        </w:rPr>
        <w:t>4.2.3 Price Alert Evaluation Engine</w:t>
      </w:r>
    </w:p>
    <w:p>
      <w:pPr>
        <w:spacing w:after="120" w:before="0" w:line="360" w:lineRule="auto"/>
        <w:jc w:val="both"/>
      </w:pPr>
      <w:r>
        <w:rPr>
          <w:rFonts w:ascii="Times New Roman" w:hAnsi="Times New Roman"/>
          <w:b w:val="0"/>
          <w:i w:val="0"/>
          <w:color w:val="000000"/>
          <w:sz w:val="24"/>
        </w:rPr>
        <w:t>The price alerting system monitors ticker price updates against registered upper and lower threshold criteria. Figure 4.3 details the state machine:</w:t>
      </w:r>
    </w:p>
    <w:p>
      <w:pPr>
        <w:spacing w:before="160" w:after="80"/>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_alert_engine.png"/>
                    <pic:cNvPicPr/>
                  </pic:nvPicPr>
                  <pic:blipFill>
                    <a:blip r:embed="rId16"/>
                    <a:stretch>
                      <a:fillRect/>
                    </a:stretch>
                  </pic:blipFill>
                  <pic:spPr>
                    <a:xfrm>
                      <a:off x="0" y="0"/>
                      <a:ext cx="5029200" cy="2514600"/>
                    </a:xfrm>
                    <a:prstGeom prst="rect"/>
                  </pic:spPr>
                </pic:pic>
              </a:graphicData>
            </a:graphic>
          </wp:inline>
        </w:drawing>
      </w:r>
    </w:p>
    <w:p>
      <w:pPr>
        <w:spacing w:after="240"/>
        <w:jc w:val="center"/>
      </w:pPr>
      <w:r>
        <w:rPr>
          <w:rFonts w:ascii="Times New Roman" w:hAnsi="Times New Roman"/>
          <w:b/>
          <w:i/>
          <w:color w:val="475569"/>
          <w:sz w:val="20"/>
        </w:rPr>
        <w:t>Figure 4.3: Real-Time Price Alert Engine State Machine</w:t>
      </w:r>
    </w:p>
    <w:p>
      <w:pPr>
        <w:keepNext/>
        <w:spacing w:before="240" w:after="120"/>
      </w:pPr>
      <w:r>
        <w:rPr>
          <w:rFonts w:ascii="Times New Roman" w:hAnsi="Times New Roman"/>
          <w:b/>
          <w:color w:val="1E293B"/>
          <w:sz w:val="26"/>
        </w:rPr>
        <w:t>4.3 Tools, Hardware, and Software Requirements</w:t>
      </w:r>
    </w:p>
    <w:p>
      <w:pPr>
        <w:keepNext/>
        <w:spacing w:before="160" w:after="80"/>
      </w:pPr>
      <w:r>
        <w:rPr>
          <w:rFonts w:ascii="Times New Roman" w:hAnsi="Times New Roman"/>
          <w:b/>
          <w:color w:val="334155"/>
          <w:sz w:val="24"/>
        </w:rPr>
        <w:t>4.3.1 Hardware Specifications</w:t>
      </w:r>
    </w:p>
    <w:p>
      <w:pPr>
        <w:spacing w:after="120" w:before="0" w:line="360" w:lineRule="auto"/>
        <w:jc w:val="both"/>
      </w:pPr>
      <w:r>
        <w:rPr>
          <w:rFonts w:ascii="Times New Roman" w:hAnsi="Times New Roman"/>
          <w:b w:val="0"/>
          <w:i w:val="0"/>
          <w:color w:val="000000"/>
          <w:sz w:val="24"/>
        </w:rPr>
        <w:t>• Development Hardware: Apple Silicon M-Series or Intel Core i5/i7 Processor (2.4 GHz+), 8 GB RAM minimum (16 GB recommended), 500 MB free storage.</w:t>
      </w:r>
    </w:p>
    <w:p>
      <w:pPr>
        <w:spacing w:after="120" w:before="0" w:line="360" w:lineRule="auto"/>
        <w:jc w:val="both"/>
      </w:pPr>
      <w:r>
        <w:rPr>
          <w:rFonts w:ascii="Times New Roman" w:hAnsi="Times New Roman"/>
          <w:b w:val="0"/>
          <w:i w:val="0"/>
          <w:color w:val="000000"/>
          <w:sz w:val="24"/>
        </w:rPr>
        <w:t>• Client Deployment Target: Any standard mobile, tablet, or desktop web browser with WebAssembly and HTML5 Canvas capabilities (Google Chrome 90+, Mozilla Firefox 88+, Safari 14+, Microsoft Edge 90+).</w:t>
      </w:r>
    </w:p>
    <w:p>
      <w:pPr>
        <w:keepNext/>
        <w:spacing w:before="160" w:after="80"/>
      </w:pPr>
      <w:r>
        <w:rPr>
          <w:rFonts w:ascii="Times New Roman" w:hAnsi="Times New Roman"/>
          <w:b/>
          <w:color w:val="334155"/>
          <w:sz w:val="24"/>
        </w:rPr>
        <w:t>4.3.2 Software Stack &amp; Versions</w:t>
      </w:r>
    </w:p>
    <w:p>
      <w:pPr>
        <w:spacing w:after="120" w:before="0" w:line="360" w:lineRule="auto"/>
        <w:jc w:val="both"/>
      </w:pPr>
      <w:r>
        <w:rPr>
          <w:rFonts w:ascii="Times New Roman" w:hAnsi="Times New Roman"/>
          <w:b w:val="0"/>
          <w:i w:val="0"/>
          <w:color w:val="000000"/>
          <w:sz w:val="24"/>
        </w:rPr>
        <w:t>• Frontend Runtime &amp; Framework: React 18.3.1, React-DOM 18.3.1, Vite 5.4.2.</w:t>
      </w:r>
    </w:p>
    <w:p>
      <w:pPr>
        <w:spacing w:after="120" w:before="0" w:line="360" w:lineRule="auto"/>
        <w:jc w:val="both"/>
      </w:pPr>
      <w:r>
        <w:rPr>
          <w:rFonts w:ascii="Times New Roman" w:hAnsi="Times New Roman"/>
          <w:b w:val="0"/>
          <w:i w:val="0"/>
          <w:color w:val="000000"/>
          <w:sz w:val="24"/>
        </w:rPr>
        <w:t>• Visualization &amp; UI Libraries: Chart.js 4.4.3, react-chartjs-2 5.2.0, Lucide React 0.395.0.</w:t>
      </w:r>
    </w:p>
    <w:p>
      <w:pPr>
        <w:spacing w:after="120" w:before="0" w:line="360" w:lineRule="auto"/>
        <w:jc w:val="both"/>
      </w:pPr>
      <w:r>
        <w:rPr>
          <w:rFonts w:ascii="Times New Roman" w:hAnsi="Times New Roman"/>
          <w:b w:val="0"/>
          <w:i w:val="0"/>
          <w:color w:val="000000"/>
          <w:sz w:val="24"/>
        </w:rPr>
        <w:t>• Backend Gateway: Node.js 20.x LTS, Express.js 5.0.0-beta, CORS 2.8.5, Dotenv 16.4.5.</w:t>
      </w:r>
    </w:p>
    <w:p>
      <w:pPr>
        <w:spacing w:after="120" w:before="0" w:line="360" w:lineRule="auto"/>
        <w:jc w:val="both"/>
      </w:pPr>
      <w:r>
        <w:rPr>
          <w:rFonts w:ascii="Times New Roman" w:hAnsi="Times New Roman"/>
          <w:b w:val="0"/>
          <w:i w:val="0"/>
          <w:color w:val="000000"/>
          <w:sz w:val="24"/>
        </w:rPr>
        <w:t>• Testing &amp; Tooling: Native Node.js Test Runner with `assert/strict`, ESLint.</w:t>
      </w:r>
    </w:p>
    <w:p>
      <w:pPr>
        <w:spacing w:after="120" w:before="0" w:line="360" w:lineRule="auto"/>
        <w:jc w:val="both"/>
      </w:pPr>
      <w:r>
        <w:rPr>
          <w:rFonts w:ascii="Times New Roman" w:hAnsi="Times New Roman"/>
          <w:b w:val="0"/>
          <w:i w:val="0"/>
          <w:color w:val="000000"/>
          <w:sz w:val="24"/>
        </w:rPr>
        <w:t>• Cloud Hosting: GitHub Pages (Global CDN static distribution) &amp; Render (Free Cloud Web Service).</w:t>
      </w:r>
    </w:p>
    <w:p>
      <w:pPr>
        <w:keepNext/>
        <w:spacing w:before="240" w:after="120"/>
      </w:pPr>
      <w:r>
        <w:rPr>
          <w:rFonts w:ascii="Times New Roman" w:hAnsi="Times New Roman"/>
          <w:b/>
          <w:color w:val="1E293B"/>
          <w:sz w:val="26"/>
        </w:rPr>
        <w:t>4.4 Expected Outcome &amp; Performance Metrics</w:t>
      </w:r>
    </w:p>
    <w:p>
      <w:pPr>
        <w:spacing w:after="120" w:before="0" w:line="360" w:lineRule="auto"/>
        <w:jc w:val="both"/>
      </w:pPr>
      <w:r>
        <w:rPr>
          <w:rFonts w:ascii="Times New Roman" w:hAnsi="Times New Roman"/>
          <w:b w:val="0"/>
          <w:i w:val="0"/>
          <w:color w:val="000000"/>
          <w:sz w:val="24"/>
        </w:rPr>
        <w:t>• Initial Bundle Compilation: Target sub-500 KB gzip-compressed JavaScript bundle size.</w:t>
      </w:r>
    </w:p>
    <w:p>
      <w:pPr>
        <w:spacing w:after="120" w:before="0" w:line="360" w:lineRule="auto"/>
        <w:jc w:val="both"/>
      </w:pPr>
      <w:r>
        <w:rPr>
          <w:rFonts w:ascii="Times New Roman" w:hAnsi="Times New Roman"/>
          <w:b w:val="0"/>
          <w:i w:val="0"/>
          <w:color w:val="000000"/>
          <w:sz w:val="24"/>
        </w:rPr>
        <w:t>• Chart Rendering Latency: Instantaneous canvas draw cycles under 16ms to maintain 60 FPS.</w:t>
      </w:r>
    </w:p>
    <w:p>
      <w:pPr>
        <w:spacing w:after="120" w:before="0" w:line="360" w:lineRule="auto"/>
        <w:jc w:val="both"/>
      </w:pPr>
      <w:r>
        <w:rPr>
          <w:rFonts w:ascii="Times New Roman" w:hAnsi="Times New Roman"/>
          <w:b w:val="0"/>
          <w:i w:val="0"/>
          <w:color w:val="000000"/>
          <w:sz w:val="24"/>
        </w:rPr>
        <w:t>• Test Pass Rate: 100% pass rate across all 13 core functional and backend security test cases.</w:t>
      </w:r>
    </w:p>
    <w:p>
      <w:pPr>
        <w:spacing w:after="120" w:before="0" w:line="360" w:lineRule="auto"/>
        <w:jc w:val="both"/>
      </w:pPr>
      <w:r>
        <w:rPr>
          <w:rFonts w:ascii="Times New Roman" w:hAnsi="Times New Roman"/>
          <w:b w:val="0"/>
          <w:i w:val="0"/>
          <w:color w:val="000000"/>
          <w:sz w:val="24"/>
        </w:rPr>
        <w:t>• Availability: 100% operational uptime via client-side autonomous simulation fallback.</w:t>
      </w:r>
    </w:p>
    <w:p>
      <w:r>
        <w:br w:type="page"/>
      </w:r>
    </w:p>
    <w:p>
      <w:pPr>
        <w:keepNext/>
        <w:spacing w:before="320" w:after="160"/>
      </w:pPr>
      <w:r>
        <w:rPr>
          <w:rFonts w:ascii="Times New Roman" w:hAnsi="Times New Roman"/>
          <w:b/>
          <w:color w:val="0F172A"/>
          <w:sz w:val="30"/>
        </w:rPr>
        <w:t>Chapter 5. Result &amp; Discussion</w:t>
      </w:r>
    </w:p>
    <w:p>
      <w:pPr>
        <w:keepNext/>
        <w:spacing w:before="240" w:after="120"/>
      </w:pPr>
      <w:r>
        <w:rPr>
          <w:rFonts w:ascii="Times New Roman" w:hAnsi="Times New Roman"/>
          <w:b/>
          <w:color w:val="1E293B"/>
          <w:sz w:val="26"/>
        </w:rPr>
        <w:t>5.1 Functional Verification of Dashboard Components</w:t>
      </w:r>
    </w:p>
    <w:p>
      <w:pPr>
        <w:spacing w:after="120" w:before="0" w:line="360" w:lineRule="auto"/>
        <w:jc w:val="both"/>
      </w:pPr>
      <w:r>
        <w:rPr>
          <w:rFonts w:ascii="Times New Roman" w:hAnsi="Times New Roman"/>
          <w:b w:val="0"/>
          <w:i w:val="0"/>
          <w:color w:val="000000"/>
          <w:sz w:val="24"/>
        </w:rPr>
        <w:t>The TradePulse platform was extensively tested across multiple desktop and mobile viewports. The primary dashboard seamlessly compiles macro index benchmarks (S&amp;P 500 at $5,864.67, Nifty 50 at ₹24,895.30), user portfolio net worth ($84,895.55 with +$1,008.05 today's P&amp;L), and real-time gainers and losers rankings without perceptible visual stutter.</w:t>
      </w:r>
    </w:p>
    <w:p>
      <w:pPr>
        <w:spacing w:before="160" w:after="80"/>
        <w:jc w:val="center"/>
      </w:pPr>
      <w:r>
        <w:drawing>
          <wp:inline xmlns:a="http://schemas.openxmlformats.org/drawingml/2006/main" xmlns:pic="http://schemas.openxmlformats.org/drawingml/2006/picture">
            <wp:extent cx="5029200" cy="3266033"/>
            <wp:docPr id="9" name="Picture 9"/>
            <wp:cNvGraphicFramePr>
              <a:graphicFrameLocks noChangeAspect="1"/>
            </wp:cNvGraphicFramePr>
            <a:graphic>
              <a:graphicData uri="http://schemas.openxmlformats.org/drawingml/2006/picture">
                <pic:pic>
                  <pic:nvPicPr>
                    <pic:cNvPr id="0" name="settings_modal_screenshot.png"/>
                    <pic:cNvPicPr/>
                  </pic:nvPicPr>
                  <pic:blipFill>
                    <a:blip r:embed="rId17"/>
                    <a:stretch>
                      <a:fillRect/>
                    </a:stretch>
                  </pic:blipFill>
                  <pic:spPr>
                    <a:xfrm>
                      <a:off x="0" y="0"/>
                      <a:ext cx="5029200" cy="3266033"/>
                    </a:xfrm>
                    <a:prstGeom prst="rect"/>
                  </pic:spPr>
                </pic:pic>
              </a:graphicData>
            </a:graphic>
          </wp:inline>
        </w:drawing>
      </w:r>
    </w:p>
    <w:p>
      <w:pPr>
        <w:spacing w:after="240"/>
        <w:jc w:val="center"/>
      </w:pPr>
      <w:r>
        <w:rPr>
          <w:rFonts w:ascii="Times New Roman" w:hAnsi="Times New Roman"/>
          <w:b/>
          <w:i/>
          <w:color w:val="475569"/>
          <w:sz w:val="20"/>
        </w:rPr>
        <w:t>Figure 5.1: TradePulse System &amp; API Settings Modal (Live Autonomous Mode)</w:t>
      </w:r>
    </w:p>
    <w:p>
      <w:pPr>
        <w:keepNext/>
        <w:spacing w:before="240" w:after="120"/>
      </w:pPr>
      <w:r>
        <w:rPr>
          <w:rFonts w:ascii="Times New Roman" w:hAnsi="Times New Roman"/>
          <w:b/>
          <w:color w:val="1E293B"/>
          <w:sz w:val="26"/>
        </w:rPr>
        <w:t>5.2 Real-Time Chart Rendering &amp; Multi-Timeframe Analysis</w:t>
      </w:r>
    </w:p>
    <w:p>
      <w:pPr>
        <w:spacing w:after="120" w:before="0" w:line="360" w:lineRule="auto"/>
        <w:jc w:val="both"/>
      </w:pPr>
      <w:r>
        <w:rPr>
          <w:rFonts w:ascii="Times New Roman" w:hAnsi="Times New Roman"/>
          <w:b w:val="0"/>
          <w:i w:val="0"/>
          <w:color w:val="000000"/>
          <w:sz w:val="24"/>
        </w:rPr>
        <w:t>Using Chart.js rasterized onto HTML5 Canvas, candlestick charts render within 8 to 14 milliseconds. The user can toggle effortlessly between 1-Day, 1-Week, 1-Month, and 1-Year historical aggregations. Interactive tooltips accurately display Date, Open, High, Low, Close, and Volume values dynamically as the user hovers over price bars.</w:t>
      </w:r>
    </w:p>
    <w:p>
      <w:pPr>
        <w:keepNext/>
        <w:spacing w:before="240" w:after="120"/>
      </w:pPr>
      <w:r>
        <w:rPr>
          <w:rFonts w:ascii="Times New Roman" w:hAnsi="Times New Roman"/>
          <w:b/>
          <w:color w:val="1E293B"/>
          <w:sz w:val="26"/>
        </w:rPr>
        <w:t>5.3 Automated Test Suite Execution Results</w:t>
      </w:r>
    </w:p>
    <w:p>
      <w:pPr>
        <w:spacing w:after="120" w:before="0" w:line="360" w:lineRule="auto"/>
        <w:jc w:val="both"/>
      </w:pPr>
      <w:r>
        <w:rPr>
          <w:rFonts w:ascii="Times New Roman" w:hAnsi="Times New Roman"/>
          <w:b w:val="0"/>
          <w:i w:val="0"/>
          <w:color w:val="000000"/>
          <w:sz w:val="24"/>
        </w:rPr>
        <w:t>To guarantee algorithmic correctness and backend security, automated test suites were authored using Node.js native assert modules. Running `npm test` executes both client logic and backend gateway validations, achieving 13 out of 13 successful passes as documented in Table 5.1:</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2250"/>
        <w:gridCol w:w="2250"/>
        <w:gridCol w:w="2250"/>
        <w:gridCol w:w="2250"/>
      </w:tblGrid>
      <w:tr>
        <w:tc>
          <w:tcPr>
            <w:tcW w:type="dxa" w:w="2250"/>
            <w:shd w:fill="E2E8F0"/>
            <w:tcMar>
              <w:top w:w="60" w:type="dxa"/>
              <w:bottom w:w="60" w:type="dxa"/>
              <w:left w:w="50" w:type="dxa"/>
              <w:right w:w="50" w:type="dxa"/>
            </w:tcMar>
          </w:tcPr>
          <w:p>
            <w:pPr>
              <w:jc w:val="center"/>
            </w:pPr>
            <w:r>
              <w:rPr>
                <w:rFonts w:ascii="Times New Roman" w:hAnsi="Times New Roman"/>
                <w:b/>
                <w:sz w:val="19"/>
              </w:rPr>
              <w:t>Test ID</w:t>
            </w:r>
          </w:p>
        </w:tc>
        <w:tc>
          <w:tcPr>
            <w:tcW w:type="dxa" w:w="2250"/>
            <w:shd w:fill="E2E8F0"/>
            <w:tcMar>
              <w:top w:w="60" w:type="dxa"/>
              <w:bottom w:w="60" w:type="dxa"/>
              <w:left w:w="50" w:type="dxa"/>
              <w:right w:w="50" w:type="dxa"/>
            </w:tcMar>
          </w:tcPr>
          <w:p>
            <w:pPr>
              <w:jc w:val="center"/>
            </w:pPr>
            <w:r>
              <w:rPr>
                <w:rFonts w:ascii="Times New Roman" w:hAnsi="Times New Roman"/>
                <w:b/>
                <w:sz w:val="19"/>
              </w:rPr>
              <w:t>Component / Test Scope</w:t>
            </w:r>
          </w:p>
        </w:tc>
        <w:tc>
          <w:tcPr>
            <w:tcW w:type="dxa" w:w="2250"/>
            <w:shd w:fill="E2E8F0"/>
            <w:tcMar>
              <w:top w:w="60" w:type="dxa"/>
              <w:bottom w:w="60" w:type="dxa"/>
              <w:left w:w="50" w:type="dxa"/>
              <w:right w:w="50" w:type="dxa"/>
            </w:tcMar>
          </w:tcPr>
          <w:p>
            <w:pPr>
              <w:jc w:val="center"/>
            </w:pPr>
            <w:r>
              <w:rPr>
                <w:rFonts w:ascii="Times New Roman" w:hAnsi="Times New Roman"/>
                <w:b/>
                <w:sz w:val="19"/>
              </w:rPr>
              <w:t>Condition Verified</w:t>
            </w:r>
          </w:p>
        </w:tc>
        <w:tc>
          <w:tcPr>
            <w:tcW w:type="dxa" w:w="2250"/>
            <w:shd w:fill="E2E8F0"/>
            <w:tcMar>
              <w:top w:w="60" w:type="dxa"/>
              <w:bottom w:w="60" w:type="dxa"/>
              <w:left w:w="50" w:type="dxa"/>
              <w:right w:w="50" w:type="dxa"/>
            </w:tcMar>
          </w:tcPr>
          <w:p>
            <w:pPr>
              <w:jc w:val="center"/>
            </w:pPr>
            <w:r>
              <w:rPr>
                <w:rFonts w:ascii="Times New Roman" w:hAnsi="Times New Roman"/>
                <w:b/>
                <w:sz w:val="19"/>
              </w:rPr>
              <w:t>Result</w:t>
            </w:r>
          </w:p>
        </w:tc>
      </w:tr>
      <w:tr>
        <w:tc>
          <w:tcPr>
            <w:tcW w:type="dxa" w:w="2250"/>
            <w:tcMar>
              <w:top w:w="40" w:type="dxa"/>
              <w:bottom w:w="40" w:type="dxa"/>
              <w:left w:w="50" w:type="dxa"/>
              <w:right w:w="50" w:type="dxa"/>
            </w:tcMar>
          </w:tcPr>
          <w:p>
            <w:pPr>
              <w:jc w:val="center"/>
            </w:pPr>
            <w:r>
              <w:rPr>
                <w:rFonts w:ascii="Times New Roman" w:hAnsi="Times New Roman"/>
                <w:sz w:val="17"/>
              </w:rPr>
              <w:t>TC-01</w:t>
            </w:r>
          </w:p>
        </w:tc>
        <w:tc>
          <w:tcPr>
            <w:tcW w:type="dxa" w:w="2250"/>
            <w:tcMar>
              <w:top w:w="40" w:type="dxa"/>
              <w:bottom w:w="40" w:type="dxa"/>
              <w:left w:w="50" w:type="dxa"/>
              <w:right w:w="50" w:type="dxa"/>
            </w:tcMar>
          </w:tcPr>
          <w:p>
            <w:r>
              <w:rPr>
                <w:rFonts w:ascii="Times New Roman" w:hAnsi="Times New Roman"/>
                <w:sz w:val="17"/>
              </w:rPr>
              <w:t>Data Structures</w:t>
            </w:r>
          </w:p>
        </w:tc>
        <w:tc>
          <w:tcPr>
            <w:tcW w:type="dxa" w:w="2250"/>
            <w:tcMar>
              <w:top w:w="40" w:type="dxa"/>
              <w:bottom w:w="40" w:type="dxa"/>
              <w:left w:w="50" w:type="dxa"/>
              <w:right w:w="50" w:type="dxa"/>
            </w:tcMar>
          </w:tcPr>
          <w:p>
            <w:r>
              <w:rPr>
                <w:rFonts w:ascii="Times New Roman" w:hAnsi="Times New Roman"/>
                <w:sz w:val="17"/>
              </w:rPr>
              <w:t>36-equity catalog array integrity and fields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TC-02</w:t>
            </w:r>
          </w:p>
        </w:tc>
        <w:tc>
          <w:tcPr>
            <w:tcW w:type="dxa" w:w="2250"/>
            <w:tcMar>
              <w:top w:w="40" w:type="dxa"/>
              <w:bottom w:w="40" w:type="dxa"/>
              <w:left w:w="50" w:type="dxa"/>
              <w:right w:w="50" w:type="dxa"/>
            </w:tcMar>
          </w:tcPr>
          <w:p>
            <w:r>
              <w:rPr>
                <w:rFonts w:ascii="Times New Roman" w:hAnsi="Times New Roman"/>
                <w:sz w:val="17"/>
              </w:rPr>
              <w:t>Timestamp Formatting</w:t>
            </w:r>
          </w:p>
        </w:tc>
        <w:tc>
          <w:tcPr>
            <w:tcW w:type="dxa" w:w="2250"/>
            <w:tcMar>
              <w:top w:w="40" w:type="dxa"/>
              <w:bottom w:w="40" w:type="dxa"/>
              <w:left w:w="50" w:type="dxa"/>
              <w:right w:w="50" w:type="dxa"/>
            </w:tcMar>
          </w:tcPr>
          <w:p>
            <w:r>
              <w:rPr>
                <w:rFonts w:ascii="Times New Roman" w:hAnsi="Times New Roman"/>
                <w:sz w:val="17"/>
              </w:rPr>
              <w:t>Accurate hour/min/sec localization string</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TC-03</w:t>
            </w:r>
          </w:p>
        </w:tc>
        <w:tc>
          <w:tcPr>
            <w:tcW w:type="dxa" w:w="2250"/>
            <w:tcMar>
              <w:top w:w="40" w:type="dxa"/>
              <w:bottom w:w="40" w:type="dxa"/>
              <w:left w:w="50" w:type="dxa"/>
              <w:right w:w="50" w:type="dxa"/>
            </w:tcMar>
          </w:tcPr>
          <w:p>
            <w:r>
              <w:rPr>
                <w:rFonts w:ascii="Times New Roman" w:hAnsi="Times New Roman"/>
                <w:sz w:val="17"/>
              </w:rPr>
              <w:t>Portfolio Math</w:t>
            </w:r>
          </w:p>
        </w:tc>
        <w:tc>
          <w:tcPr>
            <w:tcW w:type="dxa" w:w="2250"/>
            <w:tcMar>
              <w:top w:w="40" w:type="dxa"/>
              <w:bottom w:w="40" w:type="dxa"/>
              <w:left w:w="50" w:type="dxa"/>
              <w:right w:w="50" w:type="dxa"/>
            </w:tcMar>
          </w:tcPr>
          <w:p>
            <w:r>
              <w:rPr>
                <w:rFonts w:ascii="Times New Roman" w:hAnsi="Times New Roman"/>
                <w:sz w:val="17"/>
              </w:rPr>
              <w:t>Invested, current value, total P&amp;L, P&amp;L % calculations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TC-04</w:t>
            </w:r>
          </w:p>
        </w:tc>
        <w:tc>
          <w:tcPr>
            <w:tcW w:type="dxa" w:w="2250"/>
            <w:tcMar>
              <w:top w:w="40" w:type="dxa"/>
              <w:bottom w:w="40" w:type="dxa"/>
              <w:left w:w="50" w:type="dxa"/>
              <w:right w:w="50" w:type="dxa"/>
            </w:tcMar>
          </w:tcPr>
          <w:p>
            <w:r>
              <w:rPr>
                <w:rFonts w:ascii="Times New Roman" w:hAnsi="Times New Roman"/>
                <w:sz w:val="17"/>
              </w:rPr>
              <w:t>Alert Trigger Engine</w:t>
            </w:r>
          </w:p>
        </w:tc>
        <w:tc>
          <w:tcPr>
            <w:tcW w:type="dxa" w:w="2250"/>
            <w:tcMar>
              <w:top w:w="40" w:type="dxa"/>
              <w:bottom w:w="40" w:type="dxa"/>
              <w:left w:w="50" w:type="dxa"/>
              <w:right w:w="50" w:type="dxa"/>
            </w:tcMar>
          </w:tcPr>
          <w:p>
            <w:r>
              <w:rPr>
                <w:rFonts w:ascii="Times New Roman" w:hAnsi="Times New Roman"/>
                <w:sz w:val="17"/>
              </w:rPr>
              <w:t>Price threshold condition matching (Above/Below)</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TC-05</w:t>
            </w:r>
          </w:p>
        </w:tc>
        <w:tc>
          <w:tcPr>
            <w:tcW w:type="dxa" w:w="2250"/>
            <w:tcMar>
              <w:top w:w="40" w:type="dxa"/>
              <w:bottom w:w="40" w:type="dxa"/>
              <w:left w:w="50" w:type="dxa"/>
              <w:right w:w="50" w:type="dxa"/>
            </w:tcMar>
          </w:tcPr>
          <w:p>
            <w:r>
              <w:rPr>
                <w:rFonts w:ascii="Times New Roman" w:hAnsi="Times New Roman"/>
                <w:sz w:val="17"/>
              </w:rPr>
              <w:t>Alert Deduplication</w:t>
            </w:r>
          </w:p>
        </w:tc>
        <w:tc>
          <w:tcPr>
            <w:tcW w:type="dxa" w:w="2250"/>
            <w:tcMar>
              <w:top w:w="40" w:type="dxa"/>
              <w:bottom w:w="40" w:type="dxa"/>
              <w:left w:w="50" w:type="dxa"/>
              <w:right w:w="50" w:type="dxa"/>
            </w:tcMar>
          </w:tcPr>
          <w:p>
            <w:r>
              <w:rPr>
                <w:rFonts w:ascii="Times New Roman" w:hAnsi="Times New Roman"/>
                <w:sz w:val="17"/>
              </w:rPr>
              <w:t>Zero duplicate notifications on triggered alerts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TC-06</w:t>
            </w:r>
          </w:p>
        </w:tc>
        <w:tc>
          <w:tcPr>
            <w:tcW w:type="dxa" w:w="2250"/>
            <w:tcMar>
              <w:top w:w="40" w:type="dxa"/>
              <w:bottom w:w="40" w:type="dxa"/>
              <w:left w:w="50" w:type="dxa"/>
              <w:right w:w="50" w:type="dxa"/>
            </w:tcMar>
          </w:tcPr>
          <w:p>
            <w:r>
              <w:rPr>
                <w:rFonts w:ascii="Times New Roman" w:hAnsi="Times New Roman"/>
                <w:sz w:val="17"/>
              </w:rPr>
              <w:t>Watchlist Duplication</w:t>
            </w:r>
          </w:p>
        </w:tc>
        <w:tc>
          <w:tcPr>
            <w:tcW w:type="dxa" w:w="2250"/>
            <w:tcMar>
              <w:top w:w="40" w:type="dxa"/>
              <w:bottom w:w="40" w:type="dxa"/>
              <w:left w:w="50" w:type="dxa"/>
              <w:right w:w="50" w:type="dxa"/>
            </w:tcMar>
          </w:tcPr>
          <w:p>
            <w:r>
              <w:rPr>
                <w:rFonts w:ascii="Times New Roman" w:hAnsi="Times New Roman"/>
                <w:sz w:val="17"/>
              </w:rPr>
              <w:t>Prevention of duplicate symbols in watchlist array</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TC-07</w:t>
            </w:r>
          </w:p>
        </w:tc>
        <w:tc>
          <w:tcPr>
            <w:tcW w:type="dxa" w:w="2250"/>
            <w:tcMar>
              <w:top w:w="40" w:type="dxa"/>
              <w:bottom w:w="40" w:type="dxa"/>
              <w:left w:w="50" w:type="dxa"/>
              <w:right w:w="50" w:type="dxa"/>
            </w:tcMar>
          </w:tcPr>
          <w:p>
            <w:r>
              <w:rPr>
                <w:rFonts w:ascii="Times New Roman" w:hAnsi="Times New Roman"/>
                <w:sz w:val="17"/>
              </w:rPr>
              <w:t>Virtual Trading Rules</w:t>
            </w:r>
          </w:p>
        </w:tc>
        <w:tc>
          <w:tcPr>
            <w:tcW w:type="dxa" w:w="2250"/>
            <w:tcMar>
              <w:top w:w="40" w:type="dxa"/>
              <w:bottom w:w="40" w:type="dxa"/>
              <w:left w:w="50" w:type="dxa"/>
              <w:right w:w="50" w:type="dxa"/>
            </w:tcMar>
          </w:tcPr>
          <w:p>
            <w:r>
              <w:rPr>
                <w:rFonts w:ascii="Times New Roman" w:hAnsi="Times New Roman"/>
                <w:sz w:val="17"/>
              </w:rPr>
              <w:t>Cash sufficiency and short selling constraint checks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TC-08</w:t>
            </w:r>
          </w:p>
        </w:tc>
        <w:tc>
          <w:tcPr>
            <w:tcW w:type="dxa" w:w="2250"/>
            <w:tcMar>
              <w:top w:w="40" w:type="dxa"/>
              <w:bottom w:w="40" w:type="dxa"/>
              <w:left w:w="50" w:type="dxa"/>
              <w:right w:w="50" w:type="dxa"/>
            </w:tcMar>
          </w:tcPr>
          <w:p>
            <w:r>
              <w:rPr>
                <w:rFonts w:ascii="Times New Roman" w:hAnsi="Times New Roman"/>
                <w:sz w:val="17"/>
              </w:rPr>
              <w:t>Backend /api/health</w:t>
            </w:r>
          </w:p>
        </w:tc>
        <w:tc>
          <w:tcPr>
            <w:tcW w:type="dxa" w:w="2250"/>
            <w:tcMar>
              <w:top w:w="40" w:type="dxa"/>
              <w:bottom w:w="40" w:type="dxa"/>
              <w:left w:w="50" w:type="dxa"/>
              <w:right w:w="50" w:type="dxa"/>
            </w:tcMar>
          </w:tcPr>
          <w:p>
            <w:r>
              <w:rPr>
                <w:rFonts w:ascii="Times New Roman" w:hAnsi="Times New Roman"/>
                <w:sz w:val="17"/>
              </w:rPr>
              <w:t>HTTP 200 OK status, zero secrets exposed in JSON</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TC-09</w:t>
            </w:r>
          </w:p>
        </w:tc>
        <w:tc>
          <w:tcPr>
            <w:tcW w:type="dxa" w:w="2250"/>
            <w:tcMar>
              <w:top w:w="40" w:type="dxa"/>
              <w:bottom w:w="40" w:type="dxa"/>
              <w:left w:w="50" w:type="dxa"/>
              <w:right w:w="50" w:type="dxa"/>
            </w:tcMar>
          </w:tcPr>
          <w:p>
            <w:r>
              <w:rPr>
                <w:rFonts w:ascii="Times New Roman" w:hAnsi="Times New Roman"/>
                <w:sz w:val="17"/>
              </w:rPr>
              <w:t>Quote Validation</w:t>
            </w:r>
          </w:p>
        </w:tc>
        <w:tc>
          <w:tcPr>
            <w:tcW w:type="dxa" w:w="2250"/>
            <w:tcMar>
              <w:top w:w="40" w:type="dxa"/>
              <w:bottom w:w="40" w:type="dxa"/>
              <w:left w:w="50" w:type="dxa"/>
              <w:right w:w="50" w:type="dxa"/>
            </w:tcMar>
          </w:tcPr>
          <w:p>
            <w:r>
              <w:rPr>
                <w:rFonts w:ascii="Times New Roman" w:hAnsi="Times New Roman"/>
                <w:sz w:val="17"/>
              </w:rPr>
              <w:t>HTTP 400 Bad Request on missing symbol parameter</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TC-10</w:t>
            </w:r>
          </w:p>
        </w:tc>
        <w:tc>
          <w:tcPr>
            <w:tcW w:type="dxa" w:w="2250"/>
            <w:tcMar>
              <w:top w:w="40" w:type="dxa"/>
              <w:bottom w:w="40" w:type="dxa"/>
              <w:left w:w="50" w:type="dxa"/>
              <w:right w:w="50" w:type="dxa"/>
            </w:tcMar>
          </w:tcPr>
          <w:p>
            <w:r>
              <w:rPr>
                <w:rFonts w:ascii="Times New Roman" w:hAnsi="Times New Roman"/>
                <w:sz w:val="17"/>
              </w:rPr>
              <w:t>Malformed Symbol</w:t>
            </w:r>
          </w:p>
        </w:tc>
        <w:tc>
          <w:tcPr>
            <w:tcW w:type="dxa" w:w="2250"/>
            <w:tcMar>
              <w:top w:w="40" w:type="dxa"/>
              <w:bottom w:w="40" w:type="dxa"/>
              <w:left w:w="50" w:type="dxa"/>
              <w:right w:w="50" w:type="dxa"/>
            </w:tcMar>
          </w:tcPr>
          <w:p>
            <w:r>
              <w:rPr>
                <w:rFonts w:ascii="Times New Roman" w:hAnsi="Times New Roman"/>
                <w:sz w:val="17"/>
              </w:rPr>
              <w:t>HTTP 400 on invalid or oversized ticker characters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TC-11</w:t>
            </w:r>
          </w:p>
        </w:tc>
        <w:tc>
          <w:tcPr>
            <w:tcW w:type="dxa" w:w="2250"/>
            <w:tcMar>
              <w:top w:w="40" w:type="dxa"/>
              <w:bottom w:w="40" w:type="dxa"/>
              <w:left w:w="50" w:type="dxa"/>
              <w:right w:w="50" w:type="dxa"/>
            </w:tcMar>
          </w:tcPr>
          <w:p>
            <w:r>
              <w:rPr>
                <w:rFonts w:ascii="Times New Roman" w:hAnsi="Times New Roman"/>
                <w:sz w:val="17"/>
              </w:rPr>
              <w:t>Candles Validation</w:t>
            </w:r>
          </w:p>
        </w:tc>
        <w:tc>
          <w:tcPr>
            <w:tcW w:type="dxa" w:w="2250"/>
            <w:tcMar>
              <w:top w:w="40" w:type="dxa"/>
              <w:bottom w:w="40" w:type="dxa"/>
              <w:left w:w="50" w:type="dxa"/>
              <w:right w:w="50" w:type="dxa"/>
            </w:tcMar>
          </w:tcPr>
          <w:p>
            <w:r>
              <w:rPr>
                <w:rFonts w:ascii="Times New Roman" w:hAnsi="Times New Roman"/>
                <w:sz w:val="17"/>
              </w:rPr>
              <w:t>HTTP 400 on missing resolution or from/to bounds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TC-12</w:t>
            </w:r>
          </w:p>
        </w:tc>
        <w:tc>
          <w:tcPr>
            <w:tcW w:type="dxa" w:w="2250"/>
            <w:tcMar>
              <w:top w:w="40" w:type="dxa"/>
              <w:bottom w:w="40" w:type="dxa"/>
              <w:left w:w="50" w:type="dxa"/>
              <w:right w:w="50" w:type="dxa"/>
            </w:tcMar>
          </w:tcPr>
          <w:p>
            <w:r>
              <w:rPr>
                <w:rFonts w:ascii="Times New Roman" w:hAnsi="Times New Roman"/>
                <w:sz w:val="17"/>
              </w:rPr>
              <w:t>Route Not Found</w:t>
            </w:r>
          </w:p>
        </w:tc>
        <w:tc>
          <w:tcPr>
            <w:tcW w:type="dxa" w:w="2250"/>
            <w:tcMar>
              <w:top w:w="40" w:type="dxa"/>
              <w:bottom w:w="40" w:type="dxa"/>
              <w:left w:w="50" w:type="dxa"/>
              <w:right w:w="50" w:type="dxa"/>
            </w:tcMar>
          </w:tcPr>
          <w:p>
            <w:r>
              <w:rPr>
                <w:rFonts w:ascii="Times New Roman" w:hAnsi="Times New Roman"/>
                <w:sz w:val="17"/>
              </w:rPr>
              <w:t>HTTP 404 response on unknown API routing paths</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r>
        <w:tc>
          <w:tcPr>
            <w:tcW w:type="dxa" w:w="2250"/>
            <w:tcMar>
              <w:top w:w="40" w:type="dxa"/>
              <w:bottom w:w="40" w:type="dxa"/>
              <w:left w:w="50" w:type="dxa"/>
              <w:right w:w="50" w:type="dxa"/>
            </w:tcMar>
          </w:tcPr>
          <w:p>
            <w:pPr>
              <w:jc w:val="center"/>
            </w:pPr>
            <w:r>
              <w:rPr>
                <w:rFonts w:ascii="Times New Roman" w:hAnsi="Times New Roman"/>
                <w:sz w:val="17"/>
              </w:rPr>
              <w:t>TC-13</w:t>
            </w:r>
          </w:p>
        </w:tc>
        <w:tc>
          <w:tcPr>
            <w:tcW w:type="dxa" w:w="2250"/>
            <w:tcMar>
              <w:top w:w="40" w:type="dxa"/>
              <w:bottom w:w="40" w:type="dxa"/>
              <w:left w:w="50" w:type="dxa"/>
              <w:right w:w="50" w:type="dxa"/>
            </w:tcMar>
          </w:tcPr>
          <w:p>
            <w:r>
              <w:rPr>
                <w:rFonts w:ascii="Times New Roman" w:hAnsi="Times New Roman"/>
                <w:sz w:val="17"/>
              </w:rPr>
              <w:t>Unconfigured Key</w:t>
            </w:r>
          </w:p>
        </w:tc>
        <w:tc>
          <w:tcPr>
            <w:tcW w:type="dxa" w:w="2250"/>
            <w:tcMar>
              <w:top w:w="40" w:type="dxa"/>
              <w:bottom w:w="40" w:type="dxa"/>
              <w:left w:w="50" w:type="dxa"/>
              <w:right w:w="50" w:type="dxa"/>
            </w:tcMar>
          </w:tcPr>
          <w:p>
            <w:r>
              <w:rPr>
                <w:rFonts w:ascii="Times New Roman" w:hAnsi="Times New Roman"/>
                <w:sz w:val="17"/>
              </w:rPr>
              <w:t>HTTP 503 graceful service handling when key absent</w:t>
            </w:r>
          </w:p>
        </w:tc>
        <w:tc>
          <w:tcPr>
            <w:tcW w:type="dxa" w:w="2250"/>
            <w:tcMar>
              <w:top w:w="40" w:type="dxa"/>
              <w:bottom w:w="40" w:type="dxa"/>
              <w:left w:w="50" w:type="dxa"/>
              <w:right w:w="50" w:type="dxa"/>
            </w:tcMar>
            <w:shd w:fill="DCFCE7"/>
          </w:tcPr>
          <w:p>
            <w:pPr>
              <w:jc w:val="center"/>
            </w:pPr>
            <w:r>
              <w:rPr>
                <w:rFonts w:ascii="Times New Roman" w:hAnsi="Times New Roman"/>
                <w:b/>
                <w:color w:val="166534"/>
                <w:sz w:val="17"/>
              </w:rPr>
              <w:t>PASSED</w:t>
            </w:r>
          </w:p>
        </w:tc>
      </w:tr>
    </w:tbl>
    <w:p>
      <w:pPr>
        <w:spacing w:after="120" w:before="0" w:line="360" w:lineRule="auto"/>
        <w:jc w:val="center"/>
      </w:pPr>
      <w:r>
        <w:rPr>
          <w:rFonts w:ascii="Times New Roman" w:hAnsi="Times New Roman"/>
          <w:b w:val="0"/>
          <w:i/>
          <w:color w:val="000000"/>
          <w:sz w:val="20"/>
        </w:rPr>
        <w:br/>
        <w:t>Table 5.1: Automated Verification Test Suite Execution Results (13/13 Pass)</w:t>
      </w:r>
    </w:p>
    <w:p>
      <w:pPr>
        <w:keepNext/>
        <w:spacing w:before="240" w:after="120"/>
      </w:pPr>
      <w:r>
        <w:rPr>
          <w:rFonts w:ascii="Times New Roman" w:hAnsi="Times New Roman"/>
          <w:b/>
          <w:color w:val="1E293B"/>
          <w:sz w:val="26"/>
        </w:rPr>
        <w:t>5.4 Cloud Deployment and Latency Analysis</w:t>
      </w:r>
    </w:p>
    <w:p>
      <w:pPr>
        <w:spacing w:after="120" w:before="0" w:line="360" w:lineRule="auto"/>
        <w:jc w:val="both"/>
      </w:pPr>
      <w:r>
        <w:rPr>
          <w:rFonts w:ascii="Times New Roman" w:hAnsi="Times New Roman"/>
          <w:b w:val="0"/>
          <w:i w:val="0"/>
          <w:color w:val="000000"/>
          <w:sz w:val="24"/>
        </w:rPr>
        <w:t>The production bundle compilation (`npm run build`) generates an ultra-compact distribution:</w:t>
      </w:r>
    </w:p>
    <w:p>
      <w:pPr>
        <w:spacing w:after="120" w:before="0" w:line="360" w:lineRule="auto"/>
        <w:jc w:val="both"/>
      </w:pPr>
      <w:r>
        <w:rPr>
          <w:rFonts w:ascii="Times New Roman" w:hAnsi="Times New Roman"/>
          <w:b w:val="0"/>
          <w:i w:val="0"/>
          <w:color w:val="000000"/>
          <w:sz w:val="24"/>
        </w:rPr>
        <w:t>• `dist/index.html`: 1.04 KB (0.61 KB gzip)</w:t>
      </w:r>
    </w:p>
    <w:p>
      <w:pPr>
        <w:spacing w:after="120" w:before="0" w:line="360" w:lineRule="auto"/>
        <w:jc w:val="both"/>
      </w:pPr>
      <w:r>
        <w:rPr>
          <w:rFonts w:ascii="Times New Roman" w:hAnsi="Times New Roman"/>
          <w:b w:val="0"/>
          <w:i w:val="0"/>
          <w:color w:val="000000"/>
          <w:sz w:val="24"/>
        </w:rPr>
        <w:t>• `dist/assets/index-BH0AbhHH.css`: 18.84 KB (4.16 KB gzip)</w:t>
      </w:r>
    </w:p>
    <w:p>
      <w:pPr>
        <w:spacing w:after="120" w:before="0" w:line="360" w:lineRule="auto"/>
        <w:jc w:val="both"/>
      </w:pPr>
      <w:r>
        <w:rPr>
          <w:rFonts w:ascii="Times New Roman" w:hAnsi="Times New Roman"/>
          <w:b w:val="0"/>
          <w:i w:val="0"/>
          <w:color w:val="000000"/>
          <w:sz w:val="24"/>
        </w:rPr>
        <w:t>• `dist/assets/index-C4_TsAlo.js`: 483.63 KB (152.68 KB gzip)</w:t>
      </w:r>
    </w:p>
    <w:p>
      <w:pPr>
        <w:spacing w:after="120" w:before="0" w:line="360" w:lineRule="auto"/>
        <w:jc w:val="both"/>
      </w:pPr>
      <w:r>
        <w:rPr>
          <w:rFonts w:ascii="Times New Roman" w:hAnsi="Times New Roman"/>
          <w:b w:val="0"/>
          <w:i w:val="0"/>
          <w:color w:val="000000"/>
          <w:sz w:val="24"/>
        </w:rPr>
        <w:t>• Total Compile Time: 142 milliseconds.</w:t>
      </w:r>
    </w:p>
    <w:p>
      <w:pPr>
        <w:spacing w:after="120" w:before="0" w:line="360" w:lineRule="auto"/>
        <w:jc w:val="both"/>
      </w:pPr>
      <w:r>
        <w:rPr>
          <w:rFonts w:ascii="Times New Roman" w:hAnsi="Times New Roman"/>
          <w:b w:val="0"/>
          <w:i w:val="0"/>
          <w:color w:val="000000"/>
          <w:sz w:val="24"/>
        </w:rPr>
        <w:t>When deployed on GitHub Pages Global CDN, the initial page load time measured via Chrome DevTools averaged 210ms across 10 trials. Express backend health checks on Render averaged 42ms round-trip latency when warm, transitioning smoothly to client-side autonomous simulation when the server entered power-saving sleep cycles.</w:t>
      </w:r>
    </w:p>
    <w:p>
      <w:pPr>
        <w:keepNext/>
        <w:spacing w:before="240" w:after="120"/>
      </w:pPr>
      <w:r>
        <w:rPr>
          <w:rFonts w:ascii="Times New Roman" w:hAnsi="Times New Roman"/>
          <w:b/>
          <w:color w:val="1E293B"/>
          <w:sz w:val="26"/>
        </w:rPr>
        <w:t>5.5 User Experience, Theme Switching and UI Polish</w:t>
      </w:r>
    </w:p>
    <w:p>
      <w:pPr>
        <w:spacing w:after="120" w:before="0" w:line="360" w:lineRule="auto"/>
        <w:jc w:val="both"/>
      </w:pPr>
      <w:r>
        <w:rPr>
          <w:rFonts w:ascii="Times New Roman" w:hAnsi="Times New Roman"/>
          <w:b w:val="0"/>
          <w:i w:val="0"/>
          <w:color w:val="000000"/>
          <w:sz w:val="24"/>
        </w:rPr>
        <w:t>The dashboard features a restrained Dark Charcoal theme (`#0b0f19`) paired with a refined Emerald Green accent (`#059669`). The user can seamlessly toggle to a crisp Light Theme via the topbar button. To prevent visual clipping identified during user testing, the sidebar width was expanded to 256px, ensuring that long user profile names (e.g., 'Abhinay Singh') and client identifiers ('TradePulse User') render cleanly without ellipsis truncation.</w:t>
      </w:r>
    </w:p>
    <w:p>
      <w:r>
        <w:br w:type="page"/>
      </w:r>
    </w:p>
    <w:p>
      <w:pPr>
        <w:keepNext/>
        <w:spacing w:before="320" w:after="160"/>
      </w:pPr>
      <w:r>
        <w:rPr>
          <w:rFonts w:ascii="Times New Roman" w:hAnsi="Times New Roman"/>
          <w:b/>
          <w:color w:val="0F172A"/>
          <w:sz w:val="30"/>
        </w:rPr>
        <w:t>Chapter 6. Conclusion and Future Scope</w:t>
      </w:r>
    </w:p>
    <w:p>
      <w:pPr>
        <w:keepNext/>
        <w:spacing w:before="240" w:after="120"/>
      </w:pPr>
      <w:r>
        <w:rPr>
          <w:rFonts w:ascii="Times New Roman" w:hAnsi="Times New Roman"/>
          <w:b/>
          <w:color w:val="1E293B"/>
          <w:sz w:val="26"/>
        </w:rPr>
        <w:t>6.1 Conclusion</w:t>
      </w:r>
    </w:p>
    <w:p>
      <w:pPr>
        <w:spacing w:after="120" w:before="0" w:line="360" w:lineRule="auto"/>
        <w:jc w:val="both"/>
      </w:pPr>
      <w:r>
        <w:rPr>
          <w:rFonts w:ascii="Times New Roman" w:hAnsi="Times New Roman"/>
          <w:b w:val="0"/>
          <w:i w:val="0"/>
          <w:color w:val="000000"/>
          <w:sz w:val="24"/>
        </w:rPr>
        <w:t>The TradePulse project successfully realized the design, implementation, and deployment of a modern, institutional-grade financial stock price dashboard and virtual portfolio management system. By synthesizing React 18, Vite 5, Chart.js, Node.js, and Express 5, the platform satisfies all initial engineering objectives. Key contributions established in this work include:</w:t>
      </w:r>
    </w:p>
    <w:p>
      <w:pPr>
        <w:spacing w:after="120" w:before="0" w:line="360" w:lineRule="auto"/>
        <w:jc w:val="both"/>
      </w:pPr>
      <w:r>
        <w:rPr>
          <w:rFonts w:ascii="Times New Roman" w:hAnsi="Times New Roman"/>
          <w:b w:val="0"/>
          <w:i w:val="0"/>
          <w:color w:val="000000"/>
          <w:sz w:val="24"/>
        </w:rPr>
        <w:t>1. Complete API Key Isolation: Enforcing zero secret exposure by proxying third-party Finnhub requests through an Express gateway governed by strict CORS origin policies.</w:t>
      </w:r>
    </w:p>
    <w:p>
      <w:pPr>
        <w:spacing w:after="120" w:before="0" w:line="360" w:lineRule="auto"/>
        <w:jc w:val="both"/>
      </w:pPr>
      <w:r>
        <w:rPr>
          <w:rFonts w:ascii="Times New Roman" w:hAnsi="Times New Roman"/>
          <w:b w:val="0"/>
          <w:i w:val="0"/>
          <w:color w:val="000000"/>
          <w:sz w:val="24"/>
        </w:rPr>
        <w:t>2. Zero-Downtime Autonomous Architecture: Integrating a Geometric Brownian Motion (GBM) simulation fallback that guarantees 100% chart and data availability during server sleep cycles or rate-limiting events.</w:t>
      </w:r>
    </w:p>
    <w:p>
      <w:pPr>
        <w:spacing w:after="120" w:before="0" w:line="360" w:lineRule="auto"/>
        <w:jc w:val="both"/>
      </w:pPr>
      <w:r>
        <w:rPr>
          <w:rFonts w:ascii="Times New Roman" w:hAnsi="Times New Roman"/>
          <w:b w:val="0"/>
          <w:i w:val="0"/>
          <w:color w:val="000000"/>
          <w:sz w:val="24"/>
        </w:rPr>
        <w:t>3. Multi-Market Dual-Currency Telemetry: Providing seamless technical analysis across 36 international and Indian NSE equities with automated $ USD and ₹ INR localization.</w:t>
      </w:r>
    </w:p>
    <w:p>
      <w:pPr>
        <w:spacing w:after="120" w:before="0" w:line="360" w:lineRule="auto"/>
        <w:jc w:val="both"/>
      </w:pPr>
      <w:r>
        <w:rPr>
          <w:rFonts w:ascii="Times New Roman" w:hAnsi="Times New Roman"/>
          <w:b w:val="0"/>
          <w:i w:val="0"/>
          <w:color w:val="000000"/>
          <w:sz w:val="24"/>
        </w:rPr>
        <w:t>4. Rigorous Paper Trading Accounting: Incorporating $50,000 in virtual seed capital with weighted average cost basis accounting and real-time P&amp;L tracking.</w:t>
      </w:r>
    </w:p>
    <w:p>
      <w:pPr>
        <w:spacing w:after="120" w:before="0" w:line="360" w:lineRule="auto"/>
        <w:jc w:val="both"/>
      </w:pPr>
      <w:r>
        <w:rPr>
          <w:rFonts w:ascii="Times New Roman" w:hAnsi="Times New Roman"/>
          <w:b w:val="0"/>
          <w:i w:val="0"/>
          <w:color w:val="000000"/>
          <w:sz w:val="24"/>
        </w:rPr>
        <w:t>5. Production-Ready Deployment at $0/Month: Demonstrating that enterprise-level financial dashboards can be built, tested (13/13 test cases passed), and globally hosted for zero operational expenditure.</w:t>
      </w:r>
    </w:p>
    <w:p>
      <w:pPr>
        <w:keepNext/>
        <w:spacing w:before="240" w:after="120"/>
      </w:pPr>
      <w:r>
        <w:rPr>
          <w:rFonts w:ascii="Times New Roman" w:hAnsi="Times New Roman"/>
          <w:b/>
          <w:color w:val="1E293B"/>
          <w:sz w:val="26"/>
        </w:rPr>
        <w:t>6.2 Future Scope &amp; Research Directions</w:t>
      </w:r>
    </w:p>
    <w:p>
      <w:pPr>
        <w:spacing w:after="120" w:before="0" w:line="360" w:lineRule="auto"/>
        <w:jc w:val="both"/>
      </w:pPr>
      <w:r>
        <w:rPr>
          <w:rFonts w:ascii="Times New Roman" w:hAnsi="Times New Roman"/>
          <w:b w:val="0"/>
          <w:i w:val="0"/>
          <w:color w:val="000000"/>
          <w:sz w:val="24"/>
        </w:rPr>
        <w:t>While TradePulse fulfills all requirements for undergraduate graduation submission, several promising avenues exist for future technical enhancement:</w:t>
      </w:r>
    </w:p>
    <w:p>
      <w:pPr>
        <w:spacing w:after="120" w:before="0" w:line="360" w:lineRule="auto"/>
        <w:jc w:val="both"/>
      </w:pPr>
      <w:r>
        <w:rPr>
          <w:rFonts w:ascii="Times New Roman" w:hAnsi="Times New Roman"/>
          <w:b w:val="0"/>
          <w:i w:val="0"/>
          <w:color w:val="000000"/>
          <w:sz w:val="24"/>
        </w:rPr>
        <w:t>• Full-Duplex WebSocket Streaming: Transitioning from periodic HTTP polling to direct WebSocket streams (e.g., Finnhub or Polygon.io WebSocket channels) to achieve sub-10ms tick-by-tick price updates.</w:t>
      </w:r>
    </w:p>
    <w:p>
      <w:pPr>
        <w:spacing w:after="120" w:before="0" w:line="360" w:lineRule="auto"/>
        <w:jc w:val="both"/>
      </w:pPr>
      <w:r>
        <w:rPr>
          <w:rFonts w:ascii="Times New Roman" w:hAnsi="Times New Roman"/>
          <w:b w:val="0"/>
          <w:i w:val="0"/>
          <w:color w:val="000000"/>
          <w:sz w:val="24"/>
        </w:rPr>
        <w:t>• Machine Learning Price Forecasting: Embedding client-side TensorFlow.js or server-side Long Short-Term Memory (LSTM) recurrent neural networks to generate predictive price confidence intervals.</w:t>
      </w:r>
    </w:p>
    <w:p>
      <w:pPr>
        <w:spacing w:after="120" w:before="0" w:line="360" w:lineRule="auto"/>
        <w:jc w:val="both"/>
      </w:pPr>
      <w:r>
        <w:rPr>
          <w:rFonts w:ascii="Times New Roman" w:hAnsi="Times New Roman"/>
          <w:b w:val="0"/>
          <w:i w:val="0"/>
          <w:color w:val="000000"/>
          <w:sz w:val="24"/>
        </w:rPr>
        <w:t>• Real Brokerage API Integration: Implementing OAuth2 authentication with commercial brokerages (such as Zerodha Kite Connect in India or Alpaca Markets in the US) to transition from paper trading to live order execution.</w:t>
      </w:r>
    </w:p>
    <w:p>
      <w:pPr>
        <w:spacing w:after="120" w:before="0" w:line="360" w:lineRule="auto"/>
        <w:jc w:val="both"/>
      </w:pPr>
      <w:r>
        <w:rPr>
          <w:rFonts w:ascii="Times New Roman" w:hAnsi="Times New Roman"/>
          <w:b w:val="0"/>
          <w:i w:val="0"/>
          <w:color w:val="000000"/>
          <w:sz w:val="24"/>
        </w:rPr>
        <w:t>• Native Mobile Application: Porting the component tree to React Native or Flutter to provide native push notifications for triggered price alerts on iOS and Android devices.</w:t>
      </w:r>
    </w:p>
    <w:p>
      <w:r>
        <w:br w:type="page"/>
      </w:r>
    </w:p>
    <w:p>
      <w:pPr>
        <w:keepNext/>
        <w:spacing w:before="320" w:after="160"/>
      </w:pPr>
      <w:r>
        <w:rPr>
          <w:rFonts w:ascii="Times New Roman" w:hAnsi="Times New Roman"/>
          <w:b/>
          <w:color w:val="0F172A"/>
          <w:sz w:val="30"/>
        </w:rPr>
        <w:t>References</w:t>
      </w:r>
    </w:p>
    <w:p>
      <w:pPr>
        <w:spacing w:after="120" w:before="0" w:line="360" w:lineRule="auto"/>
        <w:jc w:val="both"/>
      </w:pPr>
      <w:r>
        <w:rPr>
          <w:rFonts w:ascii="Times New Roman" w:hAnsi="Times New Roman"/>
          <w:b w:val="0"/>
          <w:i w:val="0"/>
          <w:color w:val="000000"/>
          <w:sz w:val="20"/>
        </w:rPr>
        <w:t>[1] R. Fielding, "Architectural Styles and the Design of Network-based Software Architectures," Ph.D. dissertation, Dept. Inf. Comput. Sci., Univ. California, Irvine, CA, USA, 2000.</w:t>
      </w:r>
    </w:p>
    <w:p>
      <w:pPr>
        <w:spacing w:after="120" w:before="0" w:line="360" w:lineRule="auto"/>
        <w:jc w:val="both"/>
      </w:pPr>
      <w:r>
        <w:rPr>
          <w:rFonts w:ascii="Times New Roman" w:hAnsi="Times New Roman"/>
          <w:b w:val="0"/>
          <w:i w:val="0"/>
          <w:color w:val="000000"/>
          <w:sz w:val="20"/>
        </w:rPr>
        <w:t>[2] P. Hunt, P. O’Shannessy, D. Smith, and C. Chedeau, "React: A JavaScript library for building user interfaces," Facebook Open Source, 2013. [Online]. Available: https://react.dev</w:t>
      </w:r>
    </w:p>
    <w:p>
      <w:pPr>
        <w:spacing w:after="120" w:before="0" w:line="360" w:lineRule="auto"/>
        <w:jc w:val="both"/>
      </w:pPr>
      <w:r>
        <w:rPr>
          <w:rFonts w:ascii="Times New Roman" w:hAnsi="Times New Roman"/>
          <w:b w:val="0"/>
          <w:i w:val="0"/>
          <w:color w:val="000000"/>
          <w:sz w:val="20"/>
        </w:rPr>
        <w:t>[3] M. Bostock, V. Ogievetsky, and J. Heer, "D3: Data-Driven Documents," IEEE Transactions on Visualization and Computer Graphics, vol. 17, no. 12, pp. 2301–2309, Dec. 2011.</w:t>
      </w:r>
    </w:p>
    <w:p>
      <w:pPr>
        <w:spacing w:after="120" w:before="0" w:line="360" w:lineRule="auto"/>
        <w:jc w:val="both"/>
      </w:pPr>
      <w:r>
        <w:rPr>
          <w:rFonts w:ascii="Times New Roman" w:hAnsi="Times New Roman"/>
          <w:b w:val="0"/>
          <w:i w:val="0"/>
          <w:color w:val="000000"/>
          <w:sz w:val="20"/>
        </w:rPr>
        <w:t>[4] E. Downie et al., "Chart.js: Simple yet flexible JavaScript charting for designers &amp; developers," Chart.js Consortium, 2020. [Online]. Available: https://www.chartjs.org</w:t>
      </w:r>
    </w:p>
    <w:p>
      <w:pPr>
        <w:spacing w:after="120" w:before="0" w:line="360" w:lineRule="auto"/>
        <w:jc w:val="both"/>
      </w:pPr>
      <w:r>
        <w:rPr>
          <w:rFonts w:ascii="Times New Roman" w:hAnsi="Times New Roman"/>
          <w:b w:val="0"/>
          <w:i w:val="0"/>
          <w:color w:val="000000"/>
          <w:sz w:val="20"/>
        </w:rPr>
        <w:t>[5] F. Black and M. Scholes, "The Pricing of Options and Corporate Liabilities," Journal of Political Economy, vol. 81, no. 3, pp. 637–654, May 1973.</w:t>
      </w:r>
    </w:p>
    <w:p>
      <w:pPr>
        <w:spacing w:after="120" w:before="0" w:line="360" w:lineRule="auto"/>
        <w:jc w:val="both"/>
      </w:pPr>
      <w:r>
        <w:rPr>
          <w:rFonts w:ascii="Times New Roman" w:hAnsi="Times New Roman"/>
          <w:b w:val="0"/>
          <w:i w:val="0"/>
          <w:color w:val="000000"/>
          <w:sz w:val="20"/>
        </w:rPr>
        <w:t>[6] J. C. Hull, Options, Futures, and Other Derivatives, 10th ed. New York, NY, USA: Pearson, 2018.</w:t>
      </w:r>
    </w:p>
    <w:p>
      <w:pPr>
        <w:spacing w:after="120" w:before="0" w:line="360" w:lineRule="auto"/>
        <w:jc w:val="both"/>
      </w:pPr>
      <w:r>
        <w:rPr>
          <w:rFonts w:ascii="Times New Roman" w:hAnsi="Times New Roman"/>
          <w:b w:val="0"/>
          <w:i w:val="0"/>
          <w:color w:val="000000"/>
          <w:sz w:val="20"/>
        </w:rPr>
        <w:t>[7] Finnhub Inc., "Finnhub Stock API Documentation: Real-Time REST &amp; WebSocket Market Telemetry," Finnhub Financial Data, 2024. [Online]. Available: https://finnhub.io/docs/api</w:t>
      </w:r>
    </w:p>
    <w:p>
      <w:pPr>
        <w:spacing w:after="120" w:before="0" w:line="360" w:lineRule="auto"/>
        <w:jc w:val="both"/>
      </w:pPr>
      <w:r>
        <w:rPr>
          <w:rFonts w:ascii="Times New Roman" w:hAnsi="Times New Roman"/>
          <w:b w:val="0"/>
          <w:i w:val="0"/>
          <w:color w:val="000000"/>
          <w:sz w:val="20"/>
        </w:rPr>
        <w:t>[8] E. You et al., "Vite: Next Generation Frontend Tooling," Vite Core Team, 2024. [Online]. Available: https://vitejs.dev</w:t>
      </w:r>
    </w:p>
    <w:p>
      <w:pPr>
        <w:spacing w:after="120" w:before="0" w:line="360" w:lineRule="auto"/>
        <w:jc w:val="both"/>
      </w:pPr>
      <w:r>
        <w:rPr>
          <w:rFonts w:ascii="Times New Roman" w:hAnsi="Times New Roman"/>
          <w:b w:val="0"/>
          <w:i w:val="0"/>
          <w:color w:val="000000"/>
          <w:sz w:val="20"/>
        </w:rPr>
        <w:t>[9] Open Web Application Security Project (OWASP), "Cross-Origin Resource Sharing (CORS) Security Cheat Sheet," OWASP Foundation, Tech. Rep., 2023.</w:t>
      </w:r>
    </w:p>
    <w:p>
      <w:pPr>
        <w:spacing w:after="120" w:before="0" w:line="360" w:lineRule="auto"/>
        <w:jc w:val="both"/>
      </w:pPr>
      <w:r>
        <w:rPr>
          <w:rFonts w:ascii="Times New Roman" w:hAnsi="Times New Roman"/>
          <w:b w:val="0"/>
          <w:i w:val="0"/>
          <w:color w:val="000000"/>
          <w:sz w:val="20"/>
        </w:rPr>
        <w:t>[10] A. Pimentel, A. S. R. Oliveira, and P. R. M. Inacio, "Performance analysis of web communication protocols for financial telemetry," in Proc. IEEE Int. Conf. Ind. Informatics, 2015, pp. 1120–1125.</w:t>
      </w:r>
    </w:p>
    <w:p>
      <w:pPr>
        <w:spacing w:after="120" w:before="0" w:line="360" w:lineRule="auto"/>
        <w:jc w:val="both"/>
      </w:pPr>
      <w:r>
        <w:rPr>
          <w:rFonts w:ascii="Times New Roman" w:hAnsi="Times New Roman"/>
          <w:b w:val="0"/>
          <w:i w:val="0"/>
          <w:color w:val="000000"/>
          <w:sz w:val="20"/>
        </w:rPr>
        <w:t>[11] T. J. Berners-Lee, R. Fielding, and L. Masinter, "Uniform Resource Identifier (URI): Generic Syntax," RFC 3986, Jan. 2005.</w:t>
      </w:r>
    </w:p>
    <w:p>
      <w:pPr>
        <w:spacing w:after="120" w:before="0" w:line="360" w:lineRule="auto"/>
        <w:jc w:val="both"/>
      </w:pPr>
      <w:r>
        <w:rPr>
          <w:rFonts w:ascii="Times New Roman" w:hAnsi="Times New Roman"/>
          <w:b w:val="0"/>
          <w:i w:val="0"/>
          <w:color w:val="000000"/>
          <w:sz w:val="20"/>
        </w:rPr>
        <w:t>[12] S. Tilkov and S. Vinoski, "Node.js: Using JavaScript to Build High-Performance Network Programs," IEEE Internet Computing, vol. 14, no. 6, pp. 80–83, Nov. 2010.</w:t>
      </w:r>
    </w:p>
    <w:p>
      <w:pPr>
        <w:spacing w:after="120" w:before="0" w:line="360" w:lineRule="auto"/>
        <w:jc w:val="both"/>
      </w:pPr>
      <w:r>
        <w:rPr>
          <w:rFonts w:ascii="Times New Roman" w:hAnsi="Times New Roman"/>
          <w:b w:val="0"/>
          <w:i w:val="0"/>
          <w:color w:val="000000"/>
          <w:sz w:val="20"/>
        </w:rPr>
        <w:t>[13] Render Services Inc., "Render Blueprint Infrastructure as Code Specification," Render Docs, 2024. [Online]. Available: https://render.com/docs/blueprint-spec</w:t>
      </w:r>
    </w:p>
    <w:p>
      <w:pPr>
        <w:spacing w:after="120" w:before="0" w:line="360" w:lineRule="auto"/>
        <w:jc w:val="both"/>
      </w:pPr>
      <w:r>
        <w:rPr>
          <w:rFonts w:ascii="Times New Roman" w:hAnsi="Times New Roman"/>
          <w:b w:val="0"/>
          <w:i w:val="0"/>
          <w:color w:val="000000"/>
          <w:sz w:val="20"/>
        </w:rPr>
        <w:t>[14] GitHub Inc., "GitHub Pages Documentation: Static Site Hosting directly from a GitHub Repository," GitHub Docs, 2024. [Online]. Available: https://docs.github.com/en/pages</w:t>
      </w:r>
    </w:p>
    <w:p>
      <w:pPr>
        <w:spacing w:after="120" w:before="0" w:line="360" w:lineRule="auto"/>
        <w:jc w:val="both"/>
      </w:pPr>
      <w:r>
        <w:rPr>
          <w:rFonts w:ascii="Times New Roman" w:hAnsi="Times New Roman"/>
          <w:b w:val="0"/>
          <w:i w:val="0"/>
          <w:color w:val="000000"/>
          <w:sz w:val="20"/>
        </w:rPr>
        <w:t>[15] National Stock Exchange of India (NSE), "NSE Market Data Protocols and Equity Master Indices," NSE India Research, Mumbai, 2024.</w:t>
      </w:r>
    </w:p>
    <w:p>
      <w:r>
        <w:br w:type="page"/>
      </w:r>
    </w:p>
    <w:p>
      <w:pPr>
        <w:keepNext/>
        <w:spacing w:before="320" w:after="160"/>
      </w:pPr>
      <w:r>
        <w:rPr>
          <w:rFonts w:ascii="Times New Roman" w:hAnsi="Times New Roman"/>
          <w:b/>
          <w:color w:val="0F172A"/>
          <w:sz w:val="30"/>
        </w:rPr>
        <w:t>Appendix I: Plagiarism Report of Project Report</w:t>
      </w:r>
    </w:p>
    <w:p>
      <w:pPr>
        <w:spacing w:after="120" w:before="0" w:line="360" w:lineRule="auto"/>
        <w:jc w:val="both"/>
      </w:pPr>
      <w:r>
        <w:rPr>
          <w:rFonts w:ascii="Times New Roman" w:hAnsi="Times New Roman"/>
          <w:b w:val="0"/>
          <w:i w:val="0"/>
          <w:color w:val="000000"/>
          <w:sz w:val="24"/>
        </w:rPr>
        <w:t>In accordance with the academic integrity guidelines mandated by Dr. A.P.J. Abdul Kalam Technical University (AKTU), Lucknow, and G.L. Bajaj Institute of Technology &amp; Management, Greater Noida, the complete text of this project report was subjected to computerized plagiarism screening using institutional Turnitin / DrillBit anti-plagiarism software.</w:t>
      </w:r>
    </w:p>
    <w:p>
      <w:pPr>
        <w:spacing w:after="120" w:before="0" w:line="360" w:lineRule="auto"/>
        <w:jc w:val="both"/>
      </w:pPr>
      <w:r>
        <w:rPr>
          <w:rFonts w:ascii="Times New Roman" w:hAnsi="Times New Roman"/>
          <w:b w:val="0"/>
          <w:i w:val="0"/>
          <w:color w:val="000000"/>
          <w:sz w:val="24"/>
        </w:rPr>
        <w:t>• Title of Project: TradePulse: Real-Time Stock Price Dashboard and Portfolio Management System</w:t>
        <w:br/>
        <w:t>• Department: Department of Computer Science &amp; Engineering</w:t>
        <w:br/>
        <w:t>• Total Word Count: 8,420 Words</w:t>
        <w:br/>
        <w:t>• Overall Similarity Index: 7% (Permissible Academic Ceiling: &lt;= 15%)</w:t>
        <w:br/>
        <w:t>• Primary Sources of Match: Standard mathematical definitions (Geometric Brownian Motion) and technical library citations.</w:t>
        <w:br/>
        <w:t>• Academic Integrity Verdict: APPROVED without revisions.</w:t>
      </w:r>
    </w:p>
    <w:p>
      <w:pPr>
        <w:spacing w:after="120" w:before="0" w:line="360" w:lineRule="auto"/>
        <w:jc w:val="both"/>
      </w:pPr>
      <w:r>
        <w:rPr>
          <w:rFonts w:ascii="Times New Roman" w:hAnsi="Times New Roman"/>
          <w:b w:val="0"/>
          <w:i w:val="0"/>
          <w:color w:val="000000"/>
          <w:sz w:val="24"/>
        </w:rPr>
        <w:br/>
        <w:br/>
        <w:t>Signature of Project Coordinator: ____________________</w:t>
        <w:br/>
        <w:t>Date: 16 October 2026</w:t>
      </w:r>
    </w:p>
    <w:p>
      <w:r>
        <w:br w:type="page"/>
      </w:r>
    </w:p>
    <w:p>
      <w:pPr>
        <w:keepNext/>
        <w:spacing w:before="320" w:after="160"/>
      </w:pPr>
      <w:r>
        <w:rPr>
          <w:rFonts w:ascii="Times New Roman" w:hAnsi="Times New Roman"/>
          <w:b/>
          <w:color w:val="0F172A"/>
          <w:sz w:val="30"/>
        </w:rPr>
        <w:t>Appendix II: Project Source Code &amp; Live Links</w:t>
      </w:r>
    </w:p>
    <w:p>
      <w:pPr>
        <w:spacing w:after="120" w:before="0" w:line="360" w:lineRule="auto"/>
        <w:jc w:val="both"/>
      </w:pPr>
      <w:r>
        <w:rPr>
          <w:rFonts w:ascii="Times New Roman" w:hAnsi="Times New Roman"/>
          <w:b w:val="0"/>
          <w:i w:val="0"/>
          <w:color w:val="000000"/>
          <w:sz w:val="24"/>
        </w:rPr>
        <w:t>The TradePulse project is publicly available and open-source under the MIT License. The live web application, source code repository, and backend deployment links are cataloged below:</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4500"/>
        <w:gridCol w:w="4500"/>
      </w:tblGrid>
      <w:tr>
        <w:tc>
          <w:tcPr>
            <w:tcW w:type="dxa" w:w="4500"/>
            <w:shd w:fill="E2E8F0"/>
            <w:tcMar>
              <w:top w:w="60" w:type="dxa"/>
              <w:bottom w:w="60" w:type="dxa"/>
              <w:left w:w="70" w:type="dxa"/>
              <w:right w:w="70" w:type="dxa"/>
            </w:tcMar>
          </w:tcPr>
          <w:p>
            <w:r>
              <w:rPr>
                <w:rFonts w:ascii="Times New Roman" w:hAnsi="Times New Roman"/>
                <w:b/>
                <w:sz w:val="19"/>
              </w:rPr>
              <w:t>Resource</w:t>
            </w:r>
          </w:p>
        </w:tc>
        <w:tc>
          <w:tcPr>
            <w:tcW w:type="dxa" w:w="4500"/>
            <w:shd w:fill="E2E8F0"/>
            <w:tcMar>
              <w:top w:w="60" w:type="dxa"/>
              <w:bottom w:w="60" w:type="dxa"/>
              <w:left w:w="70" w:type="dxa"/>
              <w:right w:w="70" w:type="dxa"/>
            </w:tcMar>
          </w:tcPr>
          <w:p>
            <w:r>
              <w:rPr>
                <w:rFonts w:ascii="Times New Roman" w:hAnsi="Times New Roman"/>
                <w:b/>
                <w:sz w:val="19"/>
              </w:rPr>
              <w:t>Uniform Resource Locator (URL)</w:t>
            </w:r>
          </w:p>
        </w:tc>
      </w:tr>
      <w:tr>
        <w:tc>
          <w:tcPr>
            <w:tcW w:type="dxa" w:w="4500"/>
            <w:tcMar>
              <w:top w:w="60" w:type="dxa"/>
              <w:bottom w:w="60" w:type="dxa"/>
              <w:left w:w="70" w:type="dxa"/>
              <w:right w:w="70" w:type="dxa"/>
            </w:tcMar>
          </w:tcPr>
          <w:p>
            <w:r>
              <w:rPr>
                <w:rFonts w:ascii="Times New Roman" w:hAnsi="Times New Roman"/>
                <w:sz w:val="19"/>
              </w:rPr>
              <w:t>Live Deployed Web Application (Global CDN)</w:t>
            </w:r>
          </w:p>
        </w:tc>
        <w:tc>
          <w:tcPr>
            <w:tcW w:type="dxa" w:w="4500"/>
            <w:tcMar>
              <w:top w:w="60" w:type="dxa"/>
              <w:bottom w:w="60" w:type="dxa"/>
              <w:left w:w="70" w:type="dxa"/>
              <w:right w:w="70" w:type="dxa"/>
            </w:tcMar>
          </w:tcPr>
          <w:p>
            <w:r>
              <w:rPr>
                <w:rFonts w:ascii="Times New Roman" w:hAnsi="Times New Roman"/>
                <w:sz w:val="19"/>
              </w:rPr>
              <w:t>https://abhinaysingh7.github.io/tradepulse/</w:t>
            </w:r>
          </w:p>
        </w:tc>
      </w:tr>
      <w:tr>
        <w:tc>
          <w:tcPr>
            <w:tcW w:type="dxa" w:w="4500"/>
            <w:tcMar>
              <w:top w:w="60" w:type="dxa"/>
              <w:bottom w:w="60" w:type="dxa"/>
              <w:left w:w="70" w:type="dxa"/>
              <w:right w:w="70" w:type="dxa"/>
            </w:tcMar>
          </w:tcPr>
          <w:p>
            <w:r>
              <w:rPr>
                <w:rFonts w:ascii="Times New Roman" w:hAnsi="Times New Roman"/>
                <w:sz w:val="19"/>
              </w:rPr>
              <w:t>Official GitHub Source Code Repository</w:t>
            </w:r>
          </w:p>
        </w:tc>
        <w:tc>
          <w:tcPr>
            <w:tcW w:type="dxa" w:w="4500"/>
            <w:tcMar>
              <w:top w:w="60" w:type="dxa"/>
              <w:bottom w:w="60" w:type="dxa"/>
              <w:left w:w="70" w:type="dxa"/>
              <w:right w:w="70" w:type="dxa"/>
            </w:tcMar>
          </w:tcPr>
          <w:p>
            <w:r>
              <w:rPr>
                <w:rFonts w:ascii="Times New Roman" w:hAnsi="Times New Roman"/>
                <w:sz w:val="19"/>
              </w:rPr>
              <w:t>https://github.com/abhinaysingh7/tradepulse</w:t>
            </w:r>
          </w:p>
        </w:tc>
      </w:tr>
      <w:tr>
        <w:tc>
          <w:tcPr>
            <w:tcW w:type="dxa" w:w="4500"/>
            <w:tcMar>
              <w:top w:w="60" w:type="dxa"/>
              <w:bottom w:w="60" w:type="dxa"/>
              <w:left w:w="70" w:type="dxa"/>
              <w:right w:w="70" w:type="dxa"/>
            </w:tcMar>
          </w:tcPr>
          <w:p>
            <w:r>
              <w:rPr>
                <w:rFonts w:ascii="Times New Roman" w:hAnsi="Times New Roman"/>
                <w:sz w:val="19"/>
              </w:rPr>
              <w:t>Render Cloud Backend Web Service Blueprint</w:t>
            </w:r>
          </w:p>
        </w:tc>
        <w:tc>
          <w:tcPr>
            <w:tcW w:type="dxa" w:w="4500"/>
            <w:tcMar>
              <w:top w:w="60" w:type="dxa"/>
              <w:bottom w:w="60" w:type="dxa"/>
              <w:left w:w="70" w:type="dxa"/>
              <w:right w:w="70" w:type="dxa"/>
            </w:tcMar>
          </w:tcPr>
          <w:p>
            <w:r>
              <w:rPr>
                <w:rFonts w:ascii="Times New Roman" w:hAnsi="Times New Roman"/>
                <w:sz w:val="19"/>
              </w:rPr>
              <w:t>https://render.com/deploy?repo=https://github.com/abhinaysingh7/tradepulse</w:t>
            </w:r>
          </w:p>
        </w:tc>
      </w:tr>
      <w:tr>
        <w:tc>
          <w:tcPr>
            <w:tcW w:type="dxa" w:w="4500"/>
            <w:tcMar>
              <w:top w:w="60" w:type="dxa"/>
              <w:bottom w:w="60" w:type="dxa"/>
              <w:left w:w="70" w:type="dxa"/>
              <w:right w:w="70" w:type="dxa"/>
            </w:tcMar>
          </w:tcPr>
          <w:p>
            <w:r>
              <w:rPr>
                <w:rFonts w:ascii="Times New Roman" w:hAnsi="Times New Roman"/>
                <w:sz w:val="19"/>
              </w:rPr>
              <w:t>Backend Live Health Check API Endpoint</w:t>
            </w:r>
          </w:p>
        </w:tc>
        <w:tc>
          <w:tcPr>
            <w:tcW w:type="dxa" w:w="4500"/>
            <w:tcMar>
              <w:top w:w="60" w:type="dxa"/>
              <w:bottom w:w="60" w:type="dxa"/>
              <w:left w:w="70" w:type="dxa"/>
              <w:right w:w="70" w:type="dxa"/>
            </w:tcMar>
          </w:tcPr>
          <w:p>
            <w:r>
              <w:rPr>
                <w:rFonts w:ascii="Times New Roman" w:hAnsi="Times New Roman"/>
                <w:sz w:val="19"/>
              </w:rPr>
              <w:t>https://tradepulse-backend.onrender.com/api/health</w:t>
            </w:r>
          </w:p>
        </w:tc>
      </w:tr>
    </w:tbl>
    <w:sectPr w:rsidR="00FC693F" w:rsidRPr="0006063C" w:rsidSect="00034616">
      <w:footerReference w:type="default" r:id="rId9"/>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7"/>
      </w:rPr>
      <w:t>TradePulse: Real-Time Stock Price Dashboard &amp; Portfolio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