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0F0A55"/>
          <w:spacing w:val="10"/>
          <w:sz w:val="40"/>
          <w:szCs w:val="40"/>
        </w:rPr>
        <w:t xml:space="preserve">ABHISHEK VILAS PATADE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6B47E6"/>
          <w:sz w:val="20"/>
          <w:szCs w:val="20"/>
        </w:rPr>
        <w:t xml:space="preserve">Principal Product Designer  |  UX Strategy Leader  |  18+ yrs Enterprise SaaS, BFSI &amp; Insurtech  |  AI-Powered Design  |  Design Systems &amp; Accessibility</w:t>
      </w:r>
    </w:p>
    <w:p>
      <w:pPr>
        <w:spacing w:after="40"/>
      </w:pPr>
      <w:r>
        <w:rPr>
          <w:rFonts w:ascii="Calibri" w:cs="Calibri" w:eastAsia="Calibri" w:hAnsi="Calibri"/>
          <w:color w:val="4A476B"/>
          <w:sz w:val="20"/>
          <w:szCs w:val="20"/>
        </w:rPr>
        <w:t xml:space="preserve">+91 99674 53818  ·  abhipatade@gmail.com  ·  </w:t>
      </w:r>
      <w:hyperlink w:history="1" r:id="rIdzq2akdzkgcrzavrmbqozp">
        <w:r>
          <w:rPr>
            <w:rFonts w:ascii="Calibri" w:cs="Calibri" w:eastAsia="Calibri" w:hAnsi="Calibri"/>
            <w:color w:val="6B47E6"/>
            <w:sz w:val="20"/>
            <w:szCs w:val="20"/>
            <w:u w:val="single"/>
          </w:rPr>
          <w:t xml:space="preserve">linkedin.com/in/abhipatade</w:t>
        </w:r>
      </w:hyperlink>
      <w:r>
        <w:rPr>
          <w:rFonts w:ascii="Calibri" w:cs="Calibri" w:eastAsia="Calibri" w:hAnsi="Calibri"/>
          <w:color w:val="4A476B"/>
          <w:sz w:val="20"/>
          <w:szCs w:val="20"/>
        </w:rPr>
        <w:t xml:space="preserve">  ·  </w:t>
      </w:r>
      <w:hyperlink w:history="1" r:id="rIdinljbvayhz_fx6vg5tydy">
        <w:r>
          <w:rPr>
            <w:rFonts w:ascii="Calibri" w:cs="Calibri" w:eastAsia="Calibri" w:hAnsi="Calibri"/>
            <w:color w:val="6B47E6"/>
            <w:sz w:val="20"/>
            <w:szCs w:val="20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color w:val="4A476B"/>
          <w:sz w:val="20"/>
          <w:szCs w:val="20"/>
        </w:rPr>
        <w:t xml:space="preserve">  ·  Navi Mumbai, India  ·  Open to Remote / Hybrid / India</w:t>
      </w:r>
    </w:p>
    <w:p>
      <w:pPr>
        <w:pBdr>
          <w:bottom w:val="single" w:color="E6E3F2" w:sz="6" w:space="3"/>
        </w:pBdr>
        <w:spacing w:after="90" w:before="220"/>
      </w:pPr>
      <w:r>
        <w:rPr>
          <w:rFonts w:ascii="Calibri" w:cs="Calibri" w:eastAsia="Calibri" w:hAnsi="Calibri"/>
          <w:b/>
          <w:bCs/>
          <w:color w:val="6B47E6"/>
          <w:spacing w:val="40"/>
          <w:sz w:val="20"/>
          <w:szCs w:val="20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color w:val="1B1738"/>
          <w:sz w:val="20"/>
          <w:szCs w:val="20"/>
        </w:rPr>
        <w:t xml:space="preserve">Principal Product Designer and UX Strategy leader with 18+ years building enterprise SaaS, BFSI, Insurtech and compliance platforms — from discovery and research through scalable design systems and production-ready delivery. Experienced managing and mentoring designers, influencing product roadmaps at the executive level, and partnering with Product, Engineering and Compliance. Active practitioner of AI-powered design workflows: Figma AI, Claude MCP, Figma Make, Cursor and V0 by Vercel.</w:t>
      </w:r>
    </w:p>
    <w:p>
      <w:pPr>
        <w:pBdr>
          <w:bottom w:val="single" w:color="E6E3F2" w:sz="6" w:space="3"/>
        </w:pBdr>
        <w:spacing w:after="90" w:before="220"/>
      </w:pPr>
      <w:r>
        <w:rPr>
          <w:rFonts w:ascii="Calibri" w:cs="Calibri" w:eastAsia="Calibri" w:hAnsi="Calibri"/>
          <w:b/>
          <w:bCs/>
          <w:color w:val="6B47E6"/>
          <w:spacing w:val="40"/>
          <w:sz w:val="20"/>
          <w:szCs w:val="20"/>
        </w:rPr>
        <w:t xml:space="preserve">CORE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0A55"/>
          <w:sz w:val="20"/>
          <w:szCs w:val="20"/>
        </w:rPr>
        <w:t xml:space="preserve">UX &amp; Product Leadership: </w:t>
      </w:r>
      <w:r>
        <w:rPr>
          <w:rFonts w:ascii="Calibri" w:cs="Calibri" w:eastAsia="Calibri" w:hAnsi="Calibri"/>
          <w:color w:val="4A476B"/>
          <w:sz w:val="20"/>
          <w:szCs w:val="20"/>
        </w:rPr>
        <w:t xml:space="preserve">UX strategy &amp; roadmap planning · team leadership &amp; mentorship · executive stakeholder management · design governance · design-thinking facilitation · Agile / Scrum / PI planning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0A55"/>
          <w:sz w:val="20"/>
          <w:szCs w:val="20"/>
        </w:rPr>
        <w:t xml:space="preserve">User-Centred Design: </w:t>
      </w:r>
      <w:r>
        <w:rPr>
          <w:rFonts w:ascii="Calibri" w:cs="Calibri" w:eastAsia="Calibri" w:hAnsi="Calibri"/>
          <w:color w:val="4A476B"/>
          <w:sz w:val="20"/>
          <w:szCs w:val="20"/>
        </w:rPr>
        <w:t xml:space="preserve">user research &amp; personas · journey mapping &amp; task flows · usability testing · heuristic evaluation &amp; UX audits · accessibility (WCAG 2.1 / 2.2 AA) · information architecture · MVP strategy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0A55"/>
          <w:sz w:val="20"/>
          <w:szCs w:val="20"/>
        </w:rPr>
        <w:t xml:space="preserve">Design Craft: </w:t>
      </w:r>
      <w:r>
        <w:rPr>
          <w:rFonts w:ascii="Calibri" w:cs="Calibri" w:eastAsia="Calibri" w:hAnsi="Calibri"/>
          <w:color w:val="4A476B"/>
          <w:sz w:val="20"/>
          <w:szCs w:val="20"/>
        </w:rPr>
        <w:t xml:space="preserve">high-fidelity UI &amp; prototyping · micro-interactions · responsive web &amp; mobile · design systems &amp; component libraries · design tokens &amp; variable theming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0A55"/>
          <w:sz w:val="20"/>
          <w:szCs w:val="20"/>
        </w:rPr>
        <w:t xml:space="preserve">Tools: </w:t>
      </w:r>
      <w:r>
        <w:rPr>
          <w:rFonts w:ascii="Calibri" w:cs="Calibri" w:eastAsia="Calibri" w:hAnsi="Calibri"/>
          <w:color w:val="4A476B"/>
          <w:sz w:val="20"/>
          <w:szCs w:val="20"/>
        </w:rPr>
        <w:t xml:space="preserve">Figma, FigJam, Sketch, Adobe XD, Axure RP, Illustrator, Photoshop · Jira, Confluence, Notion, Miro · AI: Figma AI (Make / Slides / Design), Figma MCP, Claude MCP, V0, Cursor, GitHub Copilot, Midjourney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0A55"/>
          <w:sz w:val="20"/>
          <w:szCs w:val="20"/>
        </w:rPr>
        <w:t xml:space="preserve">Domains: </w:t>
      </w:r>
      <w:r>
        <w:rPr>
          <w:rFonts w:ascii="Calibri" w:cs="Calibri" w:eastAsia="Calibri" w:hAnsi="Calibri"/>
          <w:color w:val="4A476B"/>
          <w:sz w:val="20"/>
          <w:szCs w:val="20"/>
        </w:rPr>
        <w:t xml:space="preserve">Enterprise SaaS / PaaS · BFSI · Insurtech (P&amp;C, L&amp;A) · Compliance &amp; Risk · Cybersecurity · Healthcare · Telecom · Cloud-native platforms (AWS, Azure)</w:t>
      </w:r>
    </w:p>
    <w:p>
      <w:pPr>
        <w:pBdr>
          <w:bottom w:val="single" w:color="E6E3F2" w:sz="6" w:space="3"/>
        </w:pBdr>
        <w:spacing w:after="90" w:before="220"/>
      </w:pPr>
      <w:r>
        <w:rPr>
          <w:rFonts w:ascii="Calibri" w:cs="Calibri" w:eastAsia="Calibri" w:hAnsi="Calibri"/>
          <w:b/>
          <w:bCs/>
          <w:color w:val="6B47E6"/>
          <w:spacing w:val="40"/>
          <w:sz w:val="20"/>
          <w:szCs w:val="20"/>
        </w:rPr>
        <w:t xml:space="preserve">PROFESSIONAL EXPERIENCE</w:t>
      </w:r>
    </w:p>
    <w:p>
      <w:pPr>
        <w:tabs>
          <w:tab w:val="right" w:pos="10466"/>
        </w:tabs>
        <w:spacing w:after="10" w:before="120"/>
      </w:pPr>
      <w:r>
        <w:rPr>
          <w:rFonts w:ascii="Calibri" w:cs="Calibri" w:eastAsia="Calibri" w:hAnsi="Calibri"/>
          <w:b/>
          <w:bCs/>
          <w:color w:val="0F0A55"/>
          <w:sz w:val="22"/>
          <w:szCs w:val="22"/>
        </w:rPr>
        <w:t xml:space="preserve">Independent Product Design Consultant</w:t>
      </w:r>
      <w:r>
        <w:rPr>
          <w:rFonts w:ascii="Calibri" w:cs="Calibri" w:eastAsia="Calibri" w:hAnsi="Calibri"/>
          <w:b/>
          <w:bCs/>
          <w:color w:val="6B47E6"/>
          <w:sz w:val="22"/>
          <w:szCs w:val="22"/>
        </w:rPr>
        <w:t xml:space="preserve">  ·  Self-employed</w:t>
      </w:r>
      <w:r>
        <w:rPr>
          <w:rFonts w:ascii="Calibri" w:cs="Calibri" w:eastAsia="Calibri" w:hAnsi="Calibri"/>
          <w:color w:val="8A87A3"/>
          <w:sz w:val="18"/>
          <w:szCs w:val="18"/>
        </w:rPr>
        <w:t xml:space="preserve">	Jan 2026 – Present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8A87A3"/>
          <w:sz w:val="18"/>
          <w:szCs w:val="18"/>
        </w:rPr>
        <w:t xml:space="preserve">Navi Mumbai · Remote</w:t>
      </w:r>
    </w:p>
    <w:p>
      <w:pPr>
        <w:spacing w:after="60"/>
      </w:pPr>
      <w:r>
        <w:rPr>
          <w:rFonts w:ascii="Calibri" w:cs="Calibri" w:eastAsia="Calibri" w:hAnsi="Calibri"/>
          <w:color w:val="1B1738"/>
          <w:sz w:val="20"/>
          <w:szCs w:val="20"/>
        </w:rPr>
        <w:t xml:space="preserve">Product design and UX consulting for Enterprise SaaS, BFSI, Compliance and AI-enabled products.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76B"/>
          <w:sz w:val="20"/>
          <w:szCs w:val="20"/>
        </w:rPr>
        <w:t xml:space="preserve">Lead UX strategy, product discovery and experience design; design scalable workflows, dashboards and enterprise applications.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76B"/>
          <w:sz w:val="20"/>
          <w:szCs w:val="20"/>
        </w:rPr>
        <w:t xml:space="preserve">Facilitate stakeholder workshops and requirements gathering; create user journeys, wireframes, prototypes and design systems in Figma.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76B"/>
          <w:sz w:val="20"/>
          <w:szCs w:val="20"/>
        </w:rPr>
        <w:t xml:space="preserve">Conduct UX audits, heuristic evaluations and usability improvements; advise on product modernisation and digital transformation.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76B"/>
          <w:sz w:val="20"/>
          <w:szCs w:val="20"/>
        </w:rPr>
        <w:t xml:space="preserve">Deliver with AI in the loop — Figma AI, Claude MCP, Figma Make, Cursor — from strategy to accessible, shippable builds.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0F0A55"/>
          <w:sz w:val="19"/>
          <w:szCs w:val="19"/>
        </w:rPr>
        <w:t xml:space="preserve">Clients: </w:t>
      </w:r>
      <w:r>
        <w:rPr>
          <w:rFonts w:ascii="Calibri" w:cs="Calibri" w:eastAsia="Calibri" w:hAnsi="Calibri"/>
          <w:color w:val="4A476B"/>
          <w:sz w:val="19"/>
          <w:szCs w:val="19"/>
        </w:rPr>
        <w:t xml:space="preserve">Mirello (fit-first hiring platform — strategy, design system and live demo, POC) · Taruveda Xtracts · Acharya Gautam / Astrovaidya</w:t>
      </w:r>
    </w:p>
    <w:p>
      <w:pPr>
        <w:tabs>
          <w:tab w:val="right" w:pos="10466"/>
        </w:tabs>
        <w:spacing w:after="10" w:before="120"/>
      </w:pPr>
      <w:r>
        <w:rPr>
          <w:rFonts w:ascii="Calibri" w:cs="Calibri" w:eastAsia="Calibri" w:hAnsi="Calibri"/>
          <w:b/>
          <w:bCs/>
          <w:color w:val="0F0A55"/>
          <w:sz w:val="22"/>
          <w:szCs w:val="22"/>
        </w:rPr>
        <w:t xml:space="preserve">Product Designer</w:t>
      </w:r>
      <w:r>
        <w:rPr>
          <w:rFonts w:ascii="Calibri" w:cs="Calibri" w:eastAsia="Calibri" w:hAnsi="Calibri"/>
          <w:b/>
          <w:bCs/>
          <w:color w:val="6B47E6"/>
          <w:sz w:val="22"/>
          <w:szCs w:val="22"/>
        </w:rPr>
        <w:t xml:space="preserve">  ·  LRN</w:t>
      </w:r>
      <w:r>
        <w:rPr>
          <w:rFonts w:ascii="Calibri" w:cs="Calibri" w:eastAsia="Calibri" w:hAnsi="Calibri"/>
          <w:color w:val="8A87A3"/>
          <w:sz w:val="18"/>
          <w:szCs w:val="18"/>
        </w:rPr>
        <w:t xml:space="preserve">	Sep 2023 – Nov 2025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8A87A3"/>
          <w:sz w:val="18"/>
          <w:szCs w:val="18"/>
        </w:rPr>
        <w:t xml:space="preserve">Mumbai · On-site</w:t>
      </w:r>
    </w:p>
    <w:p>
      <w:pPr>
        <w:spacing w:after="60"/>
      </w:pPr>
      <w:r>
        <w:rPr>
          <w:rFonts w:ascii="Calibri" w:cs="Calibri" w:eastAsia="Calibri" w:hAnsi="Calibri"/>
          <w:color w:val="1B1738"/>
          <w:sz w:val="20"/>
          <w:szCs w:val="20"/>
        </w:rPr>
        <w:t xml:space="preserve">Led end-to-end UX strategy across LRN Catalyst, a compliance and risk-management SaaS platform used by 3,000+ organisations — Client Onboarding, User Manager, Campaign Manager, Phishing Simulation, Content Library and Reveal Analytics — for enterprise clients across North America and Europe.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76B"/>
          <w:sz w:val="20"/>
          <w:szCs w:val="20"/>
        </w:rPr>
        <w:t xml:space="preserve">Owned UX for the Phishing Simulation product (0 → 1): redesigned the campaign workflow, built a reusable template library (50+ templates) and improved admin task completion across multiple personas.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76B"/>
          <w:sz w:val="20"/>
          <w:szCs w:val="20"/>
        </w:rPr>
        <w:t xml:space="preserve">Led UX for Client Onboarding, User Manager and Campaign Manager; designed Reveal Analytics dashboards covering click rates, report rates and risk scores.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76B"/>
          <w:sz w:val="20"/>
          <w:szCs w:val="20"/>
        </w:rPr>
        <w:t xml:space="preserve">Built a modular design system of 60+ reusable components across the Content Library and core modules, improving cross-product consistency and cutting design-to-dev handoff time.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76B"/>
          <w:sz w:val="20"/>
          <w:szCs w:val="20"/>
        </w:rPr>
        <w:t xml:space="preserve">Conducted UX audits across 8 core platform workflows and led resolution with Product and Engineering.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76B"/>
          <w:sz w:val="20"/>
          <w:szCs w:val="20"/>
        </w:rPr>
        <w:t xml:space="preserve">Managed and mentored 2 junior designers; partnered with global Product, Engineering and Content teams across 3 time zones.</w:t>
      </w:r>
    </w:p>
    <w:p>
      <w:pPr>
        <w:tabs>
          <w:tab w:val="right" w:pos="10466"/>
        </w:tabs>
        <w:spacing w:after="10" w:before="120"/>
      </w:pPr>
      <w:r>
        <w:rPr>
          <w:rFonts w:ascii="Calibri" w:cs="Calibri" w:eastAsia="Calibri" w:hAnsi="Calibri"/>
          <w:b/>
          <w:bCs/>
          <w:color w:val="0F0A55"/>
          <w:sz w:val="22"/>
          <w:szCs w:val="22"/>
        </w:rPr>
        <w:t xml:space="preserve">Product Designer</w:t>
      </w:r>
      <w:r>
        <w:rPr>
          <w:rFonts w:ascii="Calibri" w:cs="Calibri" w:eastAsia="Calibri" w:hAnsi="Calibri"/>
          <w:b/>
          <w:bCs/>
          <w:color w:val="6B47E6"/>
          <w:sz w:val="22"/>
          <w:szCs w:val="22"/>
        </w:rPr>
        <w:t xml:space="preserve">  ·  NTT DATA (FA Insurance)</w:t>
      </w:r>
      <w:r>
        <w:rPr>
          <w:rFonts w:ascii="Calibri" w:cs="Calibri" w:eastAsia="Calibri" w:hAnsi="Calibri"/>
          <w:color w:val="8A87A3"/>
          <w:sz w:val="18"/>
          <w:szCs w:val="18"/>
        </w:rPr>
        <w:t xml:space="preserve">	Dec 2021 – May 2023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8A87A3"/>
          <w:sz w:val="18"/>
          <w:szCs w:val="18"/>
        </w:rPr>
        <w:t xml:space="preserve">Bengaluru · Remote</w:t>
      </w:r>
    </w:p>
    <w:p>
      <w:pPr>
        <w:spacing w:after="60"/>
      </w:pPr>
      <w:r>
        <w:rPr>
          <w:rFonts w:ascii="Calibri" w:cs="Calibri" w:eastAsia="Calibri" w:hAnsi="Calibri"/>
          <w:color w:val="1B1738"/>
          <w:sz w:val="20"/>
          <w:szCs w:val="20"/>
        </w:rPr>
        <w:t xml:space="preserve">Delivered UX design across Policy Management, Claim Management, the API Platform and Client Tracker for global insurance clients.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76B"/>
          <w:sz w:val="20"/>
          <w:szCs w:val="20"/>
        </w:rPr>
        <w:t xml:space="preserve">Led UX for Policy and Claim Management workflows, plus the API Platform and Client Tracker modules, across multiple global insurers.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76B"/>
          <w:sz w:val="20"/>
          <w:szCs w:val="20"/>
        </w:rPr>
        <w:t xml:space="preserve">Simplified complex insurance workflows for insurer clients across North America, APAC and Europe.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76B"/>
          <w:sz w:val="20"/>
          <w:szCs w:val="20"/>
        </w:rPr>
        <w:t xml:space="preserve">Adapted UX patterns to regional regulatory and workflow requirements during large-scale platform implementations.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0F0A55"/>
          <w:sz w:val="19"/>
          <w:szCs w:val="19"/>
        </w:rPr>
        <w:t xml:space="preserve">Clients: </w:t>
      </w:r>
      <w:r>
        <w:rPr>
          <w:rFonts w:ascii="Calibri" w:cs="Calibri" w:eastAsia="Calibri" w:hAnsi="Calibri"/>
          <w:color w:val="4A476B"/>
          <w:sz w:val="19"/>
          <w:szCs w:val="19"/>
        </w:rPr>
        <w:t xml:space="preserve">Global P&amp;C and L&amp;A insurers across North America, APAC and Europe</w:t>
      </w:r>
    </w:p>
    <w:p>
      <w:pPr>
        <w:tabs>
          <w:tab w:val="right" w:pos="10466"/>
        </w:tabs>
        <w:spacing w:after="10" w:before="120"/>
      </w:pPr>
      <w:r>
        <w:rPr>
          <w:rFonts w:ascii="Calibri" w:cs="Calibri" w:eastAsia="Calibri" w:hAnsi="Calibri"/>
          <w:b/>
          <w:bCs/>
          <w:color w:val="0F0A55"/>
          <w:sz w:val="22"/>
          <w:szCs w:val="22"/>
        </w:rPr>
        <w:t xml:space="preserve">Product Designer</w:t>
      </w:r>
      <w:r>
        <w:rPr>
          <w:rFonts w:ascii="Calibri" w:cs="Calibri" w:eastAsia="Calibri" w:hAnsi="Calibri"/>
          <w:b/>
          <w:bCs/>
          <w:color w:val="6B47E6"/>
          <w:sz w:val="22"/>
          <w:szCs w:val="22"/>
        </w:rPr>
        <w:t xml:space="preserve">  ·  Majesco</w:t>
      </w:r>
      <w:r>
        <w:rPr>
          <w:rFonts w:ascii="Calibri" w:cs="Calibri" w:eastAsia="Calibri" w:hAnsi="Calibri"/>
          <w:color w:val="8A87A3"/>
          <w:sz w:val="18"/>
          <w:szCs w:val="18"/>
        </w:rPr>
        <w:t xml:space="preserve">	Oct 2018 – Dec 2021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8A87A3"/>
          <w:sz w:val="18"/>
          <w:szCs w:val="18"/>
        </w:rPr>
        <w:t xml:space="preserve">Mumbai · Hybrid · 3 yrs 3 mos</w:t>
      </w:r>
    </w:p>
    <w:p>
      <w:pPr>
        <w:spacing w:after="60"/>
      </w:pPr>
      <w:r>
        <w:rPr>
          <w:rFonts w:ascii="Calibri" w:cs="Calibri" w:eastAsia="Calibri" w:hAnsi="Calibri"/>
          <w:color w:val="1B1738"/>
          <w:sz w:val="20"/>
          <w:szCs w:val="20"/>
        </w:rPr>
        <w:t xml:space="preserve">Led UX across Majesco's cloud-based insurance suite — Policy Management, Claim Management, the API Platform and Client Tracker — spanning 5 products on an Agile PI planning cycle.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76B"/>
          <w:sz w:val="20"/>
          <w:szCs w:val="20"/>
        </w:rPr>
        <w:t xml:space="preserve">Built and scaled a multi-product design system across the 5-product suite, standardising UI patterns for Policy, Claims, API Platform and Client Tracker (Jul 2020 – Dec 2021).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76B"/>
          <w:sz w:val="20"/>
          <w:szCs w:val="20"/>
        </w:rPr>
        <w:t xml:space="preserve">Travelled onsite to the US to facilitate UX workshops with product owners and SMEs — defining user journeys, running usability sessions and influencing product strategy decisions.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76B"/>
          <w:sz w:val="20"/>
          <w:szCs w:val="20"/>
        </w:rPr>
        <w:t xml:space="preserve">Delivered PI-ready designs consistently ahead of development cycles, enabling faster QA and fewer late-stage changes.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76B"/>
          <w:sz w:val="20"/>
          <w:szCs w:val="20"/>
        </w:rPr>
        <w:t xml:space="preserve">Led discovery-to-delivery UX for 3 new product modules — journey mapping, wireframing, prototyping and handoff — and laid the early design-system foundations (Oct 2018 – Jul 2020).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0F0A55"/>
          <w:sz w:val="19"/>
          <w:szCs w:val="19"/>
        </w:rPr>
        <w:t xml:space="preserve">Products: </w:t>
      </w:r>
      <w:r>
        <w:rPr>
          <w:rFonts w:ascii="Calibri" w:cs="Calibri" w:eastAsia="Calibri" w:hAnsi="Calibri"/>
          <w:color w:val="4A476B"/>
          <w:sz w:val="19"/>
          <w:szCs w:val="19"/>
        </w:rPr>
        <w:t xml:space="preserve">Majesco Policy · Claims · API Platform · Client Tracker · Agent 360 — for P&amp;C and L&amp;A insurers</w:t>
      </w:r>
    </w:p>
    <w:p>
      <w:pPr>
        <w:tabs>
          <w:tab w:val="right" w:pos="10466"/>
        </w:tabs>
        <w:spacing w:after="10" w:before="120"/>
      </w:pPr>
      <w:r>
        <w:rPr>
          <w:rFonts w:ascii="Calibri" w:cs="Calibri" w:eastAsia="Calibri" w:hAnsi="Calibri"/>
          <w:b/>
          <w:bCs/>
          <w:color w:val="0F0A55"/>
          <w:sz w:val="22"/>
          <w:szCs w:val="22"/>
        </w:rPr>
        <w:t xml:space="preserve">Senior User Experience Designer</w:t>
      </w:r>
      <w:r>
        <w:rPr>
          <w:rFonts w:ascii="Calibri" w:cs="Calibri" w:eastAsia="Calibri" w:hAnsi="Calibri"/>
          <w:b/>
          <w:bCs/>
          <w:color w:val="6B47E6"/>
          <w:sz w:val="22"/>
          <w:szCs w:val="22"/>
        </w:rPr>
        <w:t xml:space="preserve">  ·  Cognizant</w:t>
      </w:r>
      <w:r>
        <w:rPr>
          <w:rFonts w:ascii="Calibri" w:cs="Calibri" w:eastAsia="Calibri" w:hAnsi="Calibri"/>
          <w:color w:val="8A87A3"/>
          <w:sz w:val="18"/>
          <w:szCs w:val="18"/>
        </w:rPr>
        <w:t xml:space="preserve">	Jun 2014 – Oct 2018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8A87A3"/>
          <w:sz w:val="18"/>
          <w:szCs w:val="18"/>
        </w:rPr>
        <w:t xml:space="preserve">Mumbai · 4 yrs 5 mos (UX Designer 2014–17, Senior UX Designer 2017–18)</w:t>
      </w:r>
    </w:p>
    <w:p>
      <w:pPr>
        <w:spacing w:after="60"/>
      </w:pPr>
      <w:r>
        <w:rPr>
          <w:rFonts w:ascii="Calibri" w:cs="Calibri" w:eastAsia="Calibri" w:hAnsi="Calibri"/>
          <w:color w:val="1B1738"/>
          <w:sz w:val="20"/>
          <w:szCs w:val="20"/>
        </w:rPr>
        <w:t xml:space="preserve">Led UX strategy and execution for banking and insurance clients across BFSI, Insurtech, Healthcare and Telecom engagements.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76B"/>
          <w:sz w:val="20"/>
          <w:szCs w:val="20"/>
        </w:rPr>
        <w:t xml:space="preserve">Led end-to-end UX engagements from discovery and research through MVP and POC delivery; facilitated design-thinking workshops and stakeholder alignment for multiple transformation programmes.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76B"/>
          <w:sz w:val="20"/>
          <w:szCs w:val="20"/>
        </w:rPr>
        <w:t xml:space="preserve">Contributed UX inputs to RFP proposals and pre-sales pitches, supporting new project wins in BFSI and Healthcare.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76B"/>
          <w:sz w:val="20"/>
          <w:szCs w:val="20"/>
        </w:rPr>
        <w:t xml:space="preserve">Simplified enterprise information architecture and workflow design across banking and insurance platforms; partnered with SMEs, business analysts and engineering leads.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4A476B"/>
          <w:sz w:val="20"/>
          <w:szCs w:val="20"/>
        </w:rPr>
        <w:t xml:space="preserve">Earlier: designed wireframes, user flows and high-fidelity UI for enterprise projects; supported research and usability testing with real users.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0F0A55"/>
          <w:sz w:val="19"/>
          <w:szCs w:val="19"/>
        </w:rPr>
        <w:t xml:space="preserve">Clients: </w:t>
      </w:r>
      <w:r>
        <w:rPr>
          <w:rFonts w:ascii="Calibri" w:cs="Calibri" w:eastAsia="Calibri" w:hAnsi="Calibri"/>
          <w:color w:val="4A476B"/>
          <w:sz w:val="19"/>
          <w:szCs w:val="19"/>
        </w:rPr>
        <w:t xml:space="preserve">Kotak Mahindra Bank · Prudential Insurance · ICICI Bank · Franklin Templeton</w:t>
      </w:r>
    </w:p>
    <w:p>
      <w:pPr>
        <w:pBdr>
          <w:bottom w:val="single" w:color="E6E3F2" w:sz="6" w:space="3"/>
        </w:pBdr>
        <w:spacing w:after="90" w:before="220"/>
      </w:pPr>
      <w:r>
        <w:rPr>
          <w:rFonts w:ascii="Calibri" w:cs="Calibri" w:eastAsia="Calibri" w:hAnsi="Calibri"/>
          <w:b/>
          <w:bCs/>
          <w:color w:val="6B47E6"/>
          <w:spacing w:val="40"/>
          <w:sz w:val="20"/>
          <w:szCs w:val="20"/>
        </w:rPr>
        <w:t xml:space="preserve">EARLIER EXPERIENCE</w:t>
      </w:r>
    </w:p>
    <w:p>
      <w:pPr>
        <w:spacing w:after="60"/>
      </w:pPr>
      <w:r>
        <w:rPr>
          <w:rFonts w:ascii="Calibri" w:cs="Calibri" w:eastAsia="Calibri" w:hAnsi="Calibri"/>
          <w:color w:val="4A476B"/>
          <w:sz w:val="20"/>
          <w:szCs w:val="20"/>
        </w:rPr>
        <w:t xml:space="preserve">Lead Designer, Grass Roots  ·  2013 – 2014      Sr. Web Visualizer, Inspira Enterprise  ·  2011 – 2013      Web Analyst, iGATE  ·  2008 – 2011      Senior Web Designer, Zwa Designs  ·  2007 – 2008</w:t>
      </w:r>
    </w:p>
    <w:p>
      <w:pPr>
        <w:pBdr>
          <w:bottom w:val="single" w:color="E6E3F2" w:sz="6" w:space="3"/>
        </w:pBdr>
        <w:spacing w:after="90" w:before="220"/>
      </w:pPr>
      <w:r>
        <w:rPr>
          <w:rFonts w:ascii="Calibri" w:cs="Calibri" w:eastAsia="Calibri" w:hAnsi="Calibri"/>
          <w:b/>
          <w:bCs/>
          <w:color w:val="6B47E6"/>
          <w:spacing w:val="40"/>
          <w:sz w:val="20"/>
          <w:szCs w:val="20"/>
        </w:rPr>
        <w:t xml:space="preserve">SELECTED WORK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0A55"/>
          <w:sz w:val="20"/>
          <w:szCs w:val="20"/>
        </w:rPr>
        <w:t xml:space="preserve">Phishing Simulation — LRN Catalyst: </w:t>
      </w:r>
      <w:r>
        <w:rPr>
          <w:rFonts w:ascii="Calibri" w:cs="Calibri" w:eastAsia="Calibri" w:hAnsi="Calibri"/>
          <w:color w:val="4A476B"/>
          <w:sz w:val="20"/>
          <w:szCs w:val="20"/>
        </w:rPr>
        <w:t xml:space="preserve">0 → 1 enterprise product: campaign workflow, 50+ template library, behaviour analytics.  </w:t>
      </w:r>
      <w:hyperlink w:history="1" r:id="rIdaelqj5_zqlyc8mwhz554f">
        <w:r>
          <w:rPr>
            <w:rFonts w:ascii="Calibri" w:cs="Calibri" w:eastAsia="Calibri" w:hAnsi="Calibri"/>
            <w:color w:val="6B47E6"/>
            <w:sz w:val="20"/>
            <w:szCs w:val="20"/>
            <w:u w:val="single"/>
          </w:rPr>
          <w:t xml:space="preserve">View case study</w:t>
        </w:r>
      </w:hyperlink>
    </w:p>
    <w:p>
      <w:pPr>
        <w:spacing w:after="60"/>
      </w:pPr>
      <w:r>
        <w:rPr>
          <w:rFonts w:ascii="Calibri" w:cs="Calibri" w:eastAsia="Calibri" w:hAnsi="Calibri"/>
          <w:b/>
          <w:bCs/>
          <w:color w:val="0F0A55"/>
          <w:sz w:val="20"/>
          <w:szCs w:val="20"/>
        </w:rPr>
        <w:t xml:space="preserve">Mirello — Fit-First Hiring Platform (POC): </w:t>
      </w:r>
      <w:r>
        <w:rPr>
          <w:rFonts w:ascii="Calibri" w:cs="Calibri" w:eastAsia="Calibri" w:hAnsi="Calibri"/>
          <w:color w:val="4A476B"/>
          <w:sz w:val="20"/>
          <w:szCs w:val="20"/>
        </w:rPr>
        <w:t xml:space="preserve">product strategy, design-system foundations and an accessible live demo built in one sprint with Claude AI.  </w:t>
      </w:r>
      <w:hyperlink w:history="1" r:id="rIdr0axyihy5uvjgmmicz6if">
        <w:r>
          <w:rPr>
            <w:rFonts w:ascii="Calibri" w:cs="Calibri" w:eastAsia="Calibri" w:hAnsi="Calibri"/>
            <w:color w:val="6B47E6"/>
            <w:sz w:val="20"/>
            <w:szCs w:val="20"/>
            <w:u w:val="single"/>
          </w:rPr>
          <w:t xml:space="preserve">View case study</w:t>
        </w:r>
      </w:hyperlink>
    </w:p>
    <w:p>
      <w:pPr>
        <w:pBdr>
          <w:bottom w:val="single" w:color="E6E3F2" w:sz="6" w:space="3"/>
        </w:pBdr>
        <w:spacing w:after="90" w:before="220"/>
      </w:pPr>
      <w:r>
        <w:rPr>
          <w:rFonts w:ascii="Calibri" w:cs="Calibri" w:eastAsia="Calibri" w:hAnsi="Calibri"/>
          <w:b/>
          <w:bCs/>
          <w:color w:val="6B47E6"/>
          <w:spacing w:val="40"/>
          <w:sz w:val="20"/>
          <w:szCs w:val="20"/>
        </w:rPr>
        <w:t xml:space="preserve">EDUCATION &amp; CERTIFICATIONS</w:t>
      </w:r>
    </w:p>
    <w:p>
      <w:pPr>
        <w:spacing w:after="60"/>
      </w:pPr>
      <w:r>
        <w:rPr>
          <w:rFonts w:ascii="Calibri" w:cs="Calibri" w:eastAsia="Calibri" w:hAnsi="Calibri"/>
          <w:color w:val="4A476B"/>
          <w:sz w:val="20"/>
          <w:szCs w:val="20"/>
        </w:rPr>
        <w:t xml:space="preserve">Bachelor of Commerce (Accounting) — The Global Open University, 2009 – 2011</w:t>
      </w:r>
    </w:p>
    <w:p>
      <w:pPr>
        <w:spacing w:after="60"/>
      </w:pPr>
      <w:r>
        <w:rPr>
          <w:rFonts w:ascii="Calibri" w:cs="Calibri" w:eastAsia="Calibri" w:hAnsi="Calibri"/>
          <w:color w:val="4A476B"/>
          <w:sz w:val="20"/>
          <w:szCs w:val="20"/>
        </w:rPr>
        <w:t xml:space="preserve">Certified Usability Analyst (CUA) — Human Factors International, 2011  ·  Core Programme in UX — Design Incubator, 2012</w:t>
      </w:r>
    </w:p>
    <w:p>
      <w:pPr>
        <w:spacing w:after="60"/>
      </w:pPr>
      <w:r>
        <w:rPr>
          <w:rFonts w:ascii="Calibri" w:cs="Calibri" w:eastAsia="Calibri" w:hAnsi="Calibri"/>
          <w:color w:val="4A476B"/>
          <w:sz w:val="20"/>
          <w:szCs w:val="20"/>
        </w:rPr>
        <w:t xml:space="preserve">UX for AI: Design Practices for AI Developers — LinkedIn Learning, 2025  ·  Data-Driven Product Research and Design — LinkedIn Learning, 2025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00" w:hanging="200"/>
      </w:pPr>
      <w:rPr>
        <w:b/>
        <w:bCs/>
        <w:color w:val="6B47E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q2akdzkgcrzavrmbqozp" Type="http://schemas.openxmlformats.org/officeDocument/2006/relationships/hyperlink" Target="https://www.linkedin.com/in/abhipatade/" TargetMode="External"/><Relationship Id="rIdinljbvayhz_fx6vg5tydy" Type="http://schemas.openxmlformats.org/officeDocument/2006/relationships/hyperlink" Target="https://abhipatade-creator.github.io/Portfolio2026/" TargetMode="External"/><Relationship Id="rIdaelqj5_zqlyc8mwhz554f" Type="http://schemas.openxmlformats.org/officeDocument/2006/relationships/hyperlink" Target="https://abhipatade-creator.github.io/Portfolio2026/work/phishing-simulation.html" TargetMode="External"/><Relationship Id="rIdr0axyihy5uvjgmmicz6if" Type="http://schemas.openxmlformats.org/officeDocument/2006/relationships/hyperlink" Target="https://abhipatade-creator.github.io/Portfolio2026/work/mirello.html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2026-09-08T16:58:57.872Z</dcterms:created>
  <dcterms:modified xsi:type="dcterms:W3CDTF">2026-09-08T16:58:57.883Z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