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DocMind AI: Multi-Tenant Architecture &amp; Vector Retrieval</w:t>
      </w:r>
    </w:p>
    <w:p>
      <w:pPr>
        <w:pStyle w:val="Heading1"/>
      </w:pPr>
      <w:r>
        <w:t>1. Abstract &amp; Scope</w:t>
      </w:r>
    </w:p>
    <w:p>
      <w:r>
        <w:t>DocMind AI provides semantic document question answering using dense vector retrieval. Each document is parsed, partitioned into token-bounded chunks, and mapped to immutable workspace indices using FAISS CPU.</w:t>
      </w:r>
    </w:p>
    <w:p>
      <w:pPr>
        <w:pStyle w:val="Heading1"/>
      </w:pPr>
      <w:r>
        <w:t>2. FAISS Index Performance</w:t>
      </w:r>
    </w:p>
    <w:p>
      <w:r>
        <w:t>The FAISS CPU engine uses normalized inner product computation (IndexFlatIP), achieving cosine similarity matching in approximately 45 milliseconds across thousands of passages.</w:t>
      </w:r>
    </w:p>
    <w:p>
      <w:pPr>
        <w:pStyle w:val="Heading1"/>
      </w:pPr>
      <w:r>
        <w:t>3. Benchmarking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Target SLA</w:t>
            </w:r>
          </w:p>
        </w:tc>
        <w:tc>
          <w:tcPr>
            <w:tcW w:type="dxa" w:w="2880"/>
          </w:tcPr>
          <w:p>
            <w:r>
              <w:t>Achieved (Sub-50ms)</w:t>
            </w:r>
          </w:p>
        </w:tc>
      </w:tr>
      <w:tr>
        <w:tc>
          <w:tcPr>
            <w:tcW w:type="dxa" w:w="2880"/>
          </w:tcPr>
          <w:p>
            <w:r>
              <w:t>FAISS CPU Retrieval</w:t>
            </w:r>
          </w:p>
        </w:tc>
        <w:tc>
          <w:tcPr>
            <w:tcW w:type="dxa" w:w="2880"/>
          </w:tcPr>
          <w:p>
            <w:r>
              <w:t>&lt; 100ms</w:t>
            </w:r>
          </w:p>
        </w:tc>
        <w:tc>
          <w:tcPr>
            <w:tcW w:type="dxa" w:w="2880"/>
          </w:tcPr>
          <w:p>
            <w:r>
              <w:t>45ms</w:t>
            </w:r>
          </w:p>
        </w:tc>
      </w:tr>
      <w:tr>
        <w:tc>
          <w:tcPr>
            <w:tcW w:type="dxa" w:w="2880"/>
          </w:tcPr>
          <w:p>
            <w:r>
              <w:t>APINEX TTFT</w:t>
            </w:r>
          </w:p>
        </w:tc>
        <w:tc>
          <w:tcPr>
            <w:tcW w:type="dxa" w:w="2880"/>
          </w:tcPr>
          <w:p>
            <w:r>
              <w:t>&lt; 2000ms</w:t>
            </w:r>
          </w:p>
        </w:tc>
        <w:tc>
          <w:tcPr>
            <w:tcW w:type="dxa" w:w="2880"/>
          </w:tcPr>
          <w:p>
            <w:r>
              <w:t>1200ms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