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/>
        </w:rPr>
        <w:t xml:space="preserve">Deliverable 2: Concrete dbt Model + schema.yml</w:t>
      </w:r>
    </w:p>
    <w:p>
      <w:pPr>
        <w:pStyle w:val="Subtitle"/>
      </w:pPr>
      <w:r>
        <w:rPr>
          <w:rFonts w:ascii="Calibri" w:hAnsi="Calibri"/>
        </w:rPr>
        <w:t xml:space="preserve">Full codebase: https://github.com/abhirampal16/merchant-settlement-reconciliation</w:t>
      </w:r>
    </w:p>
    <w:p>
      <w:pPr>
        <w:pStyle w:val="Heading1"/>
      </w:pPr>
      <w:r>
        <w:rPr>
          <w:rFonts w:ascii="Calibri" w:hAnsi="Calibri"/>
        </w:rPr>
        <w:t xml:space="preserve">Purpose</w:t>
      </w:r>
    </w:p>
    <w:p>
      <w:pPr>
        <w:pStyle w:val="Normal"/>
      </w:pPr>
      <w:r>
        <w:rPr>
          <w:rFonts w:ascii="Calibri" w:hAnsi="Calibri"/>
        </w:rPr>
        <w:t xml:space="preserve">Production-shaped daily Merchant Payable tie-out between signed merchant settlement activity and NetSuite GL account 2100. The model emits one row per posting_date, legal_entity, and currency with settlement_net, gl_net, variance, reconciliation status, and a deterministic evidence_hash.</w:t>
      </w:r>
    </w:p>
    <w:p>
      <w:pPr>
        <w:pStyle w:val="Heading1"/>
      </w:pPr>
      <w:r>
        <w:rPr>
          <w:rFonts w:ascii="Calibri" w:hAnsi="Calibri"/>
        </w:rPr>
        <w:t xml:space="preserve">Primary Artifacts</w:t>
      </w:r>
    </w:p>
    <w:tbl>
      <w:tblPr>
        <w:tblW w:w="9360" w:type="dxa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00"/>
        <w:gridCol w:w="5460"/>
      </w:tblGrid>
      <w:tr>
        <w:tc>
          <w:tcPr>
            <w:tcW w:w="39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Artifact</w:t>
            </w:r>
          </w:p>
        </w:tc>
        <w:tc>
          <w:tcPr>
            <w:tcW w:w="546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Role</w:t>
            </w:r>
          </w:p>
        </w:tc>
      </w:tr>
      <w:tr>
        <w:tc>
          <w:tcPr>
            <w:tcW w:w="3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models/subledger/audit_merchant_payable_tieout.sql</w:t>
            </w:r>
          </w:p>
        </w:tc>
        <w:tc>
          <w:tcPr>
            <w:tcW w:w="54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Concrete dbt model for the daily tie-out.</w:t>
            </w:r>
          </w:p>
        </w:tc>
      </w:tr>
      <w:tr>
        <w:tc>
          <w:tcPr>
            <w:tcW w:w="3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models/subledger/subledger.yml</w:t>
            </w:r>
          </w:p>
        </w:tc>
        <w:tc>
          <w:tcPr>
            <w:tcW w:w="54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Model metadata, tests, ownership, SLO, and audit-field descriptions.</w:t>
            </w:r>
          </w:p>
        </w:tc>
      </w:tr>
      <w:tr>
        <w:tc>
          <w:tcPr>
            <w:tcW w:w="3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macros/tests/test_valid_reconciliation_status.sql</w:t>
            </w:r>
          </w:p>
        </w:tc>
        <w:tc>
          <w:tcPr>
            <w:tcW w:w="54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Custom generic assertion for reconciliation classification correctness.</w:t>
            </w:r>
          </w:p>
        </w:tc>
      </w:tr>
    </w:tbl>
    <w:p>
      <w:pPr>
        <w:pStyle w:val="Heading1"/>
      </w:pPr>
      <w:r>
        <w:rPr>
          <w:rFonts w:ascii="Calibri" w:hAnsi="Calibri"/>
        </w:rPr>
        <w:t xml:space="preserve">Model Shape</w:t>
      </w:r>
    </w:p>
    <w:tbl>
      <w:tblPr>
        <w:tblW w:w="9360" w:type="dxa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Decision</w:t>
            </w:r>
          </w:p>
        </w:tc>
        <w:tc>
          <w:tcPr>
            <w:tcW w:w="676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Implementation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Grain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One row per posting_date, legal_entity, currency.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Settlement side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Aggregates signed_net_amount from fct_merchant_settlement_events. Reversals and chargebacks are negative signed events upstream.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GL side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Aggregates normalized NetSuite Merchant Payable account 2100 postings from int_gl_merchant_payable_entries.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Join strategy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Full outer join so MATCHED, AMOUNT_VARIANCE, GL_ONLY, and SETTLEMENT_ONLY rows are all visible.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Evidence hash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MD5 hash over stable business values, excluding runtime timestamps and invocation metadata.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AI triage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needs_investigation, investigation_priority, and deterministic_root_cause_hint support human review without automating certification.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 xml:space="preserve">Production Incremental Logic</w:t>
      </w:r>
    </w:p>
    <w:p>
      <w:pPr>
        <w:pStyle w:val="Normal"/>
      </w:pPr>
      <w:r>
        <w:rPr>
          <w:rFonts w:ascii="Calibri" w:hAnsi="Calibri"/>
        </w:rPr>
        <w:t xml:space="preserve">The local take-home materializes a DuckDB table for reproducibility. Production Snowflake shape would use incremental merge keyed by tieout_key, reprocessing a 16-day rolling window for the 14-day late-arriving settlement source.</w:t>
      </w:r>
    </w:p>
    <w:p>
      <w:pPr>
        <w:pStyle w:val="Code"/>
      </w:pPr>
      <w:r>
        <w:rPr>
          <w:rFonts w:ascii="Consolas" w:hAnsi="Consolas"/>
          <w:sz w:val="18"/>
        </w:rPr>
        <w:t xml:space="preserve">materialized = 'incremental', incremental_strategy = 'merge', unique_key = 'tieout_key'</w:t>
      </w:r>
    </w:p>
    <w:p>
      <w:pPr>
        <w:pStyle w:val="Code"/>
      </w:pPr>
      <w:r>
        <w:rPr>
          <w:rFonts w:ascii="Consolas" w:hAnsi="Consolas"/>
          <w:sz w:val="18"/>
        </w:rPr>
        <w:t xml:space="preserve">cluster_by = ['posting_date', 'legal_entity', 'currency']</w:t>
      </w:r>
    </w:p>
    <w:p>
      <w:pPr>
        <w:pStyle w:val="Code"/>
      </w:pPr>
      <w:r>
        <w:rPr>
          <w:rFonts w:ascii="Consolas" w:hAnsi="Consolas"/>
          <w:sz w:val="18"/>
        </w:rPr>
        <w:t xml:space="preserve">where accounting_date &gt;= dateadd(day, -16, current_date)</w:t>
      </w:r>
    </w:p>
    <w:p>
      <w:pPr>
        <w:pStyle w:val="Code"/>
      </w:pPr>
      <w:r>
        <w:rPr>
          <w:rFonts w:ascii="Consolas" w:hAnsi="Consolas"/>
          <w:sz w:val="18"/>
        </w:rPr>
        <w:t xml:space="preserve">where posting_date &gt;= dateadd(day, -16, current_date)</w:t>
      </w:r>
    </w:p>
    <w:p>
      <w:pPr>
        <w:pStyle w:val="Heading1"/>
      </w:pPr>
      <w:r>
        <w:rPr>
          <w:rFonts w:ascii="Calibri" w:hAnsi="Calibri"/>
        </w:rPr>
        <w:t xml:space="preserve">schema.yml Coverage</w:t>
      </w:r>
    </w:p>
    <w:tbl>
      <w:tblPr>
        <w:tblW w:w="9360" w:type="dxa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Requirement</w:t>
            </w:r>
          </w:p>
        </w:tc>
        <w:tc>
          <w:tcPr>
            <w:tcW w:w="676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Coverage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Tests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Unique tie-out grain, unique/non-null tieout_key, accepted values, not-null audit fields, and custom valid_reconciliation_status test.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Metadata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owner = finance_data_platform, certification_level = SOX_evidence_candidate, slo = daily_by_08_00_local_time.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Audit columns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Descriptions for evidence_hash, dbt_loaded_at, dbt_invocation_id, certification_status, triage fields, and activity counts.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 xml:space="preserve">Sample Output From Dummy Data</w:t>
      </w:r>
    </w:p>
    <w:tbl>
      <w:tblPr>
        <w:tblW w:w="9360" w:type="dxa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20"/>
        <w:gridCol w:w="1700"/>
        <w:gridCol w:w="900"/>
        <w:gridCol w:w="1220"/>
        <w:gridCol w:w="1000"/>
        <w:gridCol w:w="1000"/>
        <w:gridCol w:w="1500"/>
        <w:gridCol w:w="820"/>
      </w:tblGrid>
      <w:tr>
        <w:tc>
          <w:tcPr>
            <w:tcW w:w="122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posting_date</w:t>
            </w:r>
          </w:p>
        </w:tc>
        <w:tc>
          <w:tcPr>
            <w:tcW w:w="17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legal_entity</w:t>
            </w:r>
          </w:p>
        </w:tc>
        <w:tc>
          <w:tcPr>
            <w:tcW w:w="9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currency</w:t>
            </w:r>
          </w:p>
        </w:tc>
        <w:tc>
          <w:tcPr>
            <w:tcW w:w="122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settlement_net</w:t>
            </w:r>
          </w:p>
        </w:tc>
        <w:tc>
          <w:tcPr>
            <w:tcW w:w="10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gl_net</w:t>
            </w:r>
          </w:p>
        </w:tc>
        <w:tc>
          <w:tcPr>
            <w:tcW w:w="10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variance</w:t>
            </w:r>
          </w:p>
        </w:tc>
        <w:tc>
          <w:tcPr>
            <w:tcW w:w="15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status</w:t>
            </w:r>
          </w:p>
        </w:tc>
        <w:tc>
          <w:tcPr>
            <w:tcW w:w="82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priority</w:t>
            </w:r>
          </w:p>
        </w:tc>
      </w:tr>
      <w:tr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2026-05-01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FinCo Canada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CAD</w:t>
            </w:r>
          </w:p>
        </w:tc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725.00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725.00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0.00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MATCHED</w:t>
            </w:r>
          </w:p>
        </w:tc>
        <w:tc>
          <w:tcPr>
            <w:tcW w:w="8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LOW</w:t>
            </w:r>
          </w:p>
        </w:tc>
      </w:tr>
      <w:tr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2026-05-01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FinCo UK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GBP</w:t>
            </w:r>
          </w:p>
        </w:tc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300.00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300.00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0.00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MATCHED</w:t>
            </w:r>
          </w:p>
        </w:tc>
        <w:tc>
          <w:tcPr>
            <w:tcW w:w="8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LOW</w:t>
            </w:r>
          </w:p>
        </w:tc>
      </w:tr>
      <w:tr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2026-05-01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FinCo US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USD</w:t>
            </w:r>
          </w:p>
        </w:tc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1300.00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1300.00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0.00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MATCHED</w:t>
            </w:r>
          </w:p>
        </w:tc>
        <w:tc>
          <w:tcPr>
            <w:tcW w:w="8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LOW</w:t>
            </w:r>
          </w:p>
        </w:tc>
      </w:tr>
      <w:tr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2026-05-02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FinCo Canada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CAD</w:t>
            </w:r>
          </w:p>
        </w:tc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800.00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750.00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50.00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AMOUNT_VARIANCE</w:t>
            </w:r>
          </w:p>
        </w:tc>
        <w:tc>
          <w:tcPr>
            <w:tcW w:w="8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</w:tr>
      <w:tr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2026-05-02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FinCo UK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GBP</w:t>
            </w:r>
          </w:p>
        </w:tc>
        <w:tc>
          <w:tcPr>
            <w:tcW w:w="12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150.00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-150.00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GL_ONLY</w:t>
            </w:r>
          </w:p>
        </w:tc>
        <w:tc>
          <w:tcPr>
            <w:tcW w:w="82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HIGH</w:t>
            </w:r>
          </w:p>
        </w:tc>
      </w:tr>
    </w:tbl>
    <w:p>
      <w:pPr>
        <w:pStyle w:val="Heading1"/>
      </w:pPr>
      <w:r>
        <w:rPr>
          <w:rFonts w:ascii="Calibri" w:hAnsi="Calibri"/>
        </w:rPr>
        <w:t xml:space="preserve">Validation</w:t>
      </w:r>
    </w:p>
    <w:tbl>
      <w:tblPr>
        <w:tblW w:w="9360" w:type="dxa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0"/>
        <w:gridCol w:w="5760"/>
      </w:tblGrid>
      <w:tr>
        <w:tc>
          <w:tcPr>
            <w:tcW w:w="360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Check</w:t>
            </w:r>
          </w:p>
        </w:tc>
        <w:tc>
          <w:tcPr>
            <w:tcW w:w="5760" w:type="dxa"/>
            <w:shd w:fill="E8EEF5"/>
          </w:tcPr>
          <w:p>
            <w:pPr>
              <w:pStyle w:val="TableText"/>
            </w:pPr>
            <w:r>
              <w:rPr>
                <w:b/>
                <w:rFonts w:ascii="Calibri" w:hAnsi="Calibri"/>
                <w:sz w:val="18"/>
              </w:rPr>
              <w:t xml:space="preserve">Expected result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dbt build --no-version-check --profiles-dir .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PASS=112 WARN=0 ERROR=0 SKIP=0 TOTAL=112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dbt show --select idempotency_fingerprint</w:t>
            </w:r>
          </w:p>
        </w:tc>
        <w:tc>
          <w:tcPr>
            <w:tcW w:w="5760" w:type="dxa"/>
          </w:tcPr>
          <w:p>
            <w:pPr>
              <w:pStyle w:val="TableText"/>
            </w:pPr>
            <w:r>
              <w:rPr>
                <w:rFonts w:ascii="Calibri" w:hAnsi="Calibri"/>
                <w:sz w:val="18"/>
              </w:rPr>
              <w:t xml:space="preserve">row_count = 6 and stable output_fingerprint for unchanged inputs</w:t>
            </w:r>
          </w:p>
        </w:tc>
      </w:tr>
    </w:tbl>
    <w:p>
      <w:pPr>
        <w:pStyle w:val="Heading1"/>
      </w:pPr>
      <w:r>
        <w:rPr>
          <w:rFonts w:ascii="Calibri" w:hAnsi="Calibri"/>
        </w:rPr>
        <w:t xml:space="preserve">Assumption</w:t>
      </w:r>
    </w:p>
    <w:p>
      <w:pPr>
        <w:pStyle w:val="Normal"/>
      </w:pPr>
      <w:r>
        <w:rPr>
          <w:rFonts w:ascii="Calibri" w:hAnsi="Calibri"/>
        </w:rPr>
        <w:t xml:space="preserve">This document summarizes Deliverable 2. The executable source of truth remains the dbt project linked above.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  <w:color w:val="111111"/>
    </w:rPr>
  </w:style>
  <w:style w:type="paragraph" w:styleId="Title">
    <w:name w:val="Title"/>
    <w:qFormat/>
    <w:pPr>
      <w:spacing w:after="120"/>
    </w:pPr>
    <w:rPr>
      <w:rFonts w:ascii="Calibri" w:hAnsi="Calibri"/>
      <w:b/>
      <w:sz w:val="36"/>
      <w:color w:val="0B2545"/>
    </w:rPr>
  </w:style>
  <w:style w:type="paragraph" w:styleId="Subtitle">
    <w:name w:val="Subtitle"/>
    <w:qFormat/>
    <w:pPr>
      <w:spacing w:after="160"/>
    </w:pPr>
    <w:rPr>
      <w:rFonts w:ascii="Calibri" w:hAnsi="Calibri"/>
      <w:sz w:val="20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220" w:after="80"/>
    </w:pPr>
    <w:rPr>
      <w:rFonts w:ascii="Calibri" w:hAnsi="Calibri"/>
      <w:b/>
      <w:sz w:val="28"/>
      <w:color w:val="2E74B5"/>
    </w:rPr>
  </w:style>
  <w:style w:type="paragraph" w:styleId="TableText">
    <w:name w:val="Table Text"/>
    <w:pPr>
      <w:spacing w:after="0" w:line="240" w:lineRule="auto"/>
    </w:pPr>
    <w:rPr>
      <w:rFonts w:ascii="Calibri" w:hAnsi="Calibri"/>
      <w:sz w:val="18"/>
    </w:rPr>
  </w:style>
  <w:style w:type="paragraph" w:styleId="Code">
    <w:name w:val="Code"/>
    <w:pPr>
      <w:spacing w:before="20" w:after="40" w:line="240" w:lineRule="auto"/>
      <w:ind w:left="240"/>
    </w:pPr>
    <w:rPr>
      <w:rFonts w:ascii="Consolas" w:hAnsi="Consolas"/>
      <w:sz w:val="18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2: Concrete dbt Model and schema.yml</dc:title>
  <dc:creator>Codex</dc:creator>
  <cp:lastModifiedBy>Codex</cp:lastModifiedBy>
  <dcterms:created xsi:type="dcterms:W3CDTF">2026-06-03T01:36:07Z</dcterms:created>
  <dcterms:modified xsi:type="dcterms:W3CDTF">2026-06-03T01:36:07Z</dcterms:modified>
</cp:coreProperties>
</file>