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40"/>
      </w:pPr>
      <w:r>
        <w:rPr>
          <w:rFonts w:ascii="Arial" w:cs="Arial" w:eastAsia="Arial" w:hAnsi="Arial"/>
          <w:b/>
          <w:bCs/>
          <w:color w:val="1F3864"/>
          <w:sz w:val="52"/>
          <w:szCs w:val="52"/>
        </w:rPr>
        <w:t xml:space="preserve">Columbus State Bank</w:t>
      </w:r>
    </w:p>
    <w:p>
      <w:pPr>
        <w:spacing w:before="0" w:after="40"/>
      </w:pPr>
      <w:r>
        <w:rPr>
          <w:rFonts w:ascii="Arial" w:cs="Arial" w:eastAsia="Arial" w:hAnsi="Arial"/>
          <w:b w:val="false"/>
          <w:bCs w:val="false"/>
          <w:color w:val="2E75B6"/>
          <w:sz w:val="36"/>
          <w:szCs w:val="36"/>
        </w:rPr>
        <w:t xml:space="preserve">Livestock Auction Settlement Platform</w:t>
      </w:r>
    </w:p>
    <w:p>
      <w:pPr>
        <w:pBdr>
          <w:bottom w:val="single" w:color="2E75B6" w:sz="6" w:space="1"/>
        </w:pBdr>
        <w:spacing w:before="80" w:after="80"/>
      </w:pPr>
    </w:p>
    <w:p>
      <w:pPr>
        <w:spacing w:before="60" w:after="20"/>
      </w:pPr>
      <w:r>
        <w:rPr>
          <w:rFonts w:ascii="Arial" w:cs="Arial" w:eastAsia="Arial" w:hAnsi="Arial"/>
          <w:b/>
          <w:bCs/>
          <w:color w:val="1F3864"/>
          <w:sz w:val="26"/>
          <w:szCs w:val="26"/>
        </w:rPr>
        <w:t xml:space="preserve">Stage 3: Market Sizing — TAM, SAM &amp; SOM Analysis</w:t>
      </w:r>
    </w:p>
    <w:p>
      <w:pPr>
        <w:spacing w:before="0" w:after="200"/>
      </w:pPr>
      <w:r>
        <w:rPr>
          <w:rFonts w:ascii="Arial" w:cs="Arial" w:eastAsia="Arial" w:hAnsi="Arial"/>
          <w:color w:val="595959"/>
          <w:sz w:val="18"/>
          <w:szCs w:val="18"/>
        </w:rPr>
        <w:t xml:space="preserve">Prepared for CSB Leadership  |  Group 6 Capstone  |  March 2026</w:t>
      </w:r>
    </w:p>
    <w:p>
      <w:pPr>
        <w:pStyle w:val="Heading1"/>
        <w:spacing w:before="280" w:after="120"/>
      </w:pPr>
      <w:r>
        <w:rPr>
          <w:rFonts w:ascii="Arial" w:cs="Arial" w:eastAsia="Arial" w:hAnsi="Arial"/>
          <w:b/>
          <w:bCs/>
          <w:color w:val="1F3864"/>
          <w:sz w:val="28"/>
          <w:szCs w:val="28"/>
        </w:rPr>
        <w:t xml:space="preserve">1. Executive Summary</w:t>
      </w:r>
    </w:p>
    <w:p>
      <w:pPr>
        <w:spacing w:before="0" w:after="120" w:line="276"/>
        <w:jc w:val="left"/>
      </w:pPr>
      <w:r>
        <w:rPr>
          <w:rFonts w:ascii="Arial" w:cs="Arial" w:eastAsia="Arial" w:hAnsi="Arial"/>
          <w:b w:val="false"/>
          <w:bCs w:val="false"/>
          <w:i w:val="false"/>
          <w:iCs w:val="false"/>
          <w:color w:val="000000"/>
          <w:sz w:val="20"/>
          <w:szCs w:val="20"/>
        </w:rPr>
        <w:t xml:space="preserve">This report presents the Stage 3 market sizing analysis for the proposed Columbus State Bank (CSB) digital livestock auction settlement platform. Using transaction data collected from 26 Texas auction barns across January 2024 through March 2026, we construct a bottom-up estimate of the Total Addressable Market (TAM), narrow it to the Serviceable Available Market (SAM) within CSB's geographic footprint, and model three Serviceable Obtainable Market (SOM) scenarios based on realistic adoption rates.</w:t>
      </w:r>
    </w:p>
    <w:p>
      <w:pPr>
        <w:spacing w:before="0" w:after="200" w:line="276"/>
        <w:jc w:val="left"/>
      </w:pPr>
      <w:r>
        <w:rPr>
          <w:rFonts w:ascii="Arial" w:cs="Arial" w:eastAsia="Arial" w:hAnsi="Arial"/>
          <w:b w:val="false"/>
          <w:bCs w:val="false"/>
          <w:i w:val="false"/>
          <w:iCs w:val="false"/>
          <w:color w:val="000000"/>
          <w:sz w:val="20"/>
          <w:szCs w:val="20"/>
        </w:rPr>
        <w:t xml:space="preserve">The analysis establishes that the livestock auction settlement market in Texas represents a meaningful financial opportunity. The TAM is estimated at approximately $5.9 billion in annual livestock transaction volume. The SAM for CSB, constrained by geography and operational capacity, ranges from $2.7 billion to $3.7 billion. Even under conservative assumptions, a 5% market penetration represents $160 million in annual transaction flow, while the base case of 15% penetration reaches $480 million.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Total Addressable Market (TAM)</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8"/>
                <w:szCs w:val="18"/>
              </w:rPr>
              <w:t xml:space="preserve">~$5.9 Billion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Serviceable Available Market (SAM)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8"/>
                <w:szCs w:val="18"/>
              </w:rPr>
              <w:t xml:space="preserve">$2.7B – $3.7B</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SOM — Conservative (5%)</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8"/>
                <w:szCs w:val="18"/>
              </w:rPr>
              <w:t xml:space="preserve">~$160 Million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SOM — Base Case (15%)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8"/>
                <w:szCs w:val="18"/>
              </w:rPr>
              <w:t xml:space="preserve">~$480 Million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SOM — Optimistic (25%)</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8"/>
                <w:szCs w:val="18"/>
              </w:rPr>
              <w:t xml:space="preserve">~$800 Million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Observed annual volume (26 barns)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8"/>
                <w:szCs w:val="18"/>
              </w:rPr>
              <w:t xml:space="preserve">$1.63 Billion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Median annual volume per barn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8"/>
                <w:szCs w:val="18"/>
              </w:rPr>
              <w:t xml:space="preserve">$45.7 Million</w:t>
            </w:r>
          </w:p>
        </w:tc>
      </w:tr>
    </w:tbl>
    <w:p>
      <w:pPr>
        <w:spacing w:before="0" w:after="120" w:line="276"/>
        <w:jc w:val="left"/>
      </w:pPr>
      <w:r>
        <w:rPr>
          <w:rFonts w:ascii="Arial" w:cs="Arial" w:eastAsia="Arial" w:hAnsi="Arial"/>
          <w:b w:val="false"/>
          <w:bCs w:val="false"/>
          <w:i w:val="false"/>
          <w:iCs w:val="false"/>
          <w:color w:val="000000"/>
          <w:sz w:val="20"/>
          <w:szCs w:val="20"/>
        </w:rPr>
        <w:t xml:space="preserve"/>
      </w:r>
    </w:p>
    <w:p>
      <w:pPr>
        <w:spacing w:before="0" w:after="120" w:line="276"/>
        <w:jc w:val="left"/>
      </w:pPr>
      <w:r>
        <w:rPr>
          <w:rFonts w:ascii="Arial" w:cs="Arial" w:eastAsia="Arial" w:hAnsi="Arial"/>
          <w:b w:val="false"/>
          <w:bCs w:val="false"/>
          <w:i/>
          <w:iCs/>
          <w:color w:val="595959"/>
          <w:sz w:val="18"/>
          <w:szCs w:val="18"/>
        </w:rPr>
        <w:t xml:space="preserve">Note: All dollar volumes represent annual livestock transaction flows through auction barns — not CSB revenue. Revenue and economic value modeling (payment rails, float income, embedded credit) is addressed in Stage 4.</w:t>
      </w:r>
    </w:p>
    <w:p>
      <w:r>
        <w:br w:type="page"/>
      </w:r>
    </w:p>
    <w:p>
      <w:pPr>
        <w:pStyle w:val="Heading1"/>
        <w:spacing w:before="280" w:after="120"/>
      </w:pPr>
      <w:r>
        <w:rPr>
          <w:rFonts w:ascii="Arial" w:cs="Arial" w:eastAsia="Arial" w:hAnsi="Arial"/>
          <w:b/>
          <w:bCs/>
          <w:color w:val="1F3864"/>
          <w:sz w:val="28"/>
          <w:szCs w:val="28"/>
        </w:rPr>
        <w:t xml:space="preserve">2. Data &amp; Methodology</w:t>
      </w:r>
    </w:p>
    <w:p>
      <w:pPr>
        <w:pStyle w:val="Heading2"/>
        <w:spacing w:before="200" w:after="80"/>
      </w:pPr>
      <w:r>
        <w:rPr>
          <w:rFonts w:ascii="Arial" w:cs="Arial" w:eastAsia="Arial" w:hAnsi="Arial"/>
          <w:b/>
          <w:bCs/>
          <w:color w:val="2E75B6"/>
          <w:sz w:val="22"/>
          <w:szCs w:val="22"/>
        </w:rPr>
        <w:t xml:space="preserve">2.1 Data Sources</w:t>
      </w:r>
    </w:p>
    <w:p>
      <w:pPr>
        <w:spacing w:before="0" w:after="120" w:line="276"/>
        <w:jc w:val="left"/>
      </w:pPr>
      <w:r>
        <w:rPr>
          <w:rFonts w:ascii="Arial" w:cs="Arial" w:eastAsia="Arial" w:hAnsi="Arial"/>
          <w:b w:val="false"/>
          <w:bCs w:val="false"/>
          <w:i w:val="false"/>
          <w:iCs w:val="false"/>
          <w:color w:val="000000"/>
          <w:sz w:val="20"/>
          <w:szCs w:val="20"/>
        </w:rPr>
        <w:t xml:space="preserve">Market sizing is anchored to proprietary transaction data collected from USDA AMS Livestock Market News and the Texas Department of Agriculture Market News program. The dataset spans January 2024 through March 2026 and covers 44 unique Texas auction barns, of which 26 maintained sufficient data coverage (5 or more weeks of sale records) to produce reliable barn-level estimates.</w:t>
      </w:r>
    </w:p>
    <w:p>
      <w:pPr>
        <w:pStyle w:val="ListParagraph"/>
        <w:numPr>
          <w:ilvl w:val="0"/>
          <w:numId w:val="2"/>
        </w:numPr>
        <w:spacing w:before="0" w:after="80" w:line="276"/>
      </w:pPr>
      <w:r>
        <w:rPr>
          <w:rFonts w:ascii="Arial" w:cs="Arial" w:eastAsia="Arial" w:hAnsi="Arial"/>
          <w:color w:val="000000"/>
          <w:sz w:val="20"/>
          <w:szCs w:val="20"/>
        </w:rPr>
        <w:t xml:space="preserve">Data source: USDA AMS Livestock, Poultry &amp; Grain Market News — mymarketnews.ams.usda.gov</w:t>
      </w:r>
    </w:p>
    <w:p>
      <w:pPr>
        <w:pStyle w:val="ListParagraph"/>
        <w:numPr>
          <w:ilvl w:val="0"/>
          <w:numId w:val="2"/>
        </w:numPr>
        <w:spacing w:before="0" w:after="80" w:line="276"/>
      </w:pPr>
      <w:r>
        <w:rPr>
          <w:rFonts w:ascii="Arial" w:cs="Arial" w:eastAsia="Arial" w:hAnsi="Arial"/>
          <w:color w:val="000000"/>
          <w:sz w:val="20"/>
          <w:szCs w:val="20"/>
        </w:rPr>
        <w:t xml:space="preserve">Coverage: 915 weekly sale records across 44 TX barns; Jan 2024 – Mar 2026</w:t>
      </w:r>
    </w:p>
    <w:p>
      <w:pPr>
        <w:pStyle w:val="ListParagraph"/>
        <w:numPr>
          <w:ilvl w:val="0"/>
          <w:numId w:val="2"/>
        </w:numPr>
        <w:spacing w:before="0" w:after="80" w:line="276"/>
      </w:pPr>
      <w:r>
        <w:rPr>
          <w:rFonts w:ascii="Arial" w:cs="Arial" w:eastAsia="Arial" w:hAnsi="Arial"/>
          <w:color w:val="000000"/>
          <w:sz w:val="20"/>
          <w:szCs w:val="20"/>
        </w:rPr>
        <w:t xml:space="preserve">Price units: Normalized to $/head using the EDA's unit detection rule (median Steer_400-500_Low &lt; $50 indicates $/lb reporting, converted at ×100; $/cwt barns converted at 450 lb average live weight)</w:t>
      </w:r>
    </w:p>
    <w:p>
      <w:pPr>
        <w:pStyle w:val="ListParagraph"/>
        <w:numPr>
          <w:ilvl w:val="0"/>
          <w:numId w:val="2"/>
        </w:numPr>
        <w:spacing w:before="0" w:after="80" w:line="276"/>
      </w:pPr>
      <w:r>
        <w:rPr>
          <w:rFonts w:ascii="Arial" w:cs="Arial" w:eastAsia="Arial" w:hAnsi="Arial"/>
          <w:color w:val="000000"/>
          <w:sz w:val="20"/>
          <w:szCs w:val="20"/>
        </w:rPr>
        <w:t xml:space="preserve">Reliability filter: 5+ weeks of data required for inclusion in volume estimates</w:t>
      </w:r>
    </w:p>
    <w:p>
      <w:pPr>
        <w:spacing w:before="0" w:after="120" w:line="276"/>
        <w:jc w:val="left"/>
      </w:pPr>
      <w:r>
        <w:rPr>
          <w:rFonts w:ascii="Arial" w:cs="Arial" w:eastAsia="Arial" w:hAnsi="Arial"/>
          <w:b w:val="false"/>
          <w:bCs w:val="false"/>
          <w:i w:val="false"/>
          <w:iCs w:val="false"/>
          <w:color w:val="000000"/>
          <w:sz w:val="20"/>
          <w:szCs w:val="20"/>
        </w:rPr>
        <w:t xml:space="preserve"/>
      </w:r>
    </w:p>
    <w:p>
      <w:pPr>
        <w:pStyle w:val="Heading2"/>
        <w:spacing w:before="200" w:after="80"/>
      </w:pPr>
      <w:r>
        <w:rPr>
          <w:rFonts w:ascii="Arial" w:cs="Arial" w:eastAsia="Arial" w:hAnsi="Arial"/>
          <w:b/>
          <w:bCs/>
          <w:color w:val="2E75B6"/>
          <w:sz w:val="22"/>
          <w:szCs w:val="22"/>
        </w:rPr>
        <w:t xml:space="preserve">2.2 Per-Barn Annual Volume Estimation</w:t>
      </w:r>
    </w:p>
    <w:p>
      <w:pPr>
        <w:spacing w:before="0" w:after="80" w:line="276"/>
        <w:jc w:val="left"/>
      </w:pPr>
      <w:r>
        <w:rPr>
          <w:rFonts w:ascii="Arial" w:cs="Arial" w:eastAsia="Arial" w:hAnsi="Arial"/>
          <w:b w:val="false"/>
          <w:bCs w:val="false"/>
          <w:i w:val="false"/>
          <w:iCs w:val="false"/>
          <w:color w:val="000000"/>
          <w:sz w:val="20"/>
          <w:szCs w:val="20"/>
        </w:rPr>
        <w:t xml:space="preserve">For each qualifying barn, annual dollar volume is estimated as:</w:t>
      </w:r>
    </w:p>
    <w:p>
      <w:pPr>
        <w:spacing w:before="0" w:after="120" w:line="276"/>
        <w:jc w:val="center"/>
      </w:pPr>
      <w:r>
        <w:rPr>
          <w:rFonts w:ascii="Arial" w:cs="Arial" w:eastAsia="Arial" w:hAnsi="Arial"/>
          <w:b/>
          <w:bCs/>
          <w:i w:val="false"/>
          <w:iCs w:val="false"/>
          <w:color w:val="000000"/>
          <w:sz w:val="20"/>
          <w:szCs w:val="20"/>
        </w:rPr>
        <w:t xml:space="preserve">Annual Volume = Avg. Weekly Head Count × 52 weeks × Median Price per Head</w:t>
      </w:r>
    </w:p>
    <w:p>
      <w:pPr>
        <w:spacing w:before="0" w:after="120" w:line="276"/>
        <w:jc w:val="left"/>
      </w:pPr>
      <w:r>
        <w:rPr>
          <w:rFonts w:ascii="Arial" w:cs="Arial" w:eastAsia="Arial" w:hAnsi="Arial"/>
          <w:b w:val="false"/>
          <w:bCs w:val="false"/>
          <w:i w:val="false"/>
          <w:iCs w:val="false"/>
          <w:color w:val="000000"/>
          <w:sz w:val="20"/>
          <w:szCs w:val="20"/>
        </w:rPr>
        <w:t xml:space="preserve">This produces a conservative directional estimate. Head count data was available for 841 of 913 records (92%). Missing head counts were not imputed — barns with insufficient head count data were excluded from volume calculations to avoid upward bias.</w:t>
      </w:r>
    </w:p>
    <w:p>
      <w:pPr>
        <w:pStyle w:val="Heading2"/>
        <w:spacing w:before="200" w:after="80"/>
      </w:pPr>
      <w:r>
        <w:rPr>
          <w:rFonts w:ascii="Arial" w:cs="Arial" w:eastAsia="Arial" w:hAnsi="Arial"/>
          <w:b/>
          <w:bCs/>
          <w:color w:val="2E75B6"/>
          <w:sz w:val="22"/>
          <w:szCs w:val="22"/>
        </w:rPr>
        <w:t xml:space="preserve">2.3 TAM Construction</w:t>
      </w:r>
    </w:p>
    <w:p>
      <w:pPr>
        <w:spacing w:before="0" w:after="120" w:line="276"/>
        <w:jc w:val="left"/>
      </w:pPr>
      <w:r>
        <w:rPr>
          <w:rFonts w:ascii="Arial" w:cs="Arial" w:eastAsia="Arial" w:hAnsi="Arial"/>
          <w:b w:val="false"/>
          <w:bCs w:val="false"/>
          <w:i w:val="false"/>
          <w:iCs w:val="false"/>
          <w:color w:val="000000"/>
          <w:sz w:val="20"/>
          <w:szCs w:val="20"/>
        </w:rPr>
        <w:t xml:space="preserve">The TAM is constructed bottom-up from observed data rather than top-down from industry reports. The 26 reliable barns in the dataset account for $1.63 billion in estimated annual volume. The remaining approximately 154 Texas barns not captured in the dataset are scaled at 60% of the observed median ($45.7M), reflecting the expectation that unobserved barns skew smaller and less active than those appearing in USDA reporting.</w:t>
      </w:r>
    </w:p>
    <w:p>
      <w:pPr>
        <w:pStyle w:val="Heading2"/>
        <w:spacing w:before="200" w:after="80"/>
      </w:pPr>
      <w:r>
        <w:rPr>
          <w:rFonts w:ascii="Arial" w:cs="Arial" w:eastAsia="Arial" w:hAnsi="Arial"/>
          <w:b/>
          <w:bCs/>
          <w:color w:val="2E75B6"/>
          <w:sz w:val="22"/>
          <w:szCs w:val="22"/>
        </w:rPr>
        <w:t xml:space="preserve">2.4 SAM &amp; SOM Definition</w:t>
      </w:r>
    </w:p>
    <w:p>
      <w:pPr>
        <w:spacing w:before="0" w:after="120" w:line="276"/>
        <w:jc w:val="left"/>
      </w:pPr>
      <w:r>
        <w:rPr>
          <w:rFonts w:ascii="Arial" w:cs="Arial" w:eastAsia="Arial" w:hAnsi="Arial"/>
          <w:b w:val="false"/>
          <w:bCs w:val="false"/>
          <w:i w:val="false"/>
          <w:iCs w:val="false"/>
          <w:color w:val="000000"/>
          <w:sz w:val="20"/>
          <w:szCs w:val="20"/>
        </w:rPr>
        <w:t xml:space="preserve">The SAM is defined as the subset of Texas barns within CSB's realistic geographic service area — estimated at 60 to 80 barns based on CSB's community banking footprint and operational capacity. SOM scenarios model 5%, 15%, and 25% penetration of the SAM midpoint ($3.2B) over a 3-year horizon, consistent with typical fintech and community bank digital product adoption curves.</w:t>
      </w:r>
    </w:p>
    <w:p>
      <w:pPr>
        <w:pStyle w:val="Heading1"/>
        <w:spacing w:before="280" w:after="120"/>
      </w:pPr>
      <w:r>
        <w:rPr>
          <w:rFonts w:ascii="Arial" w:cs="Arial" w:eastAsia="Arial" w:hAnsi="Arial"/>
          <w:b/>
          <w:bCs/>
          <w:color w:val="1F3864"/>
          <w:sz w:val="28"/>
          <w:szCs w:val="28"/>
        </w:rPr>
        <w:t xml:space="preserve">3. Texas Auction Barn Market Segmentation</w:t>
      </w:r>
    </w:p>
    <w:p>
      <w:pPr>
        <w:spacing w:before="0" w:after="160" w:line="276"/>
        <w:jc w:val="left"/>
      </w:pPr>
      <w:r>
        <w:rPr>
          <w:rFonts w:ascii="Arial" w:cs="Arial" w:eastAsia="Arial" w:hAnsi="Arial"/>
          <w:b w:val="false"/>
          <w:bCs w:val="false"/>
          <w:i w:val="false"/>
          <w:iCs w:val="false"/>
          <w:color w:val="000000"/>
          <w:sz w:val="20"/>
          <w:szCs w:val="20"/>
        </w:rPr>
        <w:t xml:space="preserve">The EDA (Stage 2) identified four structurally distinct barn clusters across Texas using K-Means clustering validated by hierarchical agglomerative clustering, Gaussian Mixture Models, and DBSCAN. These clusters are not just academic — they carry direct implications for which barns CSB should prioritize for platform onboarding and what economic value each segment represents.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560"/>
        <w:gridCol w:w="40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Cluster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Barns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Price Range ($/cwt)</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Characteristics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C1 — Premium South TX Brush Country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7</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~$470–$540/cwt</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Highest prices and head counts in state. South TX genetics, dense buyer networks. Anchor for premium segment.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C2 — Balanced Mid-Market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15</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~$370–$413/cwt</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State price benchmark. Spans South/Central/East Central TX. Most data-rich cluster — highest confidence tier.</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C3 — Below-Average Niche Markets</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2</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~$245–$256/cwt</w:t>
            </w:r>
          </w:p>
        </w:tc>
        <w:tc>
          <w:tcPr>
            <w:tcW w:type="dxa" w:w="4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Emory (Northeast TX) and Gillespie (Central TX). Data quality caveats; treat as directional.</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C4 — East TX Piney Woods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4</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~$226–$246/cwt</w:t>
            </w:r>
          </w:p>
        </w:tc>
        <w:tc>
          <w:tcPr>
            <w:tcW w:type="dxa" w:w="4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Geographically coherent below-average cluster. Livingston, Tri-County, Hunt, Nacogdoches.</w:t>
            </w:r>
          </w:p>
        </w:tc>
      </w:tr>
    </w:tbl>
    <w:p>
      <w:pPr>
        <w:spacing w:before="0" w:after="120" w:line="276"/>
        <w:jc w:val="left"/>
      </w:pPr>
      <w:r>
        <w:rPr>
          <w:rFonts w:ascii="Arial" w:cs="Arial" w:eastAsia="Arial" w:hAnsi="Arial"/>
          <w:b w:val="false"/>
          <w:bCs w:val="false"/>
          <w:i w:val="false"/>
          <w:iCs w:val="false"/>
          <w:color w:val="000000"/>
          <w:sz w:val="20"/>
          <w:szCs w:val="20"/>
        </w:rPr>
        <w:t xml:space="preserve"/>
      </w:r>
    </w:p>
    <w:p>
      <w:pPr>
        <w:spacing w:before="0" w:after="120" w:line="276"/>
        <w:jc w:val="left"/>
      </w:pPr>
      <w:r>
        <w:rPr>
          <w:rFonts w:ascii="Arial" w:cs="Arial" w:eastAsia="Arial" w:hAnsi="Arial"/>
          <w:b w:val="false"/>
          <w:bCs w:val="false"/>
          <w:i/>
          <w:iCs/>
          <w:color w:val="000000"/>
          <w:sz w:val="18"/>
          <w:szCs w:val="18"/>
        </w:rPr>
        <w:t xml:space="preserve">Cluster 2 (Balanced Mid-Market) is the most strategically important segment for CSB's initial platform rollout. It contains 15 barns — the largest cluster — spanning CSB's core geographic area. These barns transact at the state price benchmark, offer predictable weekly volumes, and represent the lowest risk for a pilot program. Cluster 1 (Premium South TX) offers the highest per-barn economic value but may require deeper buyer-network relationships before onboarding.</w:t>
      </w:r>
    </w:p>
    <w:p>
      <w:r>
        <w:br w:type="page"/>
      </w:r>
    </w:p>
    <w:p>
      <w:pPr>
        <w:pStyle w:val="Heading1"/>
        <w:spacing w:before="280" w:after="120"/>
      </w:pPr>
      <w:r>
        <w:rPr>
          <w:rFonts w:ascii="Arial" w:cs="Arial" w:eastAsia="Arial" w:hAnsi="Arial"/>
          <w:b/>
          <w:bCs/>
          <w:color w:val="1F3864"/>
          <w:sz w:val="28"/>
          <w:szCs w:val="28"/>
        </w:rPr>
        <w:t xml:space="preserve">4. Total Addressable Market (TAM)</w:t>
      </w:r>
    </w:p>
    <w:p>
      <w:pPr>
        <w:spacing w:before="0" w:after="120" w:line="276"/>
        <w:jc w:val="left"/>
      </w:pPr>
      <w:r>
        <w:rPr>
          <w:rFonts w:ascii="Arial" w:cs="Arial" w:eastAsia="Arial" w:hAnsi="Arial"/>
          <w:b w:val="false"/>
          <w:bCs w:val="false"/>
          <w:i w:val="false"/>
          <w:iCs w:val="false"/>
          <w:color w:val="000000"/>
          <w:sz w:val="20"/>
          <w:szCs w:val="20"/>
        </w:rPr>
        <w:t xml:space="preserve">The Total Addressable Market represents the total annual dollar volume of livestock sales flowing through all Texas auction barns, regardless of whether CSB could feasibly serve them. This establishes the ceiling of the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1200"/>
        <w:gridCol w:w="300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Component</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Value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Unit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Notes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Observed barns (5+ weeks)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26</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barns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Qualifying barns from dataset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Observed combined volume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$1,629M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$M/yr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Sum of 26 barn-level annual estimates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Total TX licensed barns (est.)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~180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barns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USDA NASS 2022 TX auction market count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Remaining unobserved barns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154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barns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180 minus 26 observed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Median annual volume per barn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$45.7M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$M/yr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Observed median — conservative anchor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Size adjustment (unobserved barns)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Smaller barns not in USDA reporting</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Unobserved barn volume</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$4,223M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$M/yr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154 x $45.7M x 60%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TOTAL TAM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~$5,900M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$M/yr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Observed + scaled unobserved</w:t>
            </w:r>
          </w:p>
        </w:tc>
      </w:tr>
    </w:tbl>
    <w:p>
      <w:pPr>
        <w:spacing w:before="0" w:after="120" w:line="276"/>
        <w:jc w:val="left"/>
      </w:pPr>
      <w:r>
        <w:rPr>
          <w:rFonts w:ascii="Arial" w:cs="Arial" w:eastAsia="Arial" w:hAnsi="Arial"/>
          <w:b w:val="false"/>
          <w:bCs w:val="false"/>
          <w:i w:val="false"/>
          <w:iCs w:val="false"/>
          <w:color w:val="000000"/>
          <w:sz w:val="20"/>
          <w:szCs w:val="20"/>
        </w:rPr>
        <w:t xml:space="preserve"/>
      </w:r>
    </w:p>
    <w:p>
      <w:pPr>
        <w:spacing w:before="0" w:after="120" w:line="276"/>
        <w:jc w:val="left"/>
      </w:pPr>
      <w:r>
        <w:rPr>
          <w:rFonts w:ascii="Arial" w:cs="Arial" w:eastAsia="Arial" w:hAnsi="Arial"/>
          <w:b w:val="false"/>
          <w:bCs w:val="false"/>
          <w:i w:val="false"/>
          <w:iCs w:val="false"/>
          <w:color w:val="000000"/>
          <w:sz w:val="18"/>
          <w:szCs w:val="18"/>
        </w:rPr>
        <w:t xml:space="preserve">The TAM estimate of ~$5.9 billion is intentionally conservative. The 60% size adjustment for unobserved barns avoids extrapolating the large-barn economics of USDA-reporting markets onto the full population. Independent USDA industry data on total Texas cattle and calf cash sales (~$12–15 billion annually, of which approximately 35–40% flows through auction markets) suggests our estimate is directionally consistent with the broader market.</w:t>
      </w:r>
    </w:p>
    <w:p>
      <w:pPr>
        <w:pStyle w:val="Heading1"/>
        <w:spacing w:before="280" w:after="120"/>
      </w:pPr>
      <w:r>
        <w:rPr>
          <w:rFonts w:ascii="Arial" w:cs="Arial" w:eastAsia="Arial" w:hAnsi="Arial"/>
          <w:b/>
          <w:bCs/>
          <w:color w:val="1F3864"/>
          <w:sz w:val="28"/>
          <w:szCs w:val="28"/>
        </w:rPr>
        <w:t xml:space="preserve">5. Serviceable Available Market (SAM)</w:t>
      </w:r>
    </w:p>
    <w:p>
      <w:pPr>
        <w:spacing w:before="0" w:after="120" w:line="276"/>
        <w:jc w:val="left"/>
      </w:pPr>
      <w:r>
        <w:rPr>
          <w:rFonts w:ascii="Arial" w:cs="Arial" w:eastAsia="Arial" w:hAnsi="Arial"/>
          <w:b w:val="false"/>
          <w:bCs w:val="false"/>
          <w:i w:val="false"/>
          <w:iCs w:val="false"/>
          <w:color w:val="000000"/>
          <w:sz w:val="20"/>
          <w:szCs w:val="20"/>
        </w:rPr>
        <w:t xml:space="preserve">The SAM narrows the TAM to the subset of Texas barns that CSB can realistically reach given its geographic footprint and operational capacity as a community bank. This is not a question of market desirability but of practical service capability.</w:t>
      </w:r>
    </w:p>
    <w:p>
      <w:pPr>
        <w:spacing w:before="0" w:after="200" w:line="276"/>
        <w:jc w:val="left"/>
      </w:pPr>
      <w:r>
        <w:rPr>
          <w:rFonts w:ascii="Arial" w:cs="Arial" w:eastAsia="Arial" w:hAnsi="Arial"/>
          <w:b w:val="false"/>
          <w:bCs w:val="false"/>
          <w:i w:val="false"/>
          <w:iCs w:val="false"/>
          <w:color w:val="000000"/>
          <w:sz w:val="20"/>
          <w:szCs w:val="20"/>
        </w:rPr>
        <w:t xml:space="preserve">CSB's core service area spans South Central, Central, and East Central Texas — the regions most densely represented in the dataset. We estimate 60 to 80 auction barns fall within this footprint based on the geographic distribution of barns in the USDA reporting network and CSB's established banking relationships. Applying the observed median volume of $45.7M per barn yields a SAM range of $2.7 billion to $3.7 billion, with a midpoint of $3.2 billion used in SOM 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000"/>
        <w:gridCol w:w="22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SAM Scenario</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Barns in Footprint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Annual Volume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Basis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Conservative footprint</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60 barns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$2,742M</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60 x $45.7M median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Extended footprint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80 barns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$3,656M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80 x $45.7M median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Midpoint (used in SOM)</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70 barns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$3,199M</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Average of low/high scenarios</w:t>
            </w:r>
          </w:p>
        </w:tc>
      </w:tr>
    </w:tbl>
    <w:p>
      <w:r>
        <w:br w:type="page"/>
      </w:r>
    </w:p>
    <w:p>
      <w:pPr>
        <w:pStyle w:val="Heading1"/>
        <w:spacing w:before="280" w:after="120"/>
      </w:pPr>
      <w:r>
        <w:rPr>
          <w:rFonts w:ascii="Arial" w:cs="Arial" w:eastAsia="Arial" w:hAnsi="Arial"/>
          <w:b/>
          <w:bCs/>
          <w:color w:val="1F3864"/>
          <w:sz w:val="28"/>
          <w:szCs w:val="28"/>
        </w:rPr>
        <w:t xml:space="preserve">6. Serviceable Obtainable Market (SOM)</w:t>
      </w:r>
    </w:p>
    <w:p>
      <w:pPr>
        <w:spacing w:before="0" w:after="120" w:line="276"/>
        <w:jc w:val="left"/>
      </w:pPr>
      <w:r>
        <w:rPr>
          <w:rFonts w:ascii="Arial" w:cs="Arial" w:eastAsia="Arial" w:hAnsi="Arial"/>
          <w:b w:val="false"/>
          <w:bCs w:val="false"/>
          <w:i w:val="false"/>
          <w:iCs w:val="false"/>
          <w:color w:val="000000"/>
          <w:sz w:val="20"/>
          <w:szCs w:val="20"/>
        </w:rPr>
        <w:t xml:space="preserve">The SOM represents the realistic share of the SAM that CSB can capture within a defined timeframe — in this case, a 3-year horizon consistent with a platform build-or-partner decision cycle. Three scenarios are modeled based on penetration rates that reflect community bank fintech adoption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360"/>
        <w:gridCol w:w="40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Market Level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 Volume</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Barns</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Basis / Methodology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TAM — Total Addressable Market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~$5.9B</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~180</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Bottom-up: 26 observed barns ($1.63B) + 154 remaining at 60% median volume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SAM — Serviceable Available Market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$2.7B – $3.7B</w:t>
            </w:r>
          </w:p>
        </w:tc>
        <w:tc>
          <w:tcPr>
            <w:tcW w:type="dxa" w:w="1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60 – 80</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CSB geographic and operational footprint at median $45.7M per barn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SOM — Conservative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595959"/>
                <w:sz w:val="17"/>
                <w:szCs w:val="17"/>
              </w:rPr>
              <w:t xml:space="preserve">~$160M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5% SAM penetration over 3 years; ~24M checks/year flowing through platform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SOM — Base Case (15%)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17"/>
                <w:szCs w:val="17"/>
              </w:rPr>
              <w:t xml:space="preserve">~$480M</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~12</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15% SAM penetration over 3 years; ~73M checks/year flowing through platform</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SOM — Optimistic (25%)</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7"/>
                <w:szCs w:val="17"/>
              </w:rPr>
              <w:t xml:space="preserve">~$800M</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~20</w:t>
            </w:r>
          </w:p>
        </w:tc>
        <w:tc>
          <w:tcPr>
            <w:tcW w:type="dxa" w:w="4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25% SAM penetration over 3 years; ~122M checks/year flowing through platform</w:t>
            </w:r>
          </w:p>
        </w:tc>
      </w:tr>
    </w:tbl>
    <w:p>
      <w:pPr>
        <w:spacing w:before="0" w:after="120" w:line="276"/>
        <w:jc w:val="left"/>
      </w:pPr>
      <w:r>
        <w:rPr>
          <w:rFonts w:ascii="Arial" w:cs="Arial" w:eastAsia="Arial" w:hAnsi="Arial"/>
          <w:b w:val="false"/>
          <w:bCs w:val="false"/>
          <w:i w:val="false"/>
          <w:iCs w:val="false"/>
          <w:color w:val="000000"/>
          <w:sz w:val="20"/>
          <w:szCs w:val="20"/>
        </w:rPr>
        <w:t xml:space="preserve"/>
      </w:r>
    </w:p>
    <w:p>
      <w:pPr>
        <w:pStyle w:val="Heading2"/>
        <w:spacing w:before="200" w:after="80"/>
      </w:pPr>
      <w:r>
        <w:rPr>
          <w:rFonts w:ascii="Arial" w:cs="Arial" w:eastAsia="Arial" w:hAnsi="Arial"/>
          <w:b/>
          <w:bCs/>
          <w:color w:val="2E75B6"/>
          <w:sz w:val="22"/>
          <w:szCs w:val="22"/>
        </w:rPr>
        <w:t xml:space="preserve">6.1 Scenario Rationale</w:t>
      </w:r>
    </w:p>
    <w:p>
      <w:pPr>
        <w:spacing w:before="0" w:after="120" w:line="276"/>
        <w:jc w:val="left"/>
      </w:pPr>
      <w:r>
        <w:rPr>
          <w:rFonts w:ascii="Arial" w:cs="Arial" w:eastAsia="Arial" w:hAnsi="Arial"/>
          <w:b w:val="false"/>
          <w:bCs w:val="false"/>
          <w:i w:val="false"/>
          <w:iCs w:val="false"/>
          <w:color w:val="000000"/>
          <w:sz w:val="20"/>
          <w:szCs w:val="20"/>
        </w:rPr>
        <w:t xml:space="preserve">The conservative scenario (5%, ~4 barns) reflects the realistic outcome of a pilot program with a single anchor barn plus a small number of early adopters. The base case (15%, ~12 barns) reflects what a well-executed platform launch with dedicated relationship management could achieve within CSB's footprint over three years. The optimistic scenario (25%, ~20 barns) assumes strong word-of-mouth, a frictionless onboarding process, and favorable market conditions for digital adoption.</w:t>
      </w:r>
    </w:p>
    <w:p>
      <w:pPr>
        <w:spacing w:before="0" w:after="120" w:line="276"/>
        <w:jc w:val="left"/>
      </w:pPr>
      <w:r>
        <w:rPr>
          <w:rFonts w:ascii="Arial" w:cs="Arial" w:eastAsia="Arial" w:hAnsi="Arial"/>
          <w:b w:val="false"/>
          <w:bCs w:val="false"/>
          <w:i w:val="false"/>
          <w:iCs w:val="false"/>
          <w:color w:val="000000"/>
          <w:sz w:val="20"/>
          <w:szCs w:val="20"/>
        </w:rPr>
        <w:t xml:space="preserve">Importantly, even the conservative scenario represents a meaningful volume of transaction flow (~$160M, ~24 million checks per year) that would justify further investigation. The base case at $480M in annual transaction volume represents a strategically significant opportunity for a community bank of CSB's size.</w:t>
      </w:r>
    </w:p>
    <w:p>
      <w:pPr>
        <w:pStyle w:val="Heading2"/>
        <w:spacing w:before="200" w:after="80"/>
      </w:pPr>
      <w:r>
        <w:rPr>
          <w:rFonts w:ascii="Arial" w:cs="Arial" w:eastAsia="Arial" w:hAnsi="Arial"/>
          <w:b/>
          <w:bCs/>
          <w:color w:val="2E75B6"/>
          <w:sz w:val="22"/>
          <w:szCs w:val="22"/>
        </w:rPr>
        <w:t xml:space="preserve">6.2 Transaction Volume Context</w:t>
      </w:r>
    </w:p>
    <w:p>
      <w:pPr>
        <w:spacing w:before="0" w:after="200" w:line="276"/>
        <w:jc w:val="left"/>
      </w:pPr>
      <w:r>
        <w:rPr>
          <w:rFonts w:ascii="Arial" w:cs="Arial" w:eastAsia="Arial" w:hAnsi="Arial"/>
          <w:b w:val="false"/>
          <w:bCs w:val="false"/>
          <w:i w:val="false"/>
          <w:iCs w:val="false"/>
          <w:color w:val="000000"/>
          <w:sz w:val="20"/>
          <w:szCs w:val="20"/>
        </w:rPr>
        <w:t xml:space="preserve">The check-to-dollar conversion rate (~152 checks per $1M of livestock sales) is derived from the sponsor-provided anchor barn: approximately 16,000 buyer and seller check transactions per year on $105M in annual sales. This ratio is applied consistently across SOM scenarios to estimate the volume of settlement transactions that would be processed through the platform.</w:t>
      </w:r>
    </w:p>
    <w:p>
      <w:pPr>
        <w:pStyle w:val="Heading1"/>
        <w:spacing w:before="280" w:after="120"/>
      </w:pPr>
      <w:r>
        <w:rPr>
          <w:rFonts w:ascii="Arial" w:cs="Arial" w:eastAsia="Arial" w:hAnsi="Arial"/>
          <w:b/>
          <w:bCs/>
          <w:color w:val="1F3864"/>
          <w:sz w:val="28"/>
          <w:szCs w:val="28"/>
        </w:rPr>
        <w:t xml:space="preserve">7. Limitations &amp; Assumptions</w:t>
      </w:r>
    </w:p>
    <w:p>
      <w:pPr>
        <w:spacing w:before="0" w:after="80" w:line="276"/>
        <w:jc w:val="left"/>
      </w:pPr>
      <w:r>
        <w:rPr>
          <w:rFonts w:ascii="Arial" w:cs="Arial" w:eastAsia="Arial" w:hAnsi="Arial"/>
          <w:b w:val="false"/>
          <w:bCs w:val="false"/>
          <w:i w:val="false"/>
          <w:iCs w:val="false"/>
          <w:color w:val="000000"/>
          <w:sz w:val="20"/>
          <w:szCs w:val="20"/>
        </w:rPr>
        <w:t xml:space="preserve">The following assumptions and limitations should be considered when interpreting the market sizing results:</w:t>
      </w:r>
    </w:p>
    <w:p>
      <w:pPr>
        <w:pStyle w:val="ListParagraph"/>
        <w:numPr>
          <w:ilvl w:val="0"/>
          <w:numId w:val="2"/>
        </w:numPr>
        <w:spacing w:before="0" w:after="80" w:line="276"/>
      </w:pPr>
      <w:r>
        <w:rPr>
          <w:rFonts w:ascii="Arial" w:cs="Arial" w:eastAsia="Arial" w:hAnsi="Arial"/>
          <w:color w:val="000000"/>
          <w:sz w:val="20"/>
          <w:szCs w:val="20"/>
        </w:rPr>
        <w:t xml:space="preserve">Volume estimates are based on a single representative weight class (400–500 lb steers) as the price anchor. Full barn economics include additional weight classes, heifers, slaughter cows, and specialty lots not fully captured here.</w:t>
      </w:r>
    </w:p>
    <w:p>
      <w:pPr>
        <w:pStyle w:val="ListParagraph"/>
        <w:numPr>
          <w:ilvl w:val="0"/>
          <w:numId w:val="2"/>
        </w:numPr>
        <w:spacing w:before="0" w:after="80" w:line="276"/>
      </w:pPr>
      <w:r>
        <w:rPr>
          <w:rFonts w:ascii="Arial" w:cs="Arial" w:eastAsia="Arial" w:hAnsi="Arial"/>
          <w:color w:val="000000"/>
          <w:sz w:val="20"/>
          <w:szCs w:val="20"/>
        </w:rPr>
        <w:t xml:space="preserve">Head count data was missing for approximately 8% of sale records. Barns with insufficient head count coverage were excluded rather than imputed, which may slightly understate volume for some markets.</w:t>
      </w:r>
    </w:p>
    <w:p>
      <w:pPr>
        <w:pStyle w:val="ListParagraph"/>
        <w:numPr>
          <w:ilvl w:val="0"/>
          <w:numId w:val="2"/>
        </w:numPr>
        <w:spacing w:before="0" w:after="80" w:line="276"/>
      </w:pPr>
      <w:r>
        <w:rPr>
          <w:rFonts w:ascii="Arial" w:cs="Arial" w:eastAsia="Arial" w:hAnsi="Arial"/>
          <w:color w:val="000000"/>
          <w:sz w:val="20"/>
          <w:szCs w:val="20"/>
        </w:rPr>
        <w:t xml:space="preserve">The 60% size adjustment for unobserved barns is a conservative assumption. If unobserved barns are closer in size to the observed median, the TAM would be higher.</w:t>
      </w:r>
    </w:p>
    <w:p>
      <w:pPr>
        <w:pStyle w:val="ListParagraph"/>
        <w:numPr>
          <w:ilvl w:val="0"/>
          <w:numId w:val="2"/>
        </w:numPr>
        <w:spacing w:before="0" w:after="80" w:line="276"/>
      </w:pPr>
      <w:r>
        <w:rPr>
          <w:rFonts w:ascii="Arial" w:cs="Arial" w:eastAsia="Arial" w:hAnsi="Arial"/>
          <w:color w:val="000000"/>
          <w:sz w:val="20"/>
          <w:szCs w:val="20"/>
        </w:rPr>
        <w:t xml:space="preserve">SAM barn count (60–80) is an estimate based on geographic analysis of the dataset. CSB's actual serviceable barn count should be validated against its existing customer and prospect database.</w:t>
      </w:r>
    </w:p>
    <w:p>
      <w:pPr>
        <w:pStyle w:val="ListParagraph"/>
        <w:numPr>
          <w:ilvl w:val="0"/>
          <w:numId w:val="2"/>
        </w:numPr>
        <w:spacing w:before="0" w:after="80" w:line="276"/>
      </w:pPr>
      <w:r>
        <w:rPr>
          <w:rFonts w:ascii="Arial" w:cs="Arial" w:eastAsia="Arial" w:hAnsi="Arial"/>
          <w:color w:val="000000"/>
          <w:sz w:val="20"/>
          <w:szCs w:val="20"/>
        </w:rPr>
        <w:t xml:space="preserve">SOM penetration rates are based on general community bank fintech benchmarks, not livestock-specific data. Actual adoption rates will depend on product design, pricing, and relationship management.</w:t>
      </w:r>
    </w:p>
    <w:p>
      <w:pPr>
        <w:pStyle w:val="ListParagraph"/>
        <w:numPr>
          <w:ilvl w:val="0"/>
          <w:numId w:val="2"/>
        </w:numPr>
        <w:spacing w:before="0" w:after="80" w:line="276"/>
      </w:pPr>
      <w:r>
        <w:rPr>
          <w:rFonts w:ascii="Arial" w:cs="Arial" w:eastAsia="Arial" w:hAnsi="Arial"/>
          <w:color w:val="000000"/>
          <w:sz w:val="20"/>
          <w:szCs w:val="20"/>
        </w:rPr>
        <w:t xml:space="preserve">All volume figures represent gross livestock transaction flows — not CSB revenue. Revenue modeling requires applying fee rates to these volumes, which is the subject of Stage 4.</w:t>
      </w:r>
    </w:p>
    <w:p>
      <w:pPr>
        <w:pStyle w:val="Heading1"/>
        <w:spacing w:before="280" w:after="120"/>
      </w:pPr>
      <w:r>
        <w:rPr>
          <w:rFonts w:ascii="Arial" w:cs="Arial" w:eastAsia="Arial" w:hAnsi="Arial"/>
          <w:b/>
          <w:bCs/>
          <w:color w:val="1F3864"/>
          <w:sz w:val="28"/>
          <w:szCs w:val="28"/>
        </w:rPr>
        <w:t xml:space="preserve">8. Next Steps — Stage 4 Preview</w:t>
      </w:r>
    </w:p>
    <w:p>
      <w:pPr>
        <w:spacing w:before="0" w:after="80" w:line="276"/>
        <w:jc w:val="left"/>
      </w:pPr>
      <w:r>
        <w:rPr>
          <w:rFonts w:ascii="Arial" w:cs="Arial" w:eastAsia="Arial" w:hAnsi="Arial"/>
          <w:b w:val="false"/>
          <w:bCs w:val="false"/>
          <w:i w:val="false"/>
          <w:iCs w:val="false"/>
          <w:color w:val="000000"/>
          <w:sz w:val="20"/>
          <w:szCs w:val="20"/>
        </w:rPr>
        <w:t xml:space="preserve">Stage 4 will translate the SOM transaction volumes identified in this analysis into projected economic value for CSB across three revenue levers:</w:t>
      </w:r>
    </w:p>
    <w:p>
      <w:pPr>
        <w:pStyle w:val="ListParagraph"/>
        <w:numPr>
          <w:ilvl w:val="0"/>
          <w:numId w:val="2"/>
        </w:numPr>
        <w:spacing w:before="0" w:after="80" w:line="276"/>
      </w:pPr>
      <w:r>
        <w:rPr>
          <w:rFonts w:ascii="Arial" w:cs="Arial" w:eastAsia="Arial" w:hAnsi="Arial"/>
          <w:color w:val="000000"/>
          <w:sz w:val="20"/>
          <w:szCs w:val="20"/>
        </w:rPr>
        <w:t xml:space="preserve">Payment rails revenue: Net take rate applied to digital settlement volume (ACH + card mix, ~0.30% blended)</w:t>
      </w:r>
    </w:p>
    <w:p>
      <w:pPr>
        <w:pStyle w:val="ListParagraph"/>
        <w:numPr>
          <w:ilvl w:val="0"/>
          <w:numId w:val="2"/>
        </w:numPr>
        <w:spacing w:before="0" w:after="80" w:line="276"/>
      </w:pPr>
      <w:r>
        <w:rPr>
          <w:rFonts w:ascii="Arial" w:cs="Arial" w:eastAsia="Arial" w:hAnsi="Arial"/>
          <w:color w:val="000000"/>
          <w:sz w:val="20"/>
          <w:szCs w:val="20"/>
        </w:rPr>
        <w:t xml:space="preserve">Float income: Net interest margin on custodial deposit balances during settlement (~2.5% NIM on ~$2M average per barn)</w:t>
      </w:r>
    </w:p>
    <w:p>
      <w:pPr>
        <w:pStyle w:val="ListParagraph"/>
        <w:numPr>
          <w:ilvl w:val="0"/>
          <w:numId w:val="2"/>
        </w:numPr>
        <w:spacing w:before="0" w:after="80" w:line="276"/>
      </w:pPr>
      <w:r>
        <w:rPr>
          <w:rFonts w:ascii="Arial" w:cs="Arial" w:eastAsia="Arial" w:hAnsi="Arial"/>
          <w:color w:val="000000"/>
          <w:sz w:val="20"/>
          <w:szCs w:val="20"/>
        </w:rPr>
        <w:t xml:space="preserve">Embedded credit revenue: Net credit spread on short-term buyer financing at point of transaction (~4% spread, ~7% buyer utilization)</w:t>
      </w:r>
    </w:p>
    <w:p>
      <w:pPr>
        <w:spacing w:before="0" w:after="120" w:line="276"/>
        <w:jc w:val="left"/>
      </w:pPr>
      <w:r>
        <w:rPr>
          <w:rFonts w:ascii="Arial" w:cs="Arial" w:eastAsia="Arial" w:hAnsi="Arial"/>
          <w:b w:val="false"/>
          <w:bCs w:val="false"/>
          <w:i w:val="false"/>
          <w:iCs w:val="false"/>
          <w:color w:val="000000"/>
          <w:sz w:val="20"/>
          <w:szCs w:val="20"/>
        </w:rPr>
        <w:t xml:space="preserve"/>
      </w:r>
    </w:p>
    <w:p>
      <w:pPr>
        <w:spacing w:before="0" w:after="200" w:line="276"/>
        <w:jc w:val="left"/>
      </w:pPr>
      <w:r>
        <w:rPr>
          <w:rFonts w:ascii="Arial" w:cs="Arial" w:eastAsia="Arial" w:hAnsi="Arial"/>
          <w:b w:val="false"/>
          <w:bCs w:val="false"/>
          <w:i w:val="false"/>
          <w:iCs w:val="false"/>
          <w:color w:val="000000"/>
          <w:sz w:val="20"/>
          <w:szCs w:val="20"/>
        </w:rPr>
        <w:t xml:space="preserve">These three levers will be modeled by cluster segment (C1–C4) to reflect the materially different economics of premium versus below-average barn markets. The Stage 4 output will provide CSB leadership with a risk-adjusted, cluster-differentiated revenue projection to support the build vs. partner vs. abandon decision.</w:t>
      </w:r>
    </w:p>
    <w:p>
      <w:pPr>
        <w:pBdr>
          <w:bottom w:val="single" w:color="2E75B6" w:sz="6" w:space="1"/>
        </w:pBdr>
        <w:spacing w:before="80" w:after="80"/>
      </w:pPr>
    </w:p>
    <w:p>
      <w:pPr>
        <w:spacing w:before="0" w:after="120" w:line="276"/>
        <w:jc w:val="center"/>
      </w:pPr>
      <w:r>
        <w:rPr>
          <w:rFonts w:ascii="Arial" w:cs="Arial" w:eastAsia="Arial" w:hAnsi="Arial"/>
          <w:b w:val="false"/>
          <w:bCs w:val="false"/>
          <w:i/>
          <w:iCs/>
          <w:color w:val="595959"/>
          <w:sz w:val="16"/>
          <w:szCs w:val="16"/>
        </w:rPr>
        <w:t xml:space="preserve">End of Stage 3 Report — Columbus State Bank Livestock Auction Platform Analysis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80"/>
    </w:pPr>
    <w:r>
      <w:rPr>
        <w:rFonts w:ascii="Arial" w:cs="Arial" w:eastAsia="Arial" w:hAnsi="Arial"/>
        <w:color w:val="595959"/>
        <w:sz w:val="16"/>
        <w:szCs w:val="16"/>
      </w:rPr>
      <w:t xml:space="preserve">Confidential — Group 6 Capstone | March 2026</w:t>
    </w:r>
    <w:r>
      <w:rPr>
        <w:rFonts w:ascii="Arial" w:cs="Arial" w:eastAsia="Arial" w:hAnsi="Arial"/>
        <w:color w:val="595959"/>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pPr>
    <w:r>
      <w:rPr>
        <w:rFonts w:ascii="Arial" w:cs="Arial" w:eastAsia="Arial" w:hAnsi="Arial"/>
        <w:color w:val="595959"/>
        <w:sz w:val="16"/>
        <w:szCs w:val="16"/>
      </w:rPr>
      <w:t xml:space="preserve">Columbus State Bank  |  Livestock Auction Platform — Stage 3: Market Sizing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2026-03-27T08:52:34.107Z</dcterms:created>
  <dcterms:modified xsi:type="dcterms:W3CDTF">2026-03-27T08:52:34.108Z</dcterms:modified>
</cp:coreProperties>
</file>

<file path=docProps/custom.xml><?xml version="1.0" encoding="utf-8"?>
<Properties xmlns="http://schemas.openxmlformats.org/officeDocument/2006/custom-properties" xmlns:vt="http://schemas.openxmlformats.org/officeDocument/2006/docPropsVTypes"/>
</file>