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AE95C" w14:textId="77777777" w:rsidR="00634E0F" w:rsidRDefault="00E34107">
      <w:pPr>
        <w:spacing w:before="0" w:after="0"/>
        <w:jc w:val="center"/>
      </w:pPr>
      <w:r>
        <w:rPr>
          <w:b/>
          <w:color w:val="1A3C6E"/>
          <w:sz w:val="28"/>
        </w:rPr>
        <w:t>GPT-RAG POC — Setting Up Cost Guardrails</w:t>
      </w:r>
    </w:p>
    <w:p w14:paraId="77A7183B" w14:textId="20A8B0E7" w:rsidR="00634E0F" w:rsidRDefault="00E34107">
      <w:pPr>
        <w:spacing w:before="0" w:after="60"/>
        <w:jc w:val="center"/>
      </w:pPr>
      <w:r>
        <w:rPr>
          <w:color w:val="666666"/>
          <w:sz w:val="14"/>
        </w:rPr>
        <w:t xml:space="preserve">Best Practices for Factory GPT-RAG Deployments  •  2026-04-02 </w:t>
      </w:r>
    </w:p>
    <w:p w14:paraId="605976E9" w14:textId="77777777" w:rsidR="00634E0F" w:rsidRDefault="00E34107">
      <w:pPr>
        <w:spacing w:before="40"/>
      </w:pPr>
      <w:r>
        <w:rPr>
          <w:b/>
          <w:color w:val="1A3C6E"/>
          <w:sz w:val="18"/>
        </w:rPr>
        <w:t>Background</w:t>
      </w:r>
    </w:p>
    <w:p w14:paraId="6333B391" w14:textId="49854D11" w:rsidR="00634E0F" w:rsidRDefault="00E34107">
      <w:pPr>
        <w:spacing w:before="0" w:after="40" w:line="252" w:lineRule="auto"/>
      </w:pPr>
      <w:r>
        <w:rPr>
          <w:sz w:val="15"/>
        </w:rPr>
        <w:t xml:space="preserve">On a Factory engagement, a POC ingested a small batch of large PDF documents onto a customer Azure subscription. Due to a combination of large document sizes, low embedding model quota, and the absence of budget alerts, an ingestion retry loop ran for approximately 48 hours before the cost spike was detected </w:t>
      </w:r>
      <w:r w:rsidRPr="00C46FF6">
        <w:rPr>
          <w:sz w:val="15"/>
        </w:rPr>
        <w:t>by the customer</w:t>
      </w:r>
      <w:r>
        <w:rPr>
          <w:b/>
          <w:sz w:val="15"/>
        </w:rPr>
        <w:t>.</w:t>
      </w:r>
      <w:r>
        <w:rPr>
          <w:sz w:val="15"/>
        </w:rPr>
        <w:t xml:space="preserve"> A budget alert would have caught this within the first hour. This guide walks through exactly how to set one up so every deployment has that safety net in place.</w:t>
      </w:r>
    </w:p>
    <w:p w14:paraId="54AE3185" w14:textId="77777777" w:rsidR="002014BF" w:rsidRDefault="002014BF">
      <w:pPr>
        <w:spacing w:before="60" w:after="40"/>
        <w:rPr>
          <w:b/>
          <w:color w:val="1A3C6E"/>
          <w:sz w:val="20"/>
        </w:rPr>
      </w:pPr>
    </w:p>
    <w:p w14:paraId="7B51DD8B" w14:textId="1B9B3C7E" w:rsidR="002014BF" w:rsidRPr="002014BF" w:rsidRDefault="002014BF">
      <w:pPr>
        <w:spacing w:before="60" w:after="40"/>
        <w:rPr>
          <w:b/>
          <w:color w:val="1A3C6E"/>
          <w:sz w:val="20"/>
          <w:u w:val="single"/>
        </w:rPr>
      </w:pPr>
      <w:r w:rsidRPr="002014BF">
        <w:rPr>
          <w:b/>
          <w:color w:val="1A3C6E"/>
          <w:sz w:val="20"/>
          <w:u w:val="single"/>
        </w:rPr>
        <w:t>REQUIRED BY FACTORY DELIVERY</w:t>
      </w:r>
    </w:p>
    <w:p w14:paraId="517CA33B" w14:textId="7314BF64" w:rsidR="00634E0F" w:rsidRDefault="00AA6C1D">
      <w:pPr>
        <w:spacing w:before="60" w:after="40"/>
      </w:pPr>
      <w:r>
        <w:rPr>
          <w:b/>
          <w:color w:val="1A3C6E"/>
          <w:sz w:val="20"/>
        </w:rPr>
        <w:t>Set Up a Budget Alert (Step by Step)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"/>
        <w:gridCol w:w="2160"/>
        <w:gridCol w:w="7632"/>
      </w:tblGrid>
      <w:tr w:rsidR="00634E0F" w14:paraId="06D80879" w14:textId="77777777">
        <w:trPr>
          <w:jc w:val="center"/>
        </w:trPr>
        <w:tc>
          <w:tcPr>
            <w:tcW w:w="432" w:type="dxa"/>
            <w:shd w:val="clear" w:color="auto" w:fill="1A3C6E"/>
          </w:tcPr>
          <w:p w14:paraId="358EFB4E" w14:textId="77777777" w:rsidR="00634E0F" w:rsidRDefault="00E34107">
            <w:r>
              <w:rPr>
                <w:b/>
                <w:color w:val="FFFFFF"/>
              </w:rPr>
              <w:t>1</w:t>
            </w:r>
          </w:p>
        </w:tc>
        <w:tc>
          <w:tcPr>
            <w:tcW w:w="2160" w:type="dxa"/>
            <w:shd w:val="clear" w:color="auto" w:fill="F2F6FC"/>
          </w:tcPr>
          <w:p w14:paraId="494BB641" w14:textId="77777777" w:rsidR="00634E0F" w:rsidRDefault="00E34107">
            <w:r>
              <w:rPr>
                <w:b/>
                <w:sz w:val="14"/>
              </w:rPr>
              <w:t>Open Cost Management</w:t>
            </w:r>
          </w:p>
        </w:tc>
        <w:tc>
          <w:tcPr>
            <w:tcW w:w="7632" w:type="dxa"/>
            <w:shd w:val="clear" w:color="auto" w:fill="F2F6FC"/>
          </w:tcPr>
          <w:p w14:paraId="789BAA0F" w14:textId="77777777" w:rsidR="00634E0F" w:rsidRDefault="00E34107">
            <w:r>
              <w:rPr>
                <w:sz w:val="13"/>
              </w:rPr>
              <w:t>Azure Portal → navigate to the resource group for your GPT-RAG deployment → Cost Management → Budgets.</w:t>
            </w:r>
          </w:p>
        </w:tc>
      </w:tr>
      <w:tr w:rsidR="00634E0F" w14:paraId="317D0806" w14:textId="77777777">
        <w:trPr>
          <w:jc w:val="center"/>
        </w:trPr>
        <w:tc>
          <w:tcPr>
            <w:tcW w:w="432" w:type="dxa"/>
            <w:shd w:val="clear" w:color="auto" w:fill="1A3C6E"/>
          </w:tcPr>
          <w:p w14:paraId="28C9C9B9" w14:textId="77777777" w:rsidR="00634E0F" w:rsidRDefault="00E34107">
            <w:r>
              <w:rPr>
                <w:b/>
                <w:color w:val="FFFFFF"/>
              </w:rPr>
              <w:t>2</w:t>
            </w:r>
          </w:p>
        </w:tc>
        <w:tc>
          <w:tcPr>
            <w:tcW w:w="2160" w:type="dxa"/>
          </w:tcPr>
          <w:p w14:paraId="604C87C9" w14:textId="77777777" w:rsidR="00634E0F" w:rsidRDefault="00E34107">
            <w:r>
              <w:rPr>
                <w:b/>
                <w:sz w:val="14"/>
              </w:rPr>
              <w:t>Create a new budget</w:t>
            </w:r>
          </w:p>
        </w:tc>
        <w:tc>
          <w:tcPr>
            <w:tcW w:w="7632" w:type="dxa"/>
          </w:tcPr>
          <w:p w14:paraId="73021218" w14:textId="77777777" w:rsidR="00634E0F" w:rsidRDefault="00E34107">
            <w:r>
              <w:rPr>
                <w:sz w:val="13"/>
              </w:rPr>
              <w:t>Click "+ Add". Set the budget name (e.g., "gptrag-poc-budget"). Set the Reset period to Monthly. Set the budget amount to $2,000 (or the agreed threshold for your engagement).</w:t>
            </w:r>
          </w:p>
        </w:tc>
      </w:tr>
      <w:tr w:rsidR="00634E0F" w14:paraId="087CBFE7" w14:textId="77777777">
        <w:trPr>
          <w:jc w:val="center"/>
        </w:trPr>
        <w:tc>
          <w:tcPr>
            <w:tcW w:w="432" w:type="dxa"/>
            <w:shd w:val="clear" w:color="auto" w:fill="1A3C6E"/>
          </w:tcPr>
          <w:p w14:paraId="24A997D6" w14:textId="77777777" w:rsidR="00634E0F" w:rsidRDefault="00E34107">
            <w:r>
              <w:rPr>
                <w:b/>
                <w:color w:val="FFFFFF"/>
              </w:rPr>
              <w:t>3</w:t>
            </w:r>
          </w:p>
        </w:tc>
        <w:tc>
          <w:tcPr>
            <w:tcW w:w="2160" w:type="dxa"/>
            <w:shd w:val="clear" w:color="auto" w:fill="F2F6FC"/>
          </w:tcPr>
          <w:p w14:paraId="1932B56D" w14:textId="2C5E0046" w:rsidR="00634E0F" w:rsidRDefault="00E34107">
            <w:r>
              <w:rPr>
                <w:b/>
                <w:sz w:val="14"/>
              </w:rPr>
              <w:t xml:space="preserve">Add an alert condition at </w:t>
            </w:r>
            <w:r w:rsidR="00B0728D">
              <w:rPr>
                <w:b/>
                <w:sz w:val="14"/>
              </w:rPr>
              <w:t>50</w:t>
            </w:r>
            <w:r>
              <w:rPr>
                <w:b/>
                <w:sz w:val="14"/>
              </w:rPr>
              <w:t>% ($500)</w:t>
            </w:r>
          </w:p>
        </w:tc>
        <w:tc>
          <w:tcPr>
            <w:tcW w:w="7632" w:type="dxa"/>
            <w:shd w:val="clear" w:color="auto" w:fill="F2F6FC"/>
          </w:tcPr>
          <w:p w14:paraId="4966D16B" w14:textId="685F4124" w:rsidR="00634E0F" w:rsidRDefault="00E34107">
            <w:r>
              <w:rPr>
                <w:sz w:val="13"/>
              </w:rPr>
              <w:t xml:space="preserve">Under Alert conditions, click "Add alert condition". Set Type: Actual. Set % of budget: </w:t>
            </w:r>
            <w:r w:rsidR="00B0728D">
              <w:rPr>
                <w:sz w:val="13"/>
              </w:rPr>
              <w:t>50%</w:t>
            </w:r>
            <w:r>
              <w:rPr>
                <w:sz w:val="13"/>
              </w:rPr>
              <w:t>. This fires when actual spend hits $500 — roughly one day of runaway ingestion. This is your early-warning trigger.</w:t>
            </w:r>
          </w:p>
        </w:tc>
      </w:tr>
      <w:tr w:rsidR="00634E0F" w14:paraId="3F7F8E8B" w14:textId="77777777">
        <w:trPr>
          <w:jc w:val="center"/>
        </w:trPr>
        <w:tc>
          <w:tcPr>
            <w:tcW w:w="432" w:type="dxa"/>
            <w:shd w:val="clear" w:color="auto" w:fill="1A3C6E"/>
          </w:tcPr>
          <w:p w14:paraId="18DCC33E" w14:textId="6CF844D3" w:rsidR="00634E0F" w:rsidRDefault="00E207CC">
            <w:r>
              <w:t>4</w:t>
            </w:r>
          </w:p>
        </w:tc>
        <w:tc>
          <w:tcPr>
            <w:tcW w:w="2160" w:type="dxa"/>
            <w:shd w:val="clear" w:color="auto" w:fill="F2F6FC"/>
          </w:tcPr>
          <w:p w14:paraId="683AD06D" w14:textId="51297A49" w:rsidR="00634E0F" w:rsidRDefault="00E34107">
            <w:r>
              <w:rPr>
                <w:b/>
                <w:sz w:val="14"/>
              </w:rPr>
              <w:t xml:space="preserve">Add a </w:t>
            </w:r>
            <w:r w:rsidR="006A196E">
              <w:rPr>
                <w:b/>
                <w:sz w:val="14"/>
              </w:rPr>
              <w:t xml:space="preserve">second </w:t>
            </w:r>
            <w:r>
              <w:rPr>
                <w:b/>
                <w:sz w:val="14"/>
              </w:rPr>
              <w:t>alert at 80% ($</w:t>
            </w:r>
            <w:r w:rsidR="00DC7780">
              <w:rPr>
                <w:b/>
                <w:sz w:val="14"/>
              </w:rPr>
              <w:t>800</w:t>
            </w:r>
            <w:r>
              <w:rPr>
                <w:b/>
                <w:sz w:val="14"/>
              </w:rPr>
              <w:t>)</w:t>
            </w:r>
          </w:p>
        </w:tc>
        <w:tc>
          <w:tcPr>
            <w:tcW w:w="7632" w:type="dxa"/>
            <w:shd w:val="clear" w:color="auto" w:fill="F2F6FC"/>
          </w:tcPr>
          <w:p w14:paraId="335ADA90" w14:textId="77777777" w:rsidR="00634E0F" w:rsidRDefault="00E34107">
            <w:r>
              <w:rPr>
                <w:sz w:val="13"/>
              </w:rPr>
              <w:t>Add another condition: Type: Actual, % of budget: 80. At this point, stop all ingestion and escalate.</w:t>
            </w:r>
          </w:p>
        </w:tc>
      </w:tr>
      <w:tr w:rsidR="00634E0F" w14:paraId="7BB00BE5" w14:textId="77777777">
        <w:trPr>
          <w:jc w:val="center"/>
        </w:trPr>
        <w:tc>
          <w:tcPr>
            <w:tcW w:w="432" w:type="dxa"/>
            <w:shd w:val="clear" w:color="auto" w:fill="1A3C6E"/>
          </w:tcPr>
          <w:p w14:paraId="1B8C483C" w14:textId="2DADDC1B" w:rsidR="00634E0F" w:rsidRDefault="00E207CC">
            <w:r>
              <w:t>5</w:t>
            </w:r>
          </w:p>
        </w:tc>
        <w:tc>
          <w:tcPr>
            <w:tcW w:w="2160" w:type="dxa"/>
          </w:tcPr>
          <w:p w14:paraId="6FBBE230" w14:textId="77777777" w:rsidR="00634E0F" w:rsidRDefault="00E34107">
            <w:r>
              <w:rPr>
                <w:b/>
                <w:sz w:val="14"/>
              </w:rPr>
              <w:t>Set alert recipients</w:t>
            </w:r>
          </w:p>
        </w:tc>
        <w:tc>
          <w:tcPr>
            <w:tcW w:w="7632" w:type="dxa"/>
          </w:tcPr>
          <w:p w14:paraId="15E134B7" w14:textId="77777777" w:rsidR="00634E0F" w:rsidRDefault="00E34107">
            <w:r>
              <w:rPr>
                <w:sz w:val="13"/>
              </w:rPr>
              <w:t>Under "Alert recipients (email)", add: all engineers on the deployment, the Solution Architect, the PM, and the customer technical contact. The more eyes, the faster the response.</w:t>
            </w:r>
          </w:p>
        </w:tc>
      </w:tr>
      <w:tr w:rsidR="00634E0F" w14:paraId="1C5849D5" w14:textId="77777777">
        <w:trPr>
          <w:jc w:val="center"/>
        </w:trPr>
        <w:tc>
          <w:tcPr>
            <w:tcW w:w="432" w:type="dxa"/>
            <w:shd w:val="clear" w:color="auto" w:fill="1A3C6E"/>
          </w:tcPr>
          <w:p w14:paraId="2BC551F8" w14:textId="4B6BEA8F" w:rsidR="00634E0F" w:rsidRDefault="00E207CC">
            <w:r>
              <w:t>6</w:t>
            </w:r>
          </w:p>
        </w:tc>
        <w:tc>
          <w:tcPr>
            <w:tcW w:w="2160" w:type="dxa"/>
            <w:shd w:val="clear" w:color="auto" w:fill="F2F6FC"/>
          </w:tcPr>
          <w:p w14:paraId="4BE661A6" w14:textId="77777777" w:rsidR="00634E0F" w:rsidRDefault="00E34107">
            <w:r>
              <w:rPr>
                <w:b/>
                <w:sz w:val="14"/>
              </w:rPr>
              <w:t>Add an Action Group (optional but recommended)</w:t>
            </w:r>
          </w:p>
        </w:tc>
        <w:tc>
          <w:tcPr>
            <w:tcW w:w="7632" w:type="dxa"/>
            <w:shd w:val="clear" w:color="auto" w:fill="F2F6FC"/>
          </w:tcPr>
          <w:p w14:paraId="603CECE0" w14:textId="77777777" w:rsidR="00634E0F" w:rsidRDefault="00E34107">
            <w:r>
              <w:rPr>
                <w:sz w:val="13"/>
              </w:rPr>
              <w:t>Click "Manage action group" → Create. An action group can send SMS in addition to email, or trigger an Azure Function / Logic App to automatically scale the Container App to 0 replicas — giving you an auto-shutdown at threshold.</w:t>
            </w:r>
          </w:p>
        </w:tc>
      </w:tr>
      <w:tr w:rsidR="00634E0F" w14:paraId="5CB83711" w14:textId="77777777">
        <w:trPr>
          <w:jc w:val="center"/>
        </w:trPr>
        <w:tc>
          <w:tcPr>
            <w:tcW w:w="432" w:type="dxa"/>
            <w:shd w:val="clear" w:color="auto" w:fill="1A3C6E"/>
          </w:tcPr>
          <w:p w14:paraId="02153EE8" w14:textId="07BC8684" w:rsidR="00634E0F" w:rsidRDefault="00E207CC">
            <w:r>
              <w:t>7</w:t>
            </w:r>
          </w:p>
        </w:tc>
        <w:tc>
          <w:tcPr>
            <w:tcW w:w="2160" w:type="dxa"/>
          </w:tcPr>
          <w:p w14:paraId="041B0B8C" w14:textId="77777777" w:rsidR="00634E0F" w:rsidRDefault="00E34107">
            <w:r>
              <w:rPr>
                <w:b/>
                <w:sz w:val="14"/>
              </w:rPr>
              <w:t>Save and verify</w:t>
            </w:r>
          </w:p>
        </w:tc>
        <w:tc>
          <w:tcPr>
            <w:tcW w:w="7632" w:type="dxa"/>
          </w:tcPr>
          <w:p w14:paraId="1C96B55B" w14:textId="77777777" w:rsidR="00634E0F" w:rsidRDefault="00E34107">
            <w:r>
              <w:rPr>
                <w:sz w:val="13"/>
              </w:rPr>
              <w:t>Click "Create". Verify the budget appears in the Budgets blade. Confirm all recipients received the confirmation email. Screenshot the budget config and share it with the customer.</w:t>
            </w:r>
          </w:p>
        </w:tc>
      </w:tr>
    </w:tbl>
    <w:p w14:paraId="50B230B4" w14:textId="77777777" w:rsidR="002014BF" w:rsidRDefault="002014BF">
      <w:pPr>
        <w:spacing w:before="80"/>
        <w:rPr>
          <w:b/>
          <w:color w:val="1A3C6E"/>
          <w:sz w:val="18"/>
        </w:rPr>
      </w:pPr>
    </w:p>
    <w:p w14:paraId="60F5D6AF" w14:textId="77777777" w:rsidR="002014BF" w:rsidRDefault="002014BF" w:rsidP="002014BF">
      <w:pPr>
        <w:spacing w:before="80"/>
      </w:pPr>
      <w:r>
        <w:rPr>
          <w:b/>
          <w:color w:val="1A3C6E"/>
          <w:sz w:val="18"/>
        </w:rPr>
        <w:t>If Cost Spikes — Emergency Steps</w:t>
      </w:r>
    </w:p>
    <w:p w14:paraId="5239DADA" w14:textId="77777777" w:rsidR="002014BF" w:rsidRDefault="002014BF" w:rsidP="002014BF">
      <w:pPr>
        <w:spacing w:before="0"/>
      </w:pPr>
      <w:r>
        <w:rPr>
          <w:sz w:val="14"/>
        </w:rPr>
        <w:t>If you receive a budget alert or notice unexpected charges, take these steps immediately: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5400"/>
      </w:tblGrid>
      <w:tr w:rsidR="002014BF" w14:paraId="4ED69C38" w14:textId="77777777" w:rsidTr="00E34107">
        <w:trPr>
          <w:jc w:val="center"/>
        </w:trPr>
        <w:tc>
          <w:tcPr>
            <w:tcW w:w="2304" w:type="dxa"/>
            <w:shd w:val="clear" w:color="auto" w:fill="FFF8F0"/>
          </w:tcPr>
          <w:p w14:paraId="108DD0E3" w14:textId="77777777" w:rsidR="002014BF" w:rsidRDefault="002014BF" w:rsidP="00E34107">
            <w:r>
              <w:rPr>
                <w:b/>
                <w:sz w:val="14"/>
              </w:rPr>
              <w:t>1. Stop ingestion</w:t>
            </w:r>
          </w:p>
        </w:tc>
        <w:tc>
          <w:tcPr>
            <w:tcW w:w="5400" w:type="dxa"/>
            <w:shd w:val="clear" w:color="auto" w:fill="FFF8F0"/>
          </w:tcPr>
          <w:p w14:paraId="2B935953" w14:textId="77777777" w:rsidR="002014BF" w:rsidRDefault="002014BF" w:rsidP="00E34107">
            <w:r>
              <w:rPr>
                <w:sz w:val="13"/>
              </w:rPr>
              <w:t>Container App → Scale → Set Min and Max replicas to 0</w:t>
            </w:r>
          </w:p>
        </w:tc>
      </w:tr>
      <w:tr w:rsidR="002014BF" w14:paraId="05E72F10" w14:textId="77777777" w:rsidTr="00E34107">
        <w:trPr>
          <w:jc w:val="center"/>
        </w:trPr>
        <w:tc>
          <w:tcPr>
            <w:tcW w:w="2304" w:type="dxa"/>
          </w:tcPr>
          <w:p w14:paraId="1A33ECBC" w14:textId="77777777" w:rsidR="002014BF" w:rsidRDefault="002014BF" w:rsidP="00E34107">
            <w:r>
              <w:rPr>
                <w:b/>
                <w:sz w:val="14"/>
              </w:rPr>
              <w:t>2. Block network access</w:t>
            </w:r>
          </w:p>
        </w:tc>
        <w:tc>
          <w:tcPr>
            <w:tcW w:w="5400" w:type="dxa"/>
          </w:tcPr>
          <w:p w14:paraId="550D9A59" w14:textId="77777777" w:rsidR="002014BF" w:rsidRDefault="002014BF" w:rsidP="00E34107">
            <w:r>
              <w:rPr>
                <w:sz w:val="13"/>
              </w:rPr>
              <w:t>AI Foundry resource → Networking → Set Public access to Disabled</w:t>
            </w:r>
          </w:p>
        </w:tc>
      </w:tr>
      <w:tr w:rsidR="002014BF" w14:paraId="77ED2955" w14:textId="77777777" w:rsidTr="00E34107">
        <w:trPr>
          <w:jc w:val="center"/>
        </w:trPr>
        <w:tc>
          <w:tcPr>
            <w:tcW w:w="2304" w:type="dxa"/>
            <w:shd w:val="clear" w:color="auto" w:fill="FFF8F0"/>
          </w:tcPr>
          <w:p w14:paraId="11052D6A" w14:textId="77777777" w:rsidR="002014BF" w:rsidRDefault="002014BF" w:rsidP="00E34107">
            <w:r>
              <w:rPr>
                <w:b/>
                <w:sz w:val="14"/>
              </w:rPr>
              <w:t>3. Reject private endpoints</w:t>
            </w:r>
          </w:p>
        </w:tc>
        <w:tc>
          <w:tcPr>
            <w:tcW w:w="5400" w:type="dxa"/>
            <w:shd w:val="clear" w:color="auto" w:fill="FFF8F0"/>
          </w:tcPr>
          <w:p w14:paraId="0EAC029E" w14:textId="77777777" w:rsidR="002014BF" w:rsidRDefault="002014BF" w:rsidP="00E34107">
            <w:r>
              <w:rPr>
                <w:sz w:val="13"/>
              </w:rPr>
              <w:t>AI Foundry → Networking → Private endpoint connections → Reject all</w:t>
            </w:r>
          </w:p>
        </w:tc>
      </w:tr>
      <w:tr w:rsidR="002014BF" w14:paraId="0DF918FC" w14:textId="77777777" w:rsidTr="00E34107">
        <w:trPr>
          <w:jc w:val="center"/>
        </w:trPr>
        <w:tc>
          <w:tcPr>
            <w:tcW w:w="2304" w:type="dxa"/>
          </w:tcPr>
          <w:p w14:paraId="60579C16" w14:textId="77777777" w:rsidR="002014BF" w:rsidRDefault="002014BF" w:rsidP="00E34107">
            <w:r>
              <w:rPr>
                <w:b/>
                <w:sz w:val="14"/>
              </w:rPr>
              <w:t>4. Verify in Cost Analysis</w:t>
            </w:r>
          </w:p>
        </w:tc>
        <w:tc>
          <w:tcPr>
            <w:tcW w:w="5400" w:type="dxa"/>
          </w:tcPr>
          <w:p w14:paraId="1C0BDBB9" w14:textId="77777777" w:rsidR="002014BF" w:rsidRDefault="002014BF" w:rsidP="00E34107">
            <w:r>
              <w:rPr>
                <w:sz w:val="13"/>
              </w:rPr>
              <w:t>Resource group → Cost Analysis → Group by Meter → Confirm no new charges accruing</w:t>
            </w:r>
          </w:p>
        </w:tc>
      </w:tr>
    </w:tbl>
    <w:p w14:paraId="13989E19" w14:textId="77777777" w:rsidR="002014BF" w:rsidRDefault="002014BF">
      <w:pPr>
        <w:spacing w:before="80"/>
        <w:rPr>
          <w:b/>
          <w:color w:val="1A3C6E"/>
          <w:sz w:val="18"/>
        </w:rPr>
      </w:pPr>
    </w:p>
    <w:p w14:paraId="1BC99983" w14:textId="1947D074" w:rsidR="002014BF" w:rsidRPr="002014BF" w:rsidRDefault="002014BF">
      <w:pPr>
        <w:spacing w:before="80"/>
        <w:rPr>
          <w:b/>
          <w:color w:val="1A3C6E"/>
          <w:sz w:val="18"/>
          <w:u w:val="single"/>
        </w:rPr>
      </w:pPr>
      <w:r w:rsidRPr="002014BF">
        <w:rPr>
          <w:b/>
          <w:color w:val="1A3C6E"/>
          <w:sz w:val="18"/>
          <w:u w:val="single"/>
        </w:rPr>
        <w:t>FOR ALL GPT-RAG CUSTOMERS AND USERS</w:t>
      </w:r>
    </w:p>
    <w:p w14:paraId="1D6C203B" w14:textId="2C8E6D54" w:rsidR="00634E0F" w:rsidRDefault="00E34107">
      <w:pPr>
        <w:spacing w:before="80"/>
      </w:pPr>
      <w:r>
        <w:rPr>
          <w:b/>
          <w:color w:val="1A3C6E"/>
          <w:sz w:val="18"/>
        </w:rPr>
        <w:t>Additional Best Practices</w:t>
      </w:r>
    </w:p>
    <w:tbl>
      <w:tblPr>
        <w:tblStyle w:val="GridTable4-Accent1"/>
        <w:tblW w:w="0" w:type="auto"/>
        <w:jc w:val="center"/>
        <w:tblLook w:val="0480" w:firstRow="0" w:lastRow="0" w:firstColumn="1" w:lastColumn="0" w:noHBand="0" w:noVBand="1"/>
      </w:tblPr>
      <w:tblGrid>
        <w:gridCol w:w="2592"/>
        <w:gridCol w:w="5400"/>
      </w:tblGrid>
      <w:tr w:rsidR="00E91FF1" w14:paraId="23747DA0" w14:textId="77777777" w:rsidTr="00C54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6D0E5AD" w14:textId="0A7D0882" w:rsidR="00E91FF1" w:rsidRDefault="00E91FF1" w:rsidP="00E91FF1">
            <w:pPr>
              <w:rPr>
                <w:b w:val="0"/>
                <w:sz w:val="14"/>
              </w:rPr>
            </w:pPr>
            <w:r>
              <w:rPr>
                <w:sz w:val="14"/>
              </w:rPr>
              <w:t xml:space="preserve">Use the latest version </w:t>
            </w:r>
          </w:p>
        </w:tc>
        <w:tc>
          <w:tcPr>
            <w:tcW w:w="5400" w:type="dxa"/>
          </w:tcPr>
          <w:p w14:paraId="1707DB4B" w14:textId="2BB5B74C" w:rsidR="00E91FF1" w:rsidRDefault="009447A2" w:rsidP="00E91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</w:rPr>
            </w:pPr>
            <w:r>
              <w:rPr>
                <w:sz w:val="13"/>
              </w:rPr>
              <w:t>New version often includes critical fixes</w:t>
            </w:r>
            <w:r w:rsidR="00315DA1">
              <w:rPr>
                <w:sz w:val="13"/>
              </w:rPr>
              <w:t xml:space="preserve"> for known bugs</w:t>
            </w:r>
          </w:p>
        </w:tc>
      </w:tr>
      <w:tr w:rsidR="00634E0F" w14:paraId="14415A12" w14:textId="77777777" w:rsidTr="00C542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81D30E7" w14:textId="77777777" w:rsidR="00634E0F" w:rsidRDefault="00E34107">
            <w:r>
              <w:rPr>
                <w:sz w:val="14"/>
              </w:rPr>
              <w:t>Test with 1–2 small files first</w:t>
            </w:r>
          </w:p>
        </w:tc>
        <w:tc>
          <w:tcPr>
            <w:tcW w:w="5400" w:type="dxa"/>
          </w:tcPr>
          <w:p w14:paraId="72E9F3F8" w14:textId="77777777" w:rsidR="00634E0F" w:rsidRDefault="00E3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3"/>
              </w:rPr>
              <w:t>Upload one file, wait for ingestion to fully complete, and verify the cost in Cost Analysis before uploading remaining documents. This confirms the per-file cost and catches retry loops early.</w:t>
            </w:r>
          </w:p>
        </w:tc>
      </w:tr>
      <w:tr w:rsidR="00634E0F" w14:paraId="3D791D1E" w14:textId="77777777" w:rsidTr="00C54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A292A73" w14:textId="77777777" w:rsidR="00634E0F" w:rsidRDefault="00E34107">
            <w:r>
              <w:rPr>
                <w:sz w:val="14"/>
              </w:rPr>
              <w:t>Increase embeddings quota before ingesting large docs</w:t>
            </w:r>
          </w:p>
        </w:tc>
        <w:tc>
          <w:tcPr>
            <w:tcW w:w="5400" w:type="dxa"/>
          </w:tcPr>
          <w:p w14:paraId="084E4351" w14:textId="77777777" w:rsidR="00634E0F" w:rsidRDefault="00E34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3"/>
              </w:rPr>
              <w:t>Large documents (1,000+ pages) generate thousands of chunks. If the embedding model quota (TPM) is too low, embeddings will fail with 429 errors and the pipeline may retry — re-calling Document Intelligence each time. Set embeddings quota to at least 100K TPM (AI Foundry → Model deployments → Edit).</w:t>
            </w:r>
          </w:p>
        </w:tc>
      </w:tr>
      <w:tr w:rsidR="00634E0F" w14:paraId="7C066BB0" w14:textId="77777777" w:rsidTr="00C542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A5EE58E" w14:textId="77777777" w:rsidR="00634E0F" w:rsidRDefault="00E34107">
            <w:r>
              <w:rPr>
                <w:sz w:val="14"/>
              </w:rPr>
              <w:t>Estimate ingestion costs in advance</w:t>
            </w:r>
          </w:p>
        </w:tc>
        <w:tc>
          <w:tcPr>
            <w:tcW w:w="5400" w:type="dxa"/>
          </w:tcPr>
          <w:p w14:paraId="55997ABC" w14:textId="77777777" w:rsidR="00634E0F" w:rsidRDefault="00E3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3"/>
              </w:rPr>
              <w:t>Document Intelligence charges per page. Count or estimate total pages across all files and multiply by the DI rate for your configured model and add-ons. Share the estimate with the customer before uploading. Azure pricing: https://azure.microsoft.com/pricing/details/ai-document-intelligence/</w:t>
            </w:r>
          </w:p>
        </w:tc>
      </w:tr>
      <w:tr w:rsidR="00054C1A" w14:paraId="4DF4DCD9" w14:textId="77777777" w:rsidTr="00C54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F57A897" w14:textId="7CBE01FD" w:rsidR="00054C1A" w:rsidRDefault="00054C1A">
            <w:pPr>
              <w:rPr>
                <w:b w:val="0"/>
                <w:sz w:val="14"/>
              </w:rPr>
            </w:pPr>
            <w:r>
              <w:rPr>
                <w:sz w:val="14"/>
              </w:rPr>
              <w:t>Keep replicas min and max = 1</w:t>
            </w:r>
          </w:p>
        </w:tc>
        <w:tc>
          <w:tcPr>
            <w:tcW w:w="5400" w:type="dxa"/>
          </w:tcPr>
          <w:p w14:paraId="60EBB7BE" w14:textId="4BAD2595" w:rsidR="00054C1A" w:rsidRDefault="00050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</w:rPr>
            </w:pPr>
            <w:r>
              <w:rPr>
                <w:sz w:val="13"/>
              </w:rPr>
              <w:t>Increasing max replicas can amplify the cost</w:t>
            </w:r>
            <w:r w:rsidR="00BC1D1F">
              <w:rPr>
                <w:sz w:val="13"/>
              </w:rPr>
              <w:t xml:space="preserve"> and complexity.</w:t>
            </w:r>
          </w:p>
        </w:tc>
      </w:tr>
      <w:tr w:rsidR="00AA6C1D" w14:paraId="01E28568" w14:textId="77777777" w:rsidTr="00C542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CC1CF17" w14:textId="622EB6B2" w:rsidR="00AA6C1D" w:rsidRDefault="00A8655D">
            <w:pPr>
              <w:rPr>
                <w:b w:val="0"/>
                <w:sz w:val="14"/>
              </w:rPr>
            </w:pPr>
            <w:r>
              <w:rPr>
                <w:sz w:val="14"/>
              </w:rPr>
              <w:t xml:space="preserve">Ensure </w:t>
            </w:r>
            <w:r w:rsidR="00707D80">
              <w:rPr>
                <w:sz w:val="14"/>
              </w:rPr>
              <w:t xml:space="preserve">ingestion container app memory </w:t>
            </w:r>
            <w:r w:rsidR="00D40F8D">
              <w:rPr>
                <w:sz w:val="14"/>
              </w:rPr>
              <w:t>matches document size</w:t>
            </w:r>
          </w:p>
        </w:tc>
        <w:tc>
          <w:tcPr>
            <w:tcW w:w="5400" w:type="dxa"/>
          </w:tcPr>
          <w:p w14:paraId="223261E6" w14:textId="77575E89" w:rsidR="00AA6C1D" w:rsidRDefault="007E7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</w:rPr>
            </w:pPr>
            <w:r>
              <w:rPr>
                <w:sz w:val="13"/>
              </w:rPr>
              <w:t xml:space="preserve">See </w:t>
            </w:r>
            <w:r w:rsidR="009A5CBC">
              <w:rPr>
                <w:sz w:val="13"/>
              </w:rPr>
              <w:t xml:space="preserve">issue for additional guidance </w:t>
            </w:r>
            <w:hyperlink r:id="rId5" w:history="1">
              <w:r w:rsidRPr="00F37405">
                <w:rPr>
                  <w:rStyle w:val="Hyperlink"/>
                  <w:sz w:val="13"/>
                </w:rPr>
                <w:t>https://github.com/Azure/GPT-RAG/issues/438</w:t>
              </w:r>
            </w:hyperlink>
          </w:p>
        </w:tc>
      </w:tr>
    </w:tbl>
    <w:p w14:paraId="563A35FB" w14:textId="6CD3AF86" w:rsidR="00634E0F" w:rsidRDefault="00E34107">
      <w:pPr>
        <w:spacing w:before="100" w:after="0"/>
        <w:jc w:val="center"/>
      </w:pPr>
      <w:r>
        <w:rPr>
          <w:i/>
          <w:color w:val="999999"/>
          <w:sz w:val="12"/>
        </w:rPr>
        <w:t>Questions? Contact James Pace (AI Lead / CFTL) or Paulo Lacerda (</w:t>
      </w:r>
      <w:r w:rsidR="007E753E">
        <w:rPr>
          <w:i/>
          <w:color w:val="999999"/>
          <w:sz w:val="12"/>
        </w:rPr>
        <w:t>tech success</w:t>
      </w:r>
      <w:r>
        <w:rPr>
          <w:i/>
          <w:color w:val="999999"/>
          <w:sz w:val="12"/>
        </w:rPr>
        <w:t xml:space="preserve"> team)</w:t>
      </w:r>
    </w:p>
    <w:sectPr w:rsidR="00634E0F" w:rsidSect="00034616">
      <w:pgSz w:w="12240" w:h="15840"/>
      <w:pgMar w:top="504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4247113">
    <w:abstractNumId w:val="6"/>
  </w:num>
  <w:num w:numId="2" w16cid:durableId="1422950214">
    <w:abstractNumId w:val="5"/>
  </w:num>
  <w:num w:numId="3" w16cid:durableId="1610625652">
    <w:abstractNumId w:val="3"/>
  </w:num>
  <w:num w:numId="4" w16cid:durableId="1696225699">
    <w:abstractNumId w:val="4"/>
  </w:num>
  <w:num w:numId="5" w16cid:durableId="1865248998">
    <w:abstractNumId w:val="8"/>
  </w:num>
  <w:num w:numId="6" w16cid:durableId="288513358">
    <w:abstractNumId w:val="2"/>
  </w:num>
  <w:num w:numId="7" w16cid:durableId="464355238">
    <w:abstractNumId w:val="1"/>
  </w:num>
  <w:num w:numId="8" w16cid:durableId="612513235">
    <w:abstractNumId w:val="0"/>
  </w:num>
  <w:num w:numId="9" w16cid:durableId="8933494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E35"/>
    <w:rsid w:val="00054C1A"/>
    <w:rsid w:val="0006063C"/>
    <w:rsid w:val="0015074B"/>
    <w:rsid w:val="002014BF"/>
    <w:rsid w:val="00290180"/>
    <w:rsid w:val="0029190C"/>
    <w:rsid w:val="0029639D"/>
    <w:rsid w:val="00315DA1"/>
    <w:rsid w:val="00326F90"/>
    <w:rsid w:val="003877CD"/>
    <w:rsid w:val="004471C9"/>
    <w:rsid w:val="005C19B7"/>
    <w:rsid w:val="00634E0F"/>
    <w:rsid w:val="006A196E"/>
    <w:rsid w:val="00707D80"/>
    <w:rsid w:val="007E753E"/>
    <w:rsid w:val="007F5C15"/>
    <w:rsid w:val="008C1446"/>
    <w:rsid w:val="009447A2"/>
    <w:rsid w:val="009A5CBC"/>
    <w:rsid w:val="009E756F"/>
    <w:rsid w:val="00A3515D"/>
    <w:rsid w:val="00A40E1B"/>
    <w:rsid w:val="00A8655D"/>
    <w:rsid w:val="00A93DC6"/>
    <w:rsid w:val="00AA1D8D"/>
    <w:rsid w:val="00AA6C1D"/>
    <w:rsid w:val="00AC093A"/>
    <w:rsid w:val="00B0728D"/>
    <w:rsid w:val="00B47730"/>
    <w:rsid w:val="00BC1D1F"/>
    <w:rsid w:val="00BF4130"/>
    <w:rsid w:val="00C46FF6"/>
    <w:rsid w:val="00C542B0"/>
    <w:rsid w:val="00CB0664"/>
    <w:rsid w:val="00CE1F90"/>
    <w:rsid w:val="00D40F8D"/>
    <w:rsid w:val="00DC7780"/>
    <w:rsid w:val="00E044DE"/>
    <w:rsid w:val="00E207CC"/>
    <w:rsid w:val="00E34107"/>
    <w:rsid w:val="00E91FF1"/>
    <w:rsid w:val="00FC2F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062061"/>
  <w14:defaultImageDpi w14:val="300"/>
  <w15:docId w15:val="{ADFD249E-E6DE-4360-B769-631F72B17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20" w:after="20" w:line="240" w:lineRule="auto"/>
    </w:pPr>
    <w:rPr>
      <w:rFonts w:ascii="Calibri" w:hAnsi="Calibri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3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93D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D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1D1F"/>
    <w:rPr>
      <w:color w:val="800080" w:themeColor="followedHyperlink"/>
      <w:u w:val="single"/>
    </w:rPr>
  </w:style>
  <w:style w:type="table" w:styleId="GridTable4-Accent1">
    <w:name w:val="Grid Table 4 Accent 1"/>
    <w:basedOn w:val="TableNormal"/>
    <w:uiPriority w:val="49"/>
    <w:rsid w:val="004471C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zure/GPT-RAG/issues/43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Pace</cp:lastModifiedBy>
  <cp:revision>31</cp:revision>
  <dcterms:created xsi:type="dcterms:W3CDTF">2013-12-23T23:15:00Z</dcterms:created>
  <dcterms:modified xsi:type="dcterms:W3CDTF">2026-04-17T15:13:00Z</dcterms:modified>
  <cp:category/>
</cp:coreProperties>
</file>