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0"/>
          <w:szCs w:val="80"/>
        </w:rPr>
        <w:t xml:space="preserve"/>
      </w:r>
    </w:p>
    <w:p>
      <w:pPr>
        <w:jc w:val="center"/>
      </w:pPr>
      <w:r>
        <w:rPr>
          <w:rFonts w:ascii="Arial" w:cs="Arial" w:eastAsia="Arial" w:hAnsi="Arial"/>
          <w:b/>
          <w:bCs/>
          <w:color w:val="0D1B2A"/>
          <w:sz w:val="96"/>
          <w:szCs w:val="96"/>
        </w:rPr>
        <w:t xml:space="preserve">PROJECT NEXUS</w:t>
      </w:r>
    </w:p>
    <w:p>
      <w:pPr>
        <w:spacing w:after="0" w:before="0"/>
      </w:pPr>
      <w:r>
        <w:rPr>
          <w:sz w:val="8"/>
          <w:szCs w:val="8"/>
        </w:rPr>
        <w:t xml:space="preserve"/>
      </w:r>
    </w:p>
    <w:p>
      <w:pPr>
        <w:jc w:val="center"/>
      </w:pPr>
      <w:r>
        <w:rPr>
          <w:rFonts w:ascii="Arial" w:cs="Arial" w:eastAsia="Arial" w:hAnsi="Arial"/>
          <w:b/>
          <w:bCs/>
          <w:color w:val="1565C0"/>
          <w:sz w:val="36"/>
          <w:szCs w:val="36"/>
        </w:rPr>
        <w:t xml:space="preserve">Enterprise Azure Full-Stack Data Platform</w:t>
      </w:r>
    </w:p>
    <w:p>
      <w:pPr>
        <w:spacing w:after="0" w:before="0"/>
      </w:pPr>
      <w:r>
        <w:rPr>
          <w:sz w:val="12"/>
          <w:szCs w:val="12"/>
        </w:rPr>
        <w:t xml:space="preserve"/>
      </w:r>
    </w:p>
    <w:p>
      <w:pPr>
        <w:jc w:val="center"/>
      </w:pPr>
      <w:r>
        <w:rPr>
          <w:color w:val="1565C0"/>
          <w:sz w:val="24"/>
          <w:szCs w:val="24"/>
        </w:rPr>
        <w:t xml:space="preserve">─────────────────────────────────────────────</w:t>
      </w:r>
    </w:p>
    <w:p>
      <w:pPr>
        <w:spacing w:after="0" w:before="0"/>
      </w:pPr>
      <w:r>
        <w:rPr>
          <w:sz w:val="12"/>
          <w:szCs w:val="12"/>
        </w:rPr>
        <w:t xml:space="preserve"/>
      </w:r>
    </w:p>
    <w:p>
      <w:pPr>
        <w:jc w:val="center"/>
      </w:pPr>
      <w:r>
        <w:rPr>
          <w:rFonts w:ascii="Arial" w:cs="Arial" w:eastAsia="Arial" w:hAnsi="Arial"/>
          <w:color w:val="6B7280"/>
          <w:sz w:val="22"/>
          <w:szCs w:val="22"/>
        </w:rPr>
        <w:t xml:space="preserve">Heterogeneous Sources  •  Real-Time Streaming  •  Batch ETL</w:t>
      </w:r>
    </w:p>
    <w:p>
      <w:pPr>
        <w:jc w:val="center"/>
      </w:pPr>
      <w:r>
        <w:rPr>
          <w:rFonts w:ascii="Arial" w:cs="Arial" w:eastAsia="Arial" w:hAnsi="Arial"/>
          <w:color w:val="6B7280"/>
          <w:sz w:val="22"/>
          <w:szCs w:val="22"/>
        </w:rPr>
        <w:t xml:space="preserve">Medallion Architecture  •  Delta Lake  •  ML Pipeline  •  Full Observability</w:t>
      </w:r>
    </w:p>
    <w:p>
      <w:pPr>
        <w:spacing w:after="0" w:before="0"/>
      </w:pPr>
      <w:r>
        <w:rPr>
          <w:sz w:val="32"/>
          <w:szCs w:val="3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tblGrid>
      <w:tr>
        <w:tc>
          <w:tcPr>
            <w:tcW w:type="dxa" w:w="1600"/>
            <w:tcBorders>
              <w:top w:val="single" w:color="E5E7EB" w:sz="1"/>
              <w:left w:val="single" w:color="E5E7EB" w:sz="1"/>
              <w:bottom w:val="single" w:color="E5E7EB" w:sz="1"/>
              <w:right w:val="single" w:color="E5E7EB" w:sz="1"/>
            </w:tcBorders>
            <w:shd w:fill="EFF6FF" w:val="clear"/>
            <w:tcMar>
              <w:top w:type="dxa" w:w="120"/>
              <w:left w:type="dxa" w:w="80"/>
              <w:bottom w:type="dxa" w:w="120"/>
              <w:right w:type="dxa" w:w="80"/>
            </w:tcMar>
          </w:tcPr>
          <w:p>
            <w:pPr>
              <w:jc w:val="center"/>
            </w:pPr>
            <w:r>
              <w:rPr>
                <w:rFonts w:ascii="Arial" w:cs="Arial" w:eastAsia="Arial" w:hAnsi="Arial"/>
                <w:b/>
                <w:bCs/>
                <w:color w:val="1565C0"/>
                <w:sz w:val="56"/>
                <w:szCs w:val="56"/>
              </w:rPr>
              <w:t xml:space="preserve">8</w:t>
            </w:r>
          </w:p>
          <w:p>
            <w:pPr>
              <w:jc w:val="center"/>
            </w:pPr>
            <w:r>
              <w:rPr>
                <w:rFonts w:ascii="Arial" w:cs="Arial" w:eastAsia="Arial" w:hAnsi="Arial"/>
                <w:color w:val="0D1B2A"/>
                <w:sz w:val="18"/>
                <w:szCs w:val="18"/>
              </w:rPr>
              <w:t xml:space="preserve">Data Sources</w:t>
            </w:r>
          </w:p>
        </w:tc>
        <w:tc>
          <w:tcPr>
            <w:tcW w:type="dxa" w:w="1600"/>
            <w:tcBorders>
              <w:top w:val="single" w:color="E5E7EB" w:sz="1"/>
              <w:left w:val="single" w:color="E5E7EB" w:sz="1"/>
              <w:bottom w:val="single" w:color="E5E7EB" w:sz="1"/>
              <w:right w:val="single" w:color="E5E7EB" w:sz="1"/>
            </w:tcBorders>
            <w:shd w:fill="EFF6FF" w:val="clear"/>
            <w:tcMar>
              <w:top w:type="dxa" w:w="120"/>
              <w:left w:type="dxa" w:w="80"/>
              <w:bottom w:type="dxa" w:w="120"/>
              <w:right w:type="dxa" w:w="80"/>
            </w:tcMar>
          </w:tcPr>
          <w:p>
            <w:pPr>
              <w:jc w:val="center"/>
            </w:pPr>
            <w:r>
              <w:rPr>
                <w:rFonts w:ascii="Arial" w:cs="Arial" w:eastAsia="Arial" w:hAnsi="Arial"/>
                <w:b/>
                <w:bCs/>
                <w:color w:val="1565C0"/>
                <w:sz w:val="56"/>
                <w:szCs w:val="56"/>
              </w:rPr>
              <w:t xml:space="preserve">5</w:t>
            </w:r>
          </w:p>
          <w:p>
            <w:pPr>
              <w:jc w:val="center"/>
            </w:pPr>
            <w:r>
              <w:rPr>
                <w:rFonts w:ascii="Arial" w:cs="Arial" w:eastAsia="Arial" w:hAnsi="Arial"/>
                <w:color w:val="0D1B2A"/>
                <w:sz w:val="18"/>
                <w:szCs w:val="18"/>
              </w:rPr>
              <w:t xml:space="preserve">Azure Services</w:t>
            </w:r>
          </w:p>
        </w:tc>
        <w:tc>
          <w:tcPr>
            <w:tcW w:type="dxa" w:w="1600"/>
            <w:tcBorders>
              <w:top w:val="single" w:color="E5E7EB" w:sz="1"/>
              <w:left w:val="single" w:color="E5E7EB" w:sz="1"/>
              <w:bottom w:val="single" w:color="E5E7EB" w:sz="1"/>
              <w:right w:val="single" w:color="E5E7EB" w:sz="1"/>
            </w:tcBorders>
            <w:shd w:fill="EFF6FF" w:val="clear"/>
            <w:tcMar>
              <w:top w:type="dxa" w:w="120"/>
              <w:left w:type="dxa" w:w="80"/>
              <w:bottom w:type="dxa" w:w="120"/>
              <w:right w:type="dxa" w:w="80"/>
            </w:tcMar>
          </w:tcPr>
          <w:p>
            <w:pPr>
              <w:jc w:val="center"/>
            </w:pPr>
            <w:r>
              <w:rPr>
                <w:rFonts w:ascii="Arial" w:cs="Arial" w:eastAsia="Arial" w:hAnsi="Arial"/>
                <w:b/>
                <w:bCs/>
                <w:color w:val="1565C0"/>
                <w:sz w:val="56"/>
                <w:szCs w:val="56"/>
              </w:rPr>
              <w:t xml:space="preserve">12</w:t>
            </w:r>
          </w:p>
          <w:p>
            <w:pPr>
              <w:jc w:val="center"/>
            </w:pPr>
            <w:r>
              <w:rPr>
                <w:rFonts w:ascii="Arial" w:cs="Arial" w:eastAsia="Arial" w:hAnsi="Arial"/>
                <w:color w:val="0D1B2A"/>
                <w:sz w:val="18"/>
                <w:szCs w:val="18"/>
              </w:rPr>
              <w:t xml:space="preserve">Weeks</w:t>
            </w:r>
          </w:p>
        </w:tc>
        <w:tc>
          <w:tcPr>
            <w:tcW w:type="dxa" w:w="1600"/>
            <w:tcBorders>
              <w:top w:val="single" w:color="E5E7EB" w:sz="1"/>
              <w:left w:val="single" w:color="E5E7EB" w:sz="1"/>
              <w:bottom w:val="single" w:color="E5E7EB" w:sz="1"/>
              <w:right w:val="single" w:color="E5E7EB" w:sz="1"/>
            </w:tcBorders>
            <w:shd w:fill="EFF6FF" w:val="clear"/>
            <w:tcMar>
              <w:top w:type="dxa" w:w="120"/>
              <w:left w:type="dxa" w:w="80"/>
              <w:bottom w:type="dxa" w:w="120"/>
              <w:right w:type="dxa" w:w="80"/>
            </w:tcMar>
          </w:tcPr>
          <w:p>
            <w:pPr>
              <w:jc w:val="center"/>
            </w:pPr>
            <w:r>
              <w:rPr>
                <w:rFonts w:ascii="Arial" w:cs="Arial" w:eastAsia="Arial" w:hAnsi="Arial"/>
                <w:b/>
                <w:bCs/>
                <w:color w:val="1565C0"/>
                <w:sz w:val="56"/>
                <w:szCs w:val="56"/>
              </w:rPr>
              <w:t xml:space="preserve">6</w:t>
            </w:r>
          </w:p>
          <w:p>
            <w:pPr>
              <w:jc w:val="center"/>
            </w:pPr>
            <w:r>
              <w:rPr>
                <w:rFonts w:ascii="Arial" w:cs="Arial" w:eastAsia="Arial" w:hAnsi="Arial"/>
                <w:color w:val="0D1B2A"/>
                <w:sz w:val="18"/>
                <w:szCs w:val="18"/>
              </w:rPr>
              <w:t xml:space="preserve">Data Formats</w:t>
            </w:r>
          </w:p>
        </w:tc>
        <w:tc>
          <w:tcPr>
            <w:tcW w:type="dxa" w:w="1600"/>
            <w:tcBorders>
              <w:top w:val="single" w:color="E5E7EB" w:sz="1"/>
              <w:left w:val="single" w:color="E5E7EB" w:sz="1"/>
              <w:bottom w:val="single" w:color="E5E7EB" w:sz="1"/>
              <w:right w:val="single" w:color="E5E7EB" w:sz="1"/>
            </w:tcBorders>
            <w:shd w:fill="EFF6FF" w:val="clear"/>
            <w:tcMar>
              <w:top w:type="dxa" w:w="120"/>
              <w:left w:type="dxa" w:w="80"/>
              <w:bottom w:type="dxa" w:w="120"/>
              <w:right w:type="dxa" w:w="80"/>
            </w:tcMar>
          </w:tcPr>
          <w:p>
            <w:pPr>
              <w:jc w:val="center"/>
            </w:pPr>
            <w:r>
              <w:rPr>
                <w:rFonts w:ascii="Arial" w:cs="Arial" w:eastAsia="Arial" w:hAnsi="Arial"/>
                <w:b/>
                <w:bCs/>
                <w:color w:val="1565C0"/>
                <w:sz w:val="56"/>
                <w:szCs w:val="56"/>
              </w:rPr>
              <w:t xml:space="preserve">3</w:t>
            </w:r>
          </w:p>
          <w:p>
            <w:pPr>
              <w:jc w:val="center"/>
            </w:pPr>
            <w:r>
              <w:rPr>
                <w:rFonts w:ascii="Arial" w:cs="Arial" w:eastAsia="Arial" w:hAnsi="Arial"/>
                <w:color w:val="0D1B2A"/>
                <w:sz w:val="18"/>
                <w:szCs w:val="18"/>
              </w:rPr>
              <w:t xml:space="preserve">Serving Layers</w:t>
            </w:r>
          </w:p>
        </w:tc>
      </w:tr>
    </w:tbl>
    <w:p>
      <w:pPr>
        <w:spacing w:after="0" w:before="0"/>
      </w:pPr>
      <w:r>
        <w:rPr>
          <w:sz w:val="40"/>
          <w:szCs w:val="40"/>
        </w:rPr>
        <w:t xml:space="preserve"/>
      </w:r>
    </w:p>
    <w:p>
      <w:pPr>
        <w:jc w:val="center"/>
      </w:pPr>
      <w:r>
        <w:rPr>
          <w:rFonts w:ascii="Arial" w:cs="Arial" w:eastAsia="Arial" w:hAnsi="Arial"/>
          <w:color w:val="6B7280"/>
          <w:sz w:val="20"/>
          <w:szCs w:val="20"/>
        </w:rPr>
        <w:t xml:space="preserve">Built by: Abhirup  |  Role Target: Azure Data Platform Support Engineer — CIBC</w:t>
      </w:r>
    </w:p>
    <w:p>
      <w:r>
        <w:br w:type="page"/>
      </w:r>
    </w:p>
    <w:p>
      <w:pPr>
        <w:pBdr>
          <w:bottom w:val="single" w:color="1565C0" w:sz="8" w:space="4"/>
        </w:pBdr>
        <w:spacing w:after="120" w:before="320"/>
      </w:pPr>
      <w:r>
        <w:rPr>
          <w:rFonts w:ascii="Arial" w:cs="Arial" w:eastAsia="Arial" w:hAnsi="Arial"/>
          <w:b/>
          <w:bCs/>
          <w:color w:val="0D1B2A"/>
          <w:sz w:val="32"/>
          <w:szCs w:val="32"/>
        </w:rPr>
        <w:t xml:space="preserve">Section 1 — Project Overview</w:t>
      </w:r>
    </w:p>
    <w:p>
      <w:pPr>
        <w:spacing w:after="0" w:before="0"/>
      </w:pPr>
      <w:r>
        <w:rPr>
          <w:sz w:val="8"/>
          <w:szCs w:val="8"/>
        </w:rPr>
        <w:t xml:space="preserve"/>
      </w:r>
    </w:p>
    <w:p>
      <w:pPr>
        <w:spacing w:after="80" w:before="40"/>
      </w:pPr>
      <w:r>
        <w:rPr>
          <w:rFonts w:ascii="Arial" w:cs="Arial" w:eastAsia="Arial" w:hAnsi="Arial"/>
          <w:color w:val="333333"/>
          <w:sz w:val="20"/>
          <w:szCs w:val="20"/>
        </w:rPr>
        <w:t xml:space="preserve">Project NEXUS is an enterprise-grade, end-to-end Azure data platform that ingests data from eight heterogeneous sources spanning six different formats, processes it through a full medallion architecture using Delta Lake, serves it through three consumption layers, and monitors the entire platform through real-time KQL-based observability. Every component, challenge, and design decision mirrors what you would encounter in a production banking data platform such as CIBC's EDGE.</w:t>
      </w:r>
    </w:p>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The Core Philosophy</w:t>
      </w:r>
    </w:p>
    <w:p>
      <w:pPr>
        <w:spacing w:after="80" w:before="40"/>
      </w:pPr>
      <w:r>
        <w:rPr>
          <w:rFonts w:ascii="Arial" w:cs="Arial" w:eastAsia="Arial" w:hAnsi="Arial"/>
          <w:color w:val="333333"/>
          <w:sz w:val="20"/>
          <w:szCs w:val="20"/>
        </w:rPr>
        <w:t xml:space="preserve">Most portfolio projects are tutorials dressed up as projects. NEXUS is different — it is designed around real-world failure modes, not happy paths. Every phase introduces a deliberate industry challenge — schema drift, late-arriving data, streaming deduplication, small files, data skew, secret rotation — and solves it the way an enterprise engineer would. This means when you walk into a CIBC technical interview, you have lived experience with their exact problems.</w:t>
      </w:r>
    </w:p>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What Makes This Enterprise-Grade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r>
              <w:rPr>
                <w:rFonts w:ascii="Arial" w:cs="Arial" w:eastAsia="Arial" w:hAnsi="Arial"/>
                <w:color w:val="333333"/>
                <w:sz w:val="19"/>
                <w:szCs w:val="19"/>
              </w:rPr>
              <w:t xml:space="preserve">Eight heterogeneous data sources</w:t>
            </w:r>
          </w:p>
          <w:p>
            <w:r>
              <w:rPr>
                <w:rFonts w:ascii="Arial" w:cs="Arial" w:eastAsia="Arial" w:hAnsi="Arial"/>
                <w:color w:val="333333"/>
                <w:sz w:val="19"/>
                <w:szCs w:val="19"/>
              </w:rPr>
              <w:t xml:space="preserve">Six data formats (CSV, JSON, XML, Parquet, PDF, streaming)</w:t>
            </w:r>
          </w:p>
          <w:p>
            <w:r>
              <w:rPr>
                <w:rFonts w:ascii="Arial" w:cs="Arial" w:eastAsia="Arial" w:hAnsi="Arial"/>
                <w:color w:val="333333"/>
                <w:sz w:val="19"/>
                <w:szCs w:val="19"/>
              </w:rPr>
              <w:t xml:space="preserve">Real-time and batch ingestion simultaneously</w:t>
            </w:r>
          </w:p>
          <w:p>
            <w:r>
              <w:rPr>
                <w:rFonts w:ascii="Arial" w:cs="Arial" w:eastAsia="Arial" w:hAnsi="Arial"/>
                <w:color w:val="333333"/>
                <w:sz w:val="19"/>
                <w:szCs w:val="19"/>
              </w:rPr>
              <w:t xml:space="preserve">Schema drift detection and auto-healing</w:t>
            </w:r>
          </w:p>
          <w:p>
            <w:r>
              <w:rPr>
                <w:rFonts w:ascii="Arial" w:cs="Arial" w:eastAsia="Arial" w:hAnsi="Arial"/>
                <w:color w:val="333333"/>
                <w:sz w:val="19"/>
                <w:szCs w:val="19"/>
              </w:rPr>
              <w:t xml:space="preserve">Late-arriving data handling</w:t>
            </w:r>
          </w:p>
          <w:p>
            <w:r>
              <w:rPr>
                <w:rFonts w:ascii="Arial" w:cs="Arial" w:eastAsia="Arial" w:hAnsi="Arial"/>
                <w:color w:val="333333"/>
                <w:sz w:val="19"/>
                <w:szCs w:val="19"/>
              </w:rPr>
              <w:t xml:space="preserve">Streaming deduplication with watermarks</w:t>
            </w:r>
          </w:p>
        </w:tc>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20"/>
            </w:tcMar>
          </w:tcPr>
          <w:p>
            <w:r>
              <w:rPr>
                <w:rFonts w:ascii="Arial" w:cs="Arial" w:eastAsia="Arial" w:hAnsi="Arial"/>
                <w:color w:val="333333"/>
                <w:sz w:val="19"/>
                <w:szCs w:val="19"/>
              </w:rPr>
              <w:t xml:space="preserve">Delta Lake with full ACID guarantees</w:t>
            </w:r>
          </w:p>
          <w:p>
            <w:r>
              <w:rPr>
                <w:rFonts w:ascii="Arial" w:cs="Arial" w:eastAsia="Arial" w:hAnsi="Arial"/>
                <w:color w:val="333333"/>
                <w:sz w:val="19"/>
                <w:szCs w:val="19"/>
              </w:rPr>
              <w:t xml:space="preserve">OPTIMIZE and ZORDER for query performance</w:t>
            </w:r>
          </w:p>
          <w:p>
            <w:r>
              <w:rPr>
                <w:rFonts w:ascii="Arial" w:cs="Arial" w:eastAsia="Arial" w:hAnsi="Arial"/>
                <w:color w:val="333333"/>
                <w:sz w:val="19"/>
                <w:szCs w:val="19"/>
              </w:rPr>
              <w:t xml:space="preserve">Unity Catalog for data governance</w:t>
            </w:r>
          </w:p>
          <w:p>
            <w:r>
              <w:rPr>
                <w:rFonts w:ascii="Arial" w:cs="Arial" w:eastAsia="Arial" w:hAnsi="Arial"/>
                <w:color w:val="333333"/>
                <w:sz w:val="19"/>
                <w:szCs w:val="19"/>
              </w:rPr>
              <w:t xml:space="preserve">Azure Key Vault for all secrets</w:t>
            </w:r>
          </w:p>
          <w:p>
            <w:r>
              <w:rPr>
                <w:rFonts w:ascii="Arial" w:cs="Arial" w:eastAsia="Arial" w:hAnsi="Arial"/>
                <w:color w:val="333333"/>
                <w:sz w:val="19"/>
                <w:szCs w:val="19"/>
              </w:rPr>
              <w:t xml:space="preserve">Zero-trust security with RBAC and ACLs</w:t>
            </w:r>
          </w:p>
          <w:p>
            <w:r>
              <w:rPr>
                <w:rFonts w:ascii="Arial" w:cs="Arial" w:eastAsia="Arial" w:hAnsi="Arial"/>
                <w:color w:val="333333"/>
                <w:sz w:val="19"/>
                <w:szCs w:val="19"/>
              </w:rPr>
              <w:t xml:space="preserve">Full KQL observability with alert rules</w:t>
            </w:r>
          </w:p>
        </w:tc>
      </w:tr>
    </w:tbl>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The Business Context — Why This Data Matters</w:t>
      </w:r>
    </w:p>
    <w:p>
      <w:pPr>
        <w:spacing w:after="80" w:before="40"/>
      </w:pPr>
      <w:r>
        <w:rPr>
          <w:rFonts w:ascii="Arial" w:cs="Arial" w:eastAsia="Arial" w:hAnsi="Arial"/>
          <w:color w:val="333333"/>
          <w:sz w:val="20"/>
          <w:szCs w:val="20"/>
        </w:rPr>
        <w:t xml:space="preserve">NEXUS simulates a fictional financial services company called 'ClearBank' that operates across three business lines: retail banking (transactions, customer accounts), insurance (claims, policies), and wealth management (portfolio data, market feeds). This gives you three completely different data domains, each with different schemas, volumes, velocities, and quality challenges — exactly like a real bank.</w:t>
      </w:r>
    </w:p>
    <w:p>
      <w:r>
        <w:br w:type="page"/>
      </w:r>
    </w:p>
    <w:p>
      <w:pPr>
        <w:pBdr>
          <w:bottom w:val="single" w:color="1565C0" w:sz="8" w:space="4"/>
        </w:pBdr>
        <w:spacing w:after="120" w:before="320"/>
      </w:pPr>
      <w:r>
        <w:rPr>
          <w:rFonts w:ascii="Arial" w:cs="Arial" w:eastAsia="Arial" w:hAnsi="Arial"/>
          <w:b/>
          <w:bCs/>
          <w:color w:val="0D1B2A"/>
          <w:sz w:val="32"/>
          <w:szCs w:val="32"/>
        </w:rPr>
        <w:t xml:space="preserve">Section 2 — Data Sources (8 Heterogeneous Sources)</w:t>
      </w:r>
    </w:p>
    <w:p>
      <w:pPr>
        <w:spacing w:after="0" w:before="0"/>
      </w:pPr>
      <w:r>
        <w:rPr>
          <w:sz w:val="8"/>
          <w:szCs w:val="8"/>
        </w:rPr>
        <w:t xml:space="preserve"/>
      </w:r>
    </w:p>
    <w:p>
      <w:pPr>
        <w:spacing w:after="80" w:before="40"/>
      </w:pPr>
      <w:r>
        <w:rPr>
          <w:rFonts w:ascii="Arial" w:cs="Arial" w:eastAsia="Arial" w:hAnsi="Arial"/>
          <w:color w:val="333333"/>
          <w:sz w:val="20"/>
          <w:szCs w:val="20"/>
        </w:rPr>
        <w:t xml:space="preserve">The most important design decision in this project is the choice of data sources. Each source type introduces a completely different ingestion challenge. Together they cover every format you will encounter in enterprise data engineering.</w:t>
      </w:r>
    </w:p>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Source 1 — PaySim Transactions (Structured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40"/>
              <w:left w:type="dxa" w:w="200"/>
              <w:bottom w:type="dxa" w:w="140"/>
              <w:right w:type="dxa" w:w="200"/>
            </w:tcMar>
          </w:tcPr>
          <w:p>
            <w:pPr>
              <w:jc w:val="center"/>
            </w:pPr>
            <w:r>
              <w:rPr>
                <w:rFonts w:ascii="Arial" w:cs="Arial" w:eastAsia="Arial" w:hAnsi="Arial"/>
                <w:b/>
                <w:bCs/>
                <w:color w:val="0D1B2A"/>
                <w:sz w:val="26"/>
                <w:szCs w:val="26"/>
              </w:rPr>
              <w:t xml:space="preserve">FORMAT: CSV  |  VOLUME: 6.3M rows  |  INGESTION: ADF Copy Activity (batch)</w:t>
            </w:r>
          </w:p>
          <w:p>
            <w:pPr>
              <w:jc w:val="center"/>
            </w:pPr>
            <w:r>
              <w:rPr>
                <w:rFonts w:ascii="Arial" w:cs="Arial" w:eastAsia="Arial" w:hAnsi="Arial"/>
                <w:color w:val="0D1B2A"/>
                <w:sz w:val="19"/>
                <w:szCs w:val="19"/>
              </w:rPr>
              <w:t xml:space="preserve">Kaggle: ealaxi/paysim1 — Synthetic financial transactions with fraud labels</w:t>
            </w:r>
          </w:p>
        </w:tc>
      </w:tr>
    </w:tbl>
    <w:p>
      <w:pPr>
        <w:spacing w:after="0" w:before="0"/>
      </w:pPr>
      <w:r>
        <w:rPr>
          <w:sz w:val="8"/>
          <w:szCs w:val="8"/>
        </w:rPr>
        <w:t xml:space="preserve"/>
      </w:r>
    </w:p>
    <w:p>
      <w:pPr>
        <w:spacing w:after="80" w:before="40"/>
      </w:pPr>
      <w:r>
        <w:rPr>
          <w:rFonts w:ascii="Arial" w:cs="Arial" w:eastAsia="Arial" w:hAnsi="Arial"/>
          <w:color w:val="333333"/>
          <w:sz w:val="20"/>
          <w:szCs w:val="20"/>
        </w:rPr>
        <w:t xml:space="preserve">What it contains: step, type, amount, nameOrig, oldbalanceOrg, newbalanceOrig, nameDest, isFraud, isFlaggedFraud</w:t>
      </w:r>
    </w:p>
    <w:p>
      <w:pPr>
        <w:spacing w:after="80" w:before="40"/>
      </w:pPr>
      <w:r>
        <w:rPr>
          <w:rFonts w:ascii="Arial" w:cs="Arial" w:eastAsia="Arial" w:hAnsi="Arial"/>
          <w:color w:val="333333"/>
          <w:sz w:val="20"/>
          <w:szCs w:val="20"/>
        </w:rPr>
        <w:t xml:space="preserve">Why it's valuable: High volume, clean schema, fraud labels for ML. This is your core transaction feed.</w:t>
      </w:r>
    </w:p>
    <w:p>
      <w:pPr>
        <w:spacing w:after="80" w:before="40"/>
      </w:pPr>
      <w:r>
        <w:rPr>
          <w:rFonts w:ascii="Arial" w:cs="Arial" w:eastAsia="Arial" w:hAnsi="Arial"/>
          <w:color w:val="333333"/>
          <w:sz w:val="20"/>
          <w:szCs w:val="20"/>
        </w:rPr>
        <w:t xml:space="preserve">Industry challenge it tests: Handling 6.3M rows efficiently, partitioning strategy, partition pruning performance.</w:t>
      </w:r>
    </w:p>
    <w:p>
      <w:pPr>
        <w:spacing w:after="0" w:before="0"/>
      </w:pPr>
      <w:r>
        <w:rPr>
          <w:sz w:val="12"/>
          <w:szCs w:val="12"/>
        </w:rPr>
        <w:t xml:space="preserve"/>
      </w:r>
    </w:p>
    <w:p>
      <w:pPr>
        <w:spacing w:after="80" w:before="240"/>
      </w:pPr>
      <w:r>
        <w:rPr>
          <w:rFonts w:ascii="Arial" w:cs="Arial" w:eastAsia="Arial" w:hAnsi="Arial"/>
          <w:b/>
          <w:bCs/>
          <w:color w:val="1565C0"/>
          <w:sz w:val="26"/>
          <w:szCs w:val="26"/>
        </w:rPr>
        <w:t xml:space="preserve">Source 2 — Customer Master Data (Structured — Azure 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A" w:val="clear"/>
            <w:tcMar>
              <w:top w:type="dxa" w:w="140"/>
              <w:left w:type="dxa" w:w="200"/>
              <w:bottom w:type="dxa" w:w="140"/>
              <w:right w:type="dxa" w:w="200"/>
            </w:tcMar>
          </w:tcPr>
          <w:p>
            <w:pPr>
              <w:jc w:val="center"/>
            </w:pPr>
            <w:r>
              <w:rPr>
                <w:rFonts w:ascii="Arial" w:cs="Arial" w:eastAsia="Arial" w:hAnsi="Arial"/>
                <w:b/>
                <w:bCs/>
                <w:color w:val="085041"/>
                <w:sz w:val="26"/>
                <w:szCs w:val="26"/>
              </w:rPr>
              <w:t xml:space="preserve">FORMAT: SQL Tables  |  VOLUME: 500K customers  |  INGESTION: ADF with JDBC Linked Service</w:t>
            </w:r>
          </w:p>
          <w:p>
            <w:pPr>
              <w:jc w:val="center"/>
            </w:pPr>
            <w:r>
              <w:rPr>
                <w:rFonts w:ascii="Arial" w:cs="Arial" w:eastAsia="Arial" w:hAnsi="Arial"/>
                <w:color w:val="085041"/>
                <w:sz w:val="19"/>
                <w:szCs w:val="19"/>
              </w:rPr>
              <w:t xml:space="preserve">Azure SQL Database — free tier available — simulates a core banking CRM system</w:t>
            </w:r>
          </w:p>
        </w:tc>
      </w:tr>
    </w:tbl>
    <w:p>
      <w:pPr>
        <w:spacing w:after="0" w:before="0"/>
      </w:pPr>
      <w:r>
        <w:rPr>
          <w:sz w:val="8"/>
          <w:szCs w:val="8"/>
        </w:rPr>
        <w:t xml:space="preserve"/>
      </w:r>
    </w:p>
    <w:p>
      <w:pPr>
        <w:spacing w:after="80" w:before="40"/>
      </w:pPr>
      <w:r>
        <w:rPr>
          <w:rFonts w:ascii="Arial" w:cs="Arial" w:eastAsia="Arial" w:hAnsi="Arial"/>
          <w:color w:val="333333"/>
          <w:sz w:val="20"/>
          <w:szCs w:val="20"/>
        </w:rPr>
        <w:t xml:space="preserve">What it contains: customer_id, name, email, date_of_birth, address, account_type, kyc_status, risk_rating, created_at</w:t>
      </w:r>
    </w:p>
    <w:p>
      <w:pPr>
        <w:spacing w:after="80" w:before="40"/>
      </w:pPr>
      <w:r>
        <w:rPr>
          <w:rFonts w:ascii="Arial" w:cs="Arial" w:eastAsia="Arial" w:hAnsi="Arial"/>
          <w:color w:val="333333"/>
          <w:sz w:val="20"/>
          <w:szCs w:val="20"/>
        </w:rPr>
        <w:t xml:space="preserve">Why it's valuable: Tests ADF JDBC connectivity, incremental load patterns, watermark-based change data capture (CDC).</w:t>
      </w:r>
    </w:p>
    <w:p>
      <w:pPr>
        <w:spacing w:after="80" w:before="40"/>
      </w:pPr>
      <w:r>
        <w:rPr>
          <w:rFonts w:ascii="Arial" w:cs="Arial" w:eastAsia="Arial" w:hAnsi="Arial"/>
          <w:color w:val="333333"/>
          <w:sz w:val="20"/>
          <w:szCs w:val="20"/>
        </w:rPr>
        <w:t xml:space="preserve">Industry challenge it tests: Incremental loading — only pulling rows modified since last run, not full table every night.</w:t>
      </w:r>
    </w:p>
    <w:p>
      <w:pPr>
        <w:spacing w:after="20" w:before="20"/>
      </w:pPr>
      <w:r>
        <w:rPr>
          <w:rFonts w:ascii="Courier New" w:cs="Courier New" w:eastAsia="Courier New" w:hAnsi="Courier New"/>
          <w:color w:val="1E40AF"/>
          <w:sz w:val="17"/>
          <w:szCs w:val="17"/>
        </w:rPr>
        <w:t xml:space="preserve">-- Watermark query in ADF Copy Activity source:</w:t>
      </w:r>
    </w:p>
    <w:p>
      <w:pPr>
        <w:spacing w:after="20" w:before="20"/>
      </w:pPr>
      <w:r>
        <w:rPr>
          <w:rFonts w:ascii="Courier New" w:cs="Courier New" w:eastAsia="Courier New" w:hAnsi="Courier New"/>
          <w:color w:val="1E40AF"/>
          <w:sz w:val="17"/>
          <w:szCs w:val="17"/>
        </w:rPr>
        <w:t xml:space="preserve">SELECT * FROM customers WHERE updated_at &gt; '@{activity('GetWatermark').output.firstRow.last_run}'</w:t>
      </w:r>
    </w:p>
    <w:p>
      <w:pPr>
        <w:spacing w:after="0" w:before="0"/>
      </w:pPr>
      <w:r>
        <w:rPr>
          <w:sz w:val="12"/>
          <w:szCs w:val="12"/>
        </w:rPr>
        <w:t xml:space="preserve"/>
      </w:r>
    </w:p>
    <w:p>
      <w:pPr>
        <w:spacing w:after="80" w:before="240"/>
      </w:pPr>
      <w:r>
        <w:rPr>
          <w:rFonts w:ascii="Arial" w:cs="Arial" w:eastAsia="Arial" w:hAnsi="Arial"/>
          <w:b/>
          <w:bCs/>
          <w:color w:val="1565C0"/>
          <w:sz w:val="26"/>
          <w:szCs w:val="26"/>
        </w:rPr>
        <w:t xml:space="preserve">Source 3 — Insurance Claims (Semi-Structured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pPr>
              <w:jc w:val="center"/>
            </w:pPr>
            <w:r>
              <w:rPr>
                <w:rFonts w:ascii="Arial" w:cs="Arial" w:eastAsia="Arial" w:hAnsi="Arial"/>
                <w:b/>
                <w:bCs/>
                <w:color w:val="854F0B"/>
                <w:sz w:val="26"/>
                <w:szCs w:val="26"/>
              </w:rPr>
              <w:t xml:space="preserve">FORMAT: JSON  |  VOLUME: 200K files/day  |  INGESTION: ADF Event-based trigger on ADLS arrival</w:t>
            </w:r>
          </w:p>
          <w:p>
            <w:pPr>
              <w:jc w:val="center"/>
            </w:pPr>
            <w:r>
              <w:rPr>
                <w:rFonts w:ascii="Arial" w:cs="Arial" w:eastAsia="Arial" w:hAnsi="Arial"/>
                <w:color w:val="854F0B"/>
                <w:sz w:val="19"/>
                <w:szCs w:val="19"/>
              </w:rPr>
              <w:t xml:space="preserve">Simulated API output — downloadable from GitHub as sample JSON files</w:t>
            </w:r>
          </w:p>
        </w:tc>
      </w:tr>
    </w:tbl>
    <w:p>
      <w:pPr>
        <w:spacing w:after="0" w:before="0"/>
      </w:pPr>
      <w:r>
        <w:rPr>
          <w:sz w:val="8"/>
          <w:szCs w:val="8"/>
        </w:rPr>
        <w:t xml:space="preserve"/>
      </w:r>
    </w:p>
    <w:p>
      <w:pPr>
        <w:spacing w:after="80" w:before="40"/>
      </w:pPr>
      <w:r>
        <w:rPr>
          <w:rFonts w:ascii="Arial" w:cs="Arial" w:eastAsia="Arial" w:hAnsi="Arial"/>
          <w:color w:val="333333"/>
          <w:sz w:val="20"/>
          <w:szCs w:val="20"/>
        </w:rPr>
        <w:t xml:space="preserve">What it contains: Nested JSON with claim_id, policyholder (nested object), claim_details (nested array), adjuster_notes (free text), attachments (array of file references).</w:t>
      </w:r>
    </w:p>
    <w:p>
      <w:pPr>
        <w:spacing w:after="80" w:before="40"/>
      </w:pPr>
      <w:r>
        <w:rPr>
          <w:rFonts w:ascii="Arial" w:cs="Arial" w:eastAsia="Arial" w:hAnsi="Arial"/>
          <w:color w:val="333333"/>
          <w:sz w:val="20"/>
          <w:szCs w:val="20"/>
        </w:rPr>
        <w:t xml:space="preserve">Why it's valuable: Nested and semi-structured data forces you to use Spark's from_json(), explode(), and schema inference.</w:t>
      </w:r>
    </w:p>
    <w:p>
      <w:pPr>
        <w:spacing w:after="80" w:before="40"/>
      </w:pPr>
      <w:r>
        <w:rPr>
          <w:rFonts w:ascii="Arial" w:cs="Arial" w:eastAsia="Arial" w:hAnsi="Arial"/>
          <w:color w:val="333333"/>
          <w:sz w:val="20"/>
          <w:szCs w:val="20"/>
        </w:rPr>
        <w:t xml:space="preserve">Industry challenge it tests: Schema evolution in JSON — new fields appear without warning. Must handle gracefully.</w:t>
      </w:r>
    </w:p>
    <w:p>
      <w:pPr>
        <w:spacing w:after="0" w:before="0"/>
      </w:pPr>
      <w:r>
        <w:rPr>
          <w:sz w:val="12"/>
          <w:szCs w:val="12"/>
        </w:rPr>
        <w:t xml:space="preserve"/>
      </w:r>
    </w:p>
    <w:p>
      <w:pPr>
        <w:spacing w:after="80" w:before="240"/>
      </w:pPr>
      <w:r>
        <w:rPr>
          <w:rFonts w:ascii="Arial" w:cs="Arial" w:eastAsia="Arial" w:hAnsi="Arial"/>
          <w:b/>
          <w:bCs/>
          <w:color w:val="1565C0"/>
          <w:sz w:val="26"/>
          <w:szCs w:val="26"/>
        </w:rPr>
        <w:t xml:space="preserve">Source 4 — Market Price Feed (Streaming — Azure Event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5F3FF" w:val="clear"/>
            <w:tcMar>
              <w:top w:type="dxa" w:w="140"/>
              <w:left w:type="dxa" w:w="200"/>
              <w:bottom w:type="dxa" w:w="140"/>
              <w:right w:type="dxa" w:w="200"/>
            </w:tcMar>
          </w:tcPr>
          <w:p>
            <w:pPr>
              <w:jc w:val="center"/>
            </w:pPr>
            <w:r>
              <w:rPr>
                <w:rFonts w:ascii="Arial" w:cs="Arial" w:eastAsia="Arial" w:hAnsi="Arial"/>
                <w:b/>
                <w:bCs/>
                <w:color w:val="4C1D95"/>
                <w:sz w:val="26"/>
                <w:szCs w:val="26"/>
              </w:rPr>
              <w:t xml:space="preserve">FORMAT: JSON events  |  VOLUME: 10K events/second  |  INGESTION: Databricks Structured Streaming</w:t>
            </w:r>
          </w:p>
          <w:p>
            <w:pPr>
              <w:jc w:val="center"/>
            </w:pPr>
            <w:r>
              <w:rPr>
                <w:rFonts w:ascii="Arial" w:cs="Arial" w:eastAsia="Arial" w:hAnsi="Arial"/>
                <w:color w:val="4C1D95"/>
                <w:sz w:val="19"/>
                <w:szCs w:val="19"/>
              </w:rPr>
              <w:t xml:space="preserve">Simulated with a Python producer script sending fake market ticks to Event Hubs</w:t>
            </w:r>
          </w:p>
        </w:tc>
      </w:tr>
    </w:tbl>
    <w:p>
      <w:pPr>
        <w:spacing w:after="0" w:before="0"/>
      </w:pPr>
      <w:r>
        <w:rPr>
          <w:sz w:val="8"/>
          <w:szCs w:val="8"/>
        </w:rPr>
        <w:t xml:space="preserve"/>
      </w:r>
    </w:p>
    <w:p>
      <w:pPr>
        <w:spacing w:after="80" w:before="40"/>
      </w:pPr>
      <w:r>
        <w:rPr>
          <w:rFonts w:ascii="Arial" w:cs="Arial" w:eastAsia="Arial" w:hAnsi="Arial"/>
          <w:color w:val="333333"/>
          <w:sz w:val="20"/>
          <w:szCs w:val="20"/>
        </w:rPr>
        <w:t xml:space="preserve">What it contains: symbol, price, volume, timestamp, exchange, bid, ask — arriving as a real-time stream.</w:t>
      </w:r>
    </w:p>
    <w:p>
      <w:pPr>
        <w:spacing w:after="80" w:before="40"/>
      </w:pPr>
      <w:r>
        <w:rPr>
          <w:rFonts w:ascii="Arial" w:cs="Arial" w:eastAsia="Arial" w:hAnsi="Arial"/>
          <w:color w:val="333333"/>
          <w:sz w:val="20"/>
          <w:szCs w:val="20"/>
        </w:rPr>
        <w:t xml:space="preserve">Why it's valuable: Introduces streaming ingestion — completely different paradigm from batch. Tests watermarks, windowed aggregations, checkpointing.</w:t>
      </w:r>
    </w:p>
    <w:p>
      <w:pPr>
        <w:spacing w:after="80" w:before="40"/>
      </w:pPr>
      <w:r>
        <w:rPr>
          <w:rFonts w:ascii="Arial" w:cs="Arial" w:eastAsia="Arial" w:hAnsi="Arial"/>
          <w:color w:val="333333"/>
          <w:sz w:val="20"/>
          <w:szCs w:val="20"/>
        </w:rPr>
        <w:t xml:space="preserve">Industry challenge it tests: Exactly-once processing, late data handling, stream-batch joins.</w:t>
      </w:r>
    </w:p>
    <w:p>
      <w:pPr>
        <w:spacing w:after="0" w:before="0"/>
      </w:pPr>
      <w:r>
        <w:rPr>
          <w:sz w:val="12"/>
          <w:szCs w:val="12"/>
        </w:rPr>
        <w:t xml:space="preserve"/>
      </w:r>
    </w:p>
    <w:p>
      <w:pPr>
        <w:spacing w:after="80" w:before="240"/>
      </w:pPr>
      <w:r>
        <w:rPr>
          <w:rFonts w:ascii="Arial" w:cs="Arial" w:eastAsia="Arial" w:hAnsi="Arial"/>
          <w:b/>
          <w:bCs/>
          <w:color w:val="1565C0"/>
          <w:sz w:val="26"/>
          <w:szCs w:val="26"/>
        </w:rPr>
        <w:t xml:space="preserve">Source 5 — Loan Applications (Unstructured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140"/>
              <w:left w:type="dxa" w:w="200"/>
              <w:bottom w:type="dxa" w:w="140"/>
              <w:right w:type="dxa" w:w="200"/>
            </w:tcMar>
          </w:tcPr>
          <w:p>
            <w:pPr>
              <w:jc w:val="center"/>
            </w:pPr>
            <w:r>
              <w:rPr>
                <w:rFonts w:ascii="Arial" w:cs="Arial" w:eastAsia="Arial" w:hAnsi="Arial"/>
                <w:b/>
                <w:bCs/>
                <w:color w:val="991B1B"/>
                <w:sz w:val="26"/>
                <w:szCs w:val="26"/>
              </w:rPr>
              <w:t xml:space="preserve">FORMAT: PDF files  |  VOLUME: 5K files/month  |  INGESTION: ADF + Azure Cognitive Services</w:t>
            </w:r>
          </w:p>
          <w:p>
            <w:pPr>
              <w:jc w:val="center"/>
            </w:pPr>
            <w:r>
              <w:rPr>
                <w:rFonts w:ascii="Arial" w:cs="Arial" w:eastAsia="Arial" w:hAnsi="Arial"/>
                <w:color w:val="991B1B"/>
                <w:sz w:val="19"/>
                <w:szCs w:val="19"/>
              </w:rPr>
              <w:t xml:space="preserve">Sample PDFs generated from a Python script using reportlab library</w:t>
            </w:r>
          </w:p>
        </w:tc>
      </w:tr>
    </w:tbl>
    <w:p>
      <w:pPr>
        <w:spacing w:after="0" w:before="0"/>
      </w:pPr>
      <w:r>
        <w:rPr>
          <w:sz w:val="8"/>
          <w:szCs w:val="8"/>
        </w:rPr>
        <w:t xml:space="preserve"/>
      </w:r>
    </w:p>
    <w:p>
      <w:pPr>
        <w:spacing w:after="80" w:before="40"/>
      </w:pPr>
      <w:r>
        <w:rPr>
          <w:rFonts w:ascii="Arial" w:cs="Arial" w:eastAsia="Arial" w:hAnsi="Arial"/>
          <w:color w:val="333333"/>
          <w:sz w:val="20"/>
          <w:szCs w:val="20"/>
        </w:rPr>
        <w:t xml:space="preserve">What it contains: Scanned loan application forms with applicant details, loan amount, purpose, signatures, employment information.</w:t>
      </w:r>
    </w:p>
    <w:p>
      <w:pPr>
        <w:spacing w:after="80" w:before="40"/>
      </w:pPr>
      <w:r>
        <w:rPr>
          <w:rFonts w:ascii="Arial" w:cs="Arial" w:eastAsia="Arial" w:hAnsi="Arial"/>
          <w:color w:val="333333"/>
          <w:sz w:val="20"/>
          <w:szCs w:val="20"/>
        </w:rPr>
        <w:t xml:space="preserve">Why it's valuable: Unstructured data processing — the hardest category. Requires OCR and AI extraction before the data can enter the pipeline.</w:t>
      </w:r>
    </w:p>
    <w:p>
      <w:pPr>
        <w:spacing w:after="80" w:before="40"/>
      </w:pPr>
      <w:r>
        <w:rPr>
          <w:rFonts w:ascii="Arial" w:cs="Arial" w:eastAsia="Arial" w:hAnsi="Arial"/>
          <w:color w:val="333333"/>
          <w:sz w:val="20"/>
          <w:szCs w:val="20"/>
        </w:rPr>
        <w:t xml:space="preserve">Industry challenge it tests: Using Azure Form Recognizer / Document Intelligence to extract structured fields from PDFs, then feeding into the Bronze layer.</w:t>
      </w:r>
    </w:p>
    <w:p>
      <w:pPr>
        <w:spacing w:after="0" w:before="0"/>
      </w:pPr>
      <w:r>
        <w:rPr>
          <w:sz w:val="12"/>
          <w:szCs w:val="12"/>
        </w:rPr>
        <w:t xml:space="preserve"/>
      </w:r>
    </w:p>
    <w:p>
      <w:pPr>
        <w:spacing w:after="80" w:before="240"/>
      </w:pPr>
      <w:r>
        <w:rPr>
          <w:rFonts w:ascii="Arial" w:cs="Arial" w:eastAsia="Arial" w:hAnsi="Arial"/>
          <w:b/>
          <w:bCs/>
          <w:color w:val="1565C0"/>
          <w:sz w:val="26"/>
          <w:szCs w:val="26"/>
        </w:rPr>
        <w:t xml:space="preserve">Source 6 — Legacy Banking Feed (Semi-Structured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A" w:val="clear"/>
            <w:tcMar>
              <w:top w:type="dxa" w:w="140"/>
              <w:left w:type="dxa" w:w="200"/>
              <w:bottom w:type="dxa" w:w="140"/>
              <w:right w:type="dxa" w:w="200"/>
            </w:tcMar>
          </w:tcPr>
          <w:p>
            <w:pPr>
              <w:jc w:val="center"/>
            </w:pPr>
            <w:r>
              <w:rPr>
                <w:rFonts w:ascii="Arial" w:cs="Arial" w:eastAsia="Arial" w:hAnsi="Arial"/>
                <w:b/>
                <w:bCs/>
                <w:color w:val="085041"/>
                <w:sz w:val="26"/>
                <w:szCs w:val="26"/>
              </w:rPr>
              <w:t xml:space="preserve">FORMAT: XML  |  VOLUME: 50K records/day  |  INGESTION: ADF with XML parsing + transformation</w:t>
            </w:r>
          </w:p>
          <w:p>
            <w:pPr>
              <w:jc w:val="center"/>
            </w:pPr>
            <w:r>
              <w:rPr>
                <w:rFonts w:ascii="Arial" w:cs="Arial" w:eastAsia="Arial" w:hAnsi="Arial"/>
                <w:color w:val="085041"/>
                <w:sz w:val="19"/>
                <w:szCs w:val="19"/>
              </w:rPr>
              <w:t xml:space="preserve">Simulated legacy core banking system output — common in large financial institutions</w:t>
            </w:r>
          </w:p>
        </w:tc>
      </w:tr>
    </w:tbl>
    <w:p>
      <w:pPr>
        <w:spacing w:after="0" w:before="0"/>
      </w:pPr>
      <w:r>
        <w:rPr>
          <w:sz w:val="8"/>
          <w:szCs w:val="8"/>
        </w:rPr>
        <w:t xml:space="preserve"/>
      </w:r>
    </w:p>
    <w:p>
      <w:pPr>
        <w:spacing w:after="80" w:before="40"/>
      </w:pPr>
      <w:r>
        <w:rPr>
          <w:rFonts w:ascii="Arial" w:cs="Arial" w:eastAsia="Arial" w:hAnsi="Arial"/>
          <w:color w:val="333333"/>
          <w:sz w:val="20"/>
          <w:szCs w:val="20"/>
        </w:rPr>
        <w:t xml:space="preserve">What it contains: Account statements in SWIFT-style XML format with nested transaction elements, account details, and balance summaries.</w:t>
      </w:r>
    </w:p>
    <w:p>
      <w:pPr>
        <w:spacing w:after="80" w:before="40"/>
      </w:pPr>
      <w:r>
        <w:rPr>
          <w:rFonts w:ascii="Arial" w:cs="Arial" w:eastAsia="Arial" w:hAnsi="Arial"/>
          <w:color w:val="333333"/>
          <w:sz w:val="20"/>
          <w:szCs w:val="20"/>
        </w:rPr>
        <w:t xml:space="preserve">Why it's valuable: Legacy systems in banking almost universally output XML. Parsing it requires ADF Data Flows or Databricks XML parser.</w:t>
      </w:r>
    </w:p>
    <w:p>
      <w:pPr>
        <w:spacing w:after="80" w:before="40"/>
      </w:pPr>
      <w:r>
        <w:rPr>
          <w:rFonts w:ascii="Arial" w:cs="Arial" w:eastAsia="Arial" w:hAnsi="Arial"/>
          <w:color w:val="333333"/>
          <w:sz w:val="20"/>
          <w:szCs w:val="20"/>
        </w:rPr>
        <w:t xml:space="preserve">Industry challenge it tests: Handling deeply nested XML, namespace handling, converting to flat columnar Parquet format.</w:t>
      </w:r>
    </w:p>
    <w:p>
      <w:pPr>
        <w:spacing w:after="0" w:before="0"/>
      </w:pPr>
      <w:r>
        <w:rPr>
          <w:sz w:val="12"/>
          <w:szCs w:val="12"/>
        </w:rPr>
        <w:t xml:space="preserve"/>
      </w:r>
    </w:p>
    <w:p>
      <w:pPr>
        <w:spacing w:after="80" w:before="240"/>
      </w:pPr>
      <w:r>
        <w:rPr>
          <w:rFonts w:ascii="Arial" w:cs="Arial" w:eastAsia="Arial" w:hAnsi="Arial"/>
          <w:b/>
          <w:bCs/>
          <w:color w:val="1565C0"/>
          <w:sz w:val="26"/>
          <w:szCs w:val="26"/>
        </w:rPr>
        <w:t xml:space="preserve">Source 7 — Web Clickstream (Semi-Structured — Azure Event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40"/>
              <w:left w:type="dxa" w:w="200"/>
              <w:bottom w:type="dxa" w:w="140"/>
              <w:right w:type="dxa" w:w="200"/>
            </w:tcMar>
          </w:tcPr>
          <w:p>
            <w:pPr>
              <w:jc w:val="center"/>
            </w:pPr>
            <w:r>
              <w:rPr>
                <w:rFonts w:ascii="Arial" w:cs="Arial" w:eastAsia="Arial" w:hAnsi="Arial"/>
                <w:b/>
                <w:bCs/>
                <w:color w:val="0D1B2A"/>
                <w:sz w:val="26"/>
                <w:szCs w:val="26"/>
              </w:rPr>
              <w:t xml:space="preserve">FORMAT: JSON events  |  VOLUME: 50K events/hour  |  INGESTION: Event Hubs + Databricks Streaming</w:t>
            </w:r>
          </w:p>
          <w:p>
            <w:pPr>
              <w:jc w:val="center"/>
            </w:pPr>
            <w:r>
              <w:rPr>
                <w:rFonts w:ascii="Arial" w:cs="Arial" w:eastAsia="Arial" w:hAnsi="Arial"/>
                <w:color w:val="0D1B2A"/>
                <w:sz w:val="19"/>
                <w:szCs w:val="19"/>
              </w:rPr>
              <w:t xml:space="preserve">Simulated with Python script sending fake page view and click events</w:t>
            </w:r>
          </w:p>
        </w:tc>
      </w:tr>
    </w:tbl>
    <w:p>
      <w:pPr>
        <w:spacing w:after="0" w:before="0"/>
      </w:pPr>
      <w:r>
        <w:rPr>
          <w:sz w:val="8"/>
          <w:szCs w:val="8"/>
        </w:rPr>
        <w:t xml:space="preserve"/>
      </w:r>
    </w:p>
    <w:p>
      <w:pPr>
        <w:spacing w:after="80" w:before="40"/>
      </w:pPr>
      <w:r>
        <w:rPr>
          <w:rFonts w:ascii="Arial" w:cs="Arial" w:eastAsia="Arial" w:hAnsi="Arial"/>
          <w:color w:val="333333"/>
          <w:sz w:val="20"/>
          <w:szCs w:val="20"/>
        </w:rPr>
        <w:t xml:space="preserve">What it contains: session_id, user_id, page_url, event_type (click/view/scroll), device_type, timestamp, geo_location.</w:t>
      </w:r>
    </w:p>
    <w:p>
      <w:pPr>
        <w:spacing w:after="80" w:before="40"/>
      </w:pPr>
      <w:r>
        <w:rPr>
          <w:rFonts w:ascii="Arial" w:cs="Arial" w:eastAsia="Arial" w:hAnsi="Arial"/>
          <w:color w:val="333333"/>
          <w:sz w:val="20"/>
          <w:szCs w:val="20"/>
        </w:rPr>
        <w:t xml:space="preserve">Why it's valuable: Second streaming source — different cadence from market feed. Tests managing multiple streaming jobs simultaneously.</w:t>
      </w:r>
    </w:p>
    <w:p>
      <w:pPr>
        <w:spacing w:after="80" w:before="40"/>
      </w:pPr>
      <w:r>
        <w:rPr>
          <w:rFonts w:ascii="Arial" w:cs="Arial" w:eastAsia="Arial" w:hAnsi="Arial"/>
          <w:color w:val="333333"/>
          <w:sz w:val="20"/>
          <w:szCs w:val="20"/>
        </w:rPr>
        <w:t xml:space="preserve">Industry challenge it tests: Sessionization — grouping events by session with timeout windows.</w:t>
      </w:r>
    </w:p>
    <w:p>
      <w:pPr>
        <w:spacing w:after="0" w:before="0"/>
      </w:pPr>
      <w:r>
        <w:rPr>
          <w:sz w:val="12"/>
          <w:szCs w:val="12"/>
        </w:rPr>
        <w:t xml:space="preserve"/>
      </w:r>
    </w:p>
    <w:p>
      <w:pPr>
        <w:spacing w:after="80" w:before="240"/>
      </w:pPr>
      <w:r>
        <w:rPr>
          <w:rFonts w:ascii="Arial" w:cs="Arial" w:eastAsia="Arial" w:hAnsi="Arial"/>
          <w:b/>
          <w:bCs/>
          <w:color w:val="1565C0"/>
          <w:sz w:val="26"/>
          <w:szCs w:val="26"/>
        </w:rPr>
        <w:t xml:space="preserve">Source 8 — Portfolio Holdings (Structured Parquet — Azure Data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4" w:val="clear"/>
            <w:tcMar>
              <w:top w:type="dxa" w:w="140"/>
              <w:left w:type="dxa" w:w="200"/>
              <w:bottom w:type="dxa" w:w="140"/>
              <w:right w:type="dxa" w:w="200"/>
            </w:tcMar>
          </w:tcPr>
          <w:p>
            <w:pPr>
              <w:jc w:val="center"/>
            </w:pPr>
            <w:r>
              <w:rPr>
                <w:rFonts w:ascii="Arial" w:cs="Arial" w:eastAsia="Arial" w:hAnsi="Arial"/>
                <w:b/>
                <w:bCs/>
                <w:color w:val="14532D"/>
                <w:sz w:val="26"/>
                <w:szCs w:val="26"/>
              </w:rPr>
              <w:t xml:space="preserve">FORMAT: Parquet  |  VOLUME: 10M rows quarterly  |  INGESTION: ADF Copy from external Blob</w:t>
            </w:r>
          </w:p>
          <w:p>
            <w:pPr>
              <w:jc w:val="center"/>
            </w:pPr>
            <w:r>
              <w:rPr>
                <w:rFonts w:ascii="Arial" w:cs="Arial" w:eastAsia="Arial" w:hAnsi="Arial"/>
                <w:color w:val="14532D"/>
                <w:sz w:val="19"/>
                <w:szCs w:val="19"/>
              </w:rPr>
              <w:t xml:space="preserve">Simulated partner data share — download sample Parquet files from GitHub</w:t>
            </w:r>
          </w:p>
        </w:tc>
      </w:tr>
    </w:tbl>
    <w:p>
      <w:pPr>
        <w:spacing w:after="0" w:before="0"/>
      </w:pPr>
      <w:r>
        <w:rPr>
          <w:sz w:val="8"/>
          <w:szCs w:val="8"/>
        </w:rPr>
        <w:t xml:space="preserve"/>
      </w:r>
    </w:p>
    <w:p>
      <w:pPr>
        <w:spacing w:after="80" w:before="40"/>
      </w:pPr>
      <w:r>
        <w:rPr>
          <w:rFonts w:ascii="Arial" w:cs="Arial" w:eastAsia="Arial" w:hAnsi="Arial"/>
          <w:color w:val="333333"/>
          <w:sz w:val="20"/>
          <w:szCs w:val="20"/>
        </w:rPr>
        <w:t xml:space="preserve">What it contains: portfolio_id, asset_class, isin_code, quantity, market_value, valuation_date, currency, hedge_ratio.</w:t>
      </w:r>
    </w:p>
    <w:p>
      <w:pPr>
        <w:spacing w:after="80" w:before="40"/>
      </w:pPr>
      <w:r>
        <w:rPr>
          <w:rFonts w:ascii="Arial" w:cs="Arial" w:eastAsia="Arial" w:hAnsi="Arial"/>
          <w:color w:val="333333"/>
          <w:sz w:val="20"/>
          <w:szCs w:val="20"/>
        </w:rPr>
        <w:t xml:space="preserve">Why it's valuable: External partner data — arrives as Parquet already, but with schema that changes quarterly without notice.</w:t>
      </w:r>
    </w:p>
    <w:p>
      <w:pPr>
        <w:spacing w:after="80" w:before="40"/>
      </w:pPr>
      <w:r>
        <w:rPr>
          <w:rFonts w:ascii="Arial" w:cs="Arial" w:eastAsia="Arial" w:hAnsi="Arial"/>
          <w:color w:val="333333"/>
          <w:sz w:val="20"/>
          <w:szCs w:val="20"/>
        </w:rPr>
        <w:t xml:space="preserve">Industry challenge it tests: Detecting and handling schema drift in Parquet files. Merging quarterly snapshots correctly using Delta MERGE.</w:t>
      </w:r>
    </w:p>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Sources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1600"/>
        <w:gridCol w:w="1100"/>
        <w:gridCol w:w="1400"/>
        <w:gridCol w:w="2200"/>
        <w:gridCol w:w="2800"/>
      </w:tblGrid>
      <w:tr>
        <w:trPr>
          <w:tblHeader/>
        </w:trPr>
        <w:tc>
          <w:tcPr>
            <w:tcW w:type="dxa" w:w="100"/>
            <w:tcBorders>
              <w:top w:val="single" w:color="E5E7EB" w:sz="1"/>
              <w:left w:val="single" w:color="E5E7EB" w:sz="1"/>
              <w:bottom w:val="single" w:color="E5E7EB" w:sz="1"/>
              <w:right w:val="single" w:color="E5E7EB"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w:t>
            </w:r>
          </w:p>
        </w:tc>
        <w:tc>
          <w:tcPr>
            <w:tcW w:type="dxa" w:w="100"/>
            <w:tcBorders>
              <w:top w:val="single" w:color="E5E7EB" w:sz="1"/>
              <w:left w:val="single" w:color="E5E7EB" w:sz="1"/>
              <w:bottom w:val="single" w:color="E5E7EB" w:sz="1"/>
              <w:right w:val="single" w:color="E5E7EB"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Source</w:t>
            </w:r>
          </w:p>
        </w:tc>
        <w:tc>
          <w:tcPr>
            <w:tcW w:type="dxa" w:w="100"/>
            <w:tcBorders>
              <w:top w:val="single" w:color="E5E7EB" w:sz="1"/>
              <w:left w:val="single" w:color="E5E7EB" w:sz="1"/>
              <w:bottom w:val="single" w:color="E5E7EB" w:sz="1"/>
              <w:right w:val="single" w:color="E5E7EB"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Format</w:t>
            </w:r>
          </w:p>
        </w:tc>
        <w:tc>
          <w:tcPr>
            <w:tcW w:type="dxa" w:w="100"/>
            <w:tcBorders>
              <w:top w:val="single" w:color="E5E7EB" w:sz="1"/>
              <w:left w:val="single" w:color="E5E7EB" w:sz="1"/>
              <w:bottom w:val="single" w:color="E5E7EB" w:sz="1"/>
              <w:right w:val="single" w:color="E5E7EB"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Volume</w:t>
            </w:r>
          </w:p>
        </w:tc>
        <w:tc>
          <w:tcPr>
            <w:tcW w:type="dxa" w:w="100"/>
            <w:tcBorders>
              <w:top w:val="single" w:color="E5E7EB" w:sz="1"/>
              <w:left w:val="single" w:color="E5E7EB" w:sz="1"/>
              <w:bottom w:val="single" w:color="E5E7EB" w:sz="1"/>
              <w:right w:val="single" w:color="E5E7EB"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Ingestion Method</w:t>
            </w:r>
          </w:p>
        </w:tc>
        <w:tc>
          <w:tcPr>
            <w:tcW w:type="dxa" w:w="100"/>
            <w:tcBorders>
              <w:top w:val="single" w:color="E5E7EB" w:sz="1"/>
              <w:left w:val="single" w:color="E5E7EB" w:sz="1"/>
              <w:bottom w:val="single" w:color="E5E7EB" w:sz="1"/>
              <w:right w:val="single" w:color="E5E7EB" w:sz="1"/>
            </w:tcBorders>
            <w:shd w:fill="0D1B2A" w:val="clear"/>
            <w:tcMar>
              <w:top w:type="dxa" w:w="80"/>
              <w:left w:type="dxa" w:w="80"/>
              <w:bottom w:type="dxa" w:w="80"/>
              <w:right w:type="dxa" w:w="80"/>
            </w:tcMar>
          </w:tcPr>
          <w:p>
            <w:r>
              <w:rPr>
                <w:rFonts w:ascii="Arial" w:cs="Arial" w:eastAsia="Arial" w:hAnsi="Arial"/>
                <w:b/>
                <w:bCs/>
                <w:color w:val="FFFFFF"/>
                <w:sz w:val="17"/>
                <w:szCs w:val="17"/>
              </w:rPr>
              <w:t xml:space="preserve">Key Challenge</w:t>
            </w:r>
          </w:p>
        </w:tc>
      </w:tr>
      <w:tr>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1</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PaySim Txns</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CSV</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6.3M rows</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ADF Copy</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bCs/>
                <w:color w:val="C0392B"/>
                <w:sz w:val="16"/>
                <w:szCs w:val="16"/>
              </w:rPr>
              <w:t xml:space="preserve">Partitioning strategy</w:t>
            </w:r>
          </w:p>
        </w:tc>
      </w:tr>
      <w:tr>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2</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Customer CRM</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SQL/JDBC</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500K rows</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ADF + CDC Watermark</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bCs/>
                <w:color w:val="C0392B"/>
                <w:sz w:val="16"/>
                <w:szCs w:val="16"/>
              </w:rPr>
              <w:t xml:space="preserve">Incremental loading</w:t>
            </w:r>
          </w:p>
        </w:tc>
      </w:tr>
      <w:tr>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3</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Insurance Claims</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JSON</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200K/day</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ADF Event trigger</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bCs/>
                <w:color w:val="C0392B"/>
                <w:sz w:val="16"/>
                <w:szCs w:val="16"/>
              </w:rPr>
              <w:t xml:space="preserve">Nested schema evolution</w:t>
            </w:r>
          </w:p>
        </w:tc>
      </w:tr>
      <w:tr>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4</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Market Feed</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Streaming JSON</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10K/sec</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Event Hubs + Spark</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bCs/>
                <w:color w:val="C0392B"/>
                <w:sz w:val="16"/>
                <w:szCs w:val="16"/>
              </w:rPr>
              <w:t xml:space="preserve">Exactly-once streaming</w:t>
            </w:r>
          </w:p>
        </w:tc>
      </w:tr>
      <w:tr>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5</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Loan Applications</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PDF</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5K/month</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ADF + Form Recognizer</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bCs/>
                <w:color w:val="C0392B"/>
                <w:sz w:val="16"/>
                <w:szCs w:val="16"/>
              </w:rPr>
              <w:t xml:space="preserve">OCR + AI extraction</w:t>
            </w:r>
          </w:p>
        </w:tc>
      </w:tr>
      <w:tr>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6</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Legacy Banking</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XML</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50K/day</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ADF Data Flow</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bCs/>
                <w:color w:val="C0392B"/>
                <w:sz w:val="16"/>
                <w:szCs w:val="16"/>
              </w:rPr>
              <w:t xml:space="preserve">XML parsing + flattening</w:t>
            </w:r>
          </w:p>
        </w:tc>
      </w:tr>
      <w:tr>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7</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Clickstream</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Streaming JSON</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50K/hr</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val="false"/>
                <w:bCs w:val="false"/>
                <w:color w:val="333333"/>
                <w:sz w:val="16"/>
                <w:szCs w:val="16"/>
              </w:rPr>
              <w:t xml:space="preserve">Event Hubs + Spark</w:t>
            </w:r>
          </w:p>
        </w:tc>
        <w:tc>
          <w:tcPr>
            <w:tcW w:type="dxa" w:w="100"/>
            <w:tcBorders>
              <w:top w:val="single" w:color="E5E7EB" w:sz="1"/>
              <w:left w:val="single" w:color="E5E7EB" w:sz="1"/>
              <w:bottom w:val="single" w:color="E5E7EB" w:sz="1"/>
              <w:right w:val="single" w:color="E5E7EB" w:sz="1"/>
            </w:tcBorders>
            <w:shd w:fill="F8F9FA" w:val="clear"/>
            <w:tcMar>
              <w:top w:type="dxa" w:w="60"/>
              <w:left w:type="dxa" w:w="80"/>
              <w:bottom w:type="dxa" w:w="60"/>
              <w:right w:type="dxa" w:w="80"/>
            </w:tcMar>
          </w:tcPr>
          <w:p>
            <w:r>
              <w:rPr>
                <w:rFonts w:ascii="Arial" w:cs="Arial" w:eastAsia="Arial" w:hAnsi="Arial"/>
                <w:b/>
                <w:bCs/>
                <w:color w:val="C0392B"/>
                <w:sz w:val="16"/>
                <w:szCs w:val="16"/>
              </w:rPr>
              <w:t xml:space="preserve">Sessionization windows</w:t>
            </w:r>
          </w:p>
        </w:tc>
      </w:tr>
      <w:tr>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8</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Portfolio Data</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Parquet</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10M quarterly</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val="false"/>
                <w:bCs w:val="false"/>
                <w:color w:val="333333"/>
                <w:sz w:val="16"/>
                <w:szCs w:val="16"/>
              </w:rPr>
              <w:t xml:space="preserve">ADF + Delta MERGE</w:t>
            </w:r>
          </w:p>
        </w:tc>
        <w:tc>
          <w:tcPr>
            <w:tcW w:type="dxa" w:w="100"/>
            <w:tcBorders>
              <w:top w:val="single" w:color="E5E7EB" w:sz="1"/>
              <w:left w:val="single" w:color="E5E7EB" w:sz="1"/>
              <w:bottom w:val="single" w:color="E5E7EB" w:sz="1"/>
              <w:right w:val="single" w:color="E5E7EB" w:sz="1"/>
            </w:tcBorders>
            <w:shd w:fill="FFFFFF" w:val="clear"/>
            <w:tcMar>
              <w:top w:type="dxa" w:w="60"/>
              <w:left w:type="dxa" w:w="80"/>
              <w:bottom w:type="dxa" w:w="60"/>
              <w:right w:type="dxa" w:w="80"/>
            </w:tcMar>
          </w:tcPr>
          <w:p>
            <w:r>
              <w:rPr>
                <w:rFonts w:ascii="Arial" w:cs="Arial" w:eastAsia="Arial" w:hAnsi="Arial"/>
                <w:b/>
                <w:bCs/>
                <w:color w:val="C0392B"/>
                <w:sz w:val="16"/>
                <w:szCs w:val="16"/>
              </w:rPr>
              <w:t xml:space="preserve">Schema drift + upserts</w:t>
            </w:r>
          </w:p>
        </w:tc>
      </w:tr>
    </w:tbl>
    <w:p>
      <w:r>
        <w:br w:type="page"/>
      </w:r>
    </w:p>
    <w:p>
      <w:pPr>
        <w:pBdr>
          <w:bottom w:val="single" w:color="1565C0" w:sz="8" w:space="4"/>
        </w:pBdr>
        <w:spacing w:after="120" w:before="320"/>
      </w:pPr>
      <w:r>
        <w:rPr>
          <w:rFonts w:ascii="Arial" w:cs="Arial" w:eastAsia="Arial" w:hAnsi="Arial"/>
          <w:b/>
          <w:bCs/>
          <w:color w:val="0D1B2A"/>
          <w:sz w:val="32"/>
          <w:szCs w:val="32"/>
        </w:rPr>
        <w:t xml:space="preserve">Section 3 — Full Architecture</w:t>
      </w:r>
    </w:p>
    <w:p>
      <w:pPr>
        <w:spacing w:after="0" w:before="0"/>
      </w:pPr>
      <w:r>
        <w:rPr>
          <w:sz w:val="8"/>
          <w:szCs w:val="8"/>
        </w:rPr>
        <w:t xml:space="preserve"/>
      </w:r>
    </w:p>
    <w:p>
      <w:pPr>
        <w:spacing w:after="80" w:before="40"/>
      </w:pPr>
      <w:r>
        <w:rPr>
          <w:rFonts w:ascii="Arial" w:cs="Arial" w:eastAsia="Arial" w:hAnsi="Arial"/>
          <w:color w:val="333333"/>
          <w:sz w:val="20"/>
          <w:szCs w:val="20"/>
        </w:rPr>
        <w:t xml:space="preserve">NEXUS is organised into six horizontal layers. Data flows top to bottom through the platform. Each layer has a single responsibility and a defined interface with the layers above and below it.</w:t>
      </w:r>
    </w:p>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Layer 1 — Ingestion Layer</w:t>
      </w:r>
    </w:p>
    <w:p>
      <w:pPr>
        <w:spacing w:after="80" w:before="40"/>
      </w:pPr>
      <w:r>
        <w:rPr>
          <w:rFonts w:ascii="Arial" w:cs="Arial" w:eastAsia="Arial" w:hAnsi="Arial"/>
          <w:color w:val="333333"/>
          <w:sz w:val="20"/>
          <w:szCs w:val="20"/>
        </w:rPr>
        <w:t xml:space="preserve">Responsible for: collecting raw data from all eight sources and landing it in Bronze without modification. Nothing is transformed here. Everything is preserved exactly as received.</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565C0"/>
                <w:sz w:val="19"/>
                <w:szCs w:val="19"/>
              </w:rPr>
              <w:t xml:space="preserve">ADF Copy Activity</w:t>
            </w:r>
          </w:p>
        </w:tc>
        <w:tc>
          <w:tcPr>
            <w:tcW w:type="dxa" w:w="6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color w:val="333333"/>
                <w:sz w:val="19"/>
                <w:szCs w:val="19"/>
              </w:rPr>
              <w:t xml:space="preserve">Batch ingestion for CSV, SQL, XML, Parquet sources. Runs on schedule trigger (midnight daily) and event-based trigger (file arrival).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ADF Data Flow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Visual transformation for XML flattening and complex mappings without writing code.</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565C0"/>
                <w:sz w:val="19"/>
                <w:szCs w:val="19"/>
              </w:rPr>
              <w:t xml:space="preserve">Azure Event Hubs</w:t>
            </w:r>
          </w:p>
        </w:tc>
        <w:tc>
          <w:tcPr>
            <w:tcW w:type="dxa" w:w="6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color w:val="333333"/>
                <w:sz w:val="19"/>
                <w:szCs w:val="19"/>
              </w:rPr>
              <w:t xml:space="preserve">Managed streaming ingestion broker. Market feed and clickstream data land here first before Databricks consumes.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Databricks Structured Streaming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Consumes from Event Hubs in real-time. Writes micro-batches to Bronze every 30 seconds with checkpointing.</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565C0"/>
                <w:sz w:val="19"/>
                <w:szCs w:val="19"/>
              </w:rPr>
              <w:t xml:space="preserve">Azure Form Recognizer</w:t>
            </w:r>
          </w:p>
        </w:tc>
        <w:tc>
          <w:tcPr>
            <w:tcW w:type="dxa" w:w="6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color w:val="333333"/>
                <w:sz w:val="19"/>
                <w:szCs w:val="19"/>
              </w:rPr>
              <w:t xml:space="preserve">AI service that reads PDF loan applications and extracts structured key-value pairs. ADF calls this as a Web Activity.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Azure Key Vault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connection strings, storage keys, and API tokens stored here. Zero credentials in any pipeline code.</w:t>
            </w:r>
          </w:p>
        </w:tc>
      </w:tr>
    </w:tbl>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Layer 2 — Storage Layer (Medallion Architecture)</w:t>
      </w:r>
    </w:p>
    <w:p>
      <w:pPr>
        <w:spacing w:after="80" w:before="40"/>
      </w:pPr>
      <w:r>
        <w:rPr>
          <w:rFonts w:ascii="Arial" w:cs="Arial" w:eastAsia="Arial" w:hAnsi="Arial"/>
          <w:color w:val="333333"/>
          <w:sz w:val="20"/>
          <w:szCs w:val="20"/>
        </w:rPr>
        <w:t xml:space="preserve">All data lives in ADLS Gen2 with Hierarchical Namespace enabled. Three containers implement the Bronze-Silver-Gold pattern. Delta Lake format is used at every layer.</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700"/>
        <w:gridCol w:w="2700"/>
      </w:tblGrid>
      <w:tr>
        <w:trPr>
          <w:tblHeader/>
        </w:trPr>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Path Structure</w:t>
            </w:r>
          </w:p>
        </w:tc>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What's Here</w:t>
            </w:r>
          </w:p>
        </w:tc>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Quality Rules</w:t>
            </w:r>
          </w:p>
        </w:tc>
      </w:tr>
      <w:tr>
        <w:tc>
          <w:tcPr>
            <w:tcW w:type="dxa" w:w="100"/>
            <w:tcBorders>
              <w:top w:val="single" w:color="E5E7EB" w:sz="1"/>
              <w:left w:val="single" w:color="E5E7EB" w:sz="1"/>
              <w:bottom w:val="single" w:color="E5E7EB" w:sz="1"/>
              <w:right w:val="single" w:color="E5E7EB" w:sz="1"/>
            </w:tcBorders>
            <w:shd w:fill="F8F9FA" w:val="clear"/>
            <w:tcMar>
              <w:top w:type="dxa" w:w="80"/>
              <w:left w:type="dxa" w:w="100"/>
              <w:bottom w:type="dxa" w:w="80"/>
              <w:right w:type="dxa" w:w="100"/>
            </w:tcMar>
          </w:tcPr>
          <w:p>
            <w:r>
              <w:rPr>
                <w:rFonts w:ascii="Arial" w:cs="Arial" w:eastAsia="Arial" w:hAnsi="Arial"/>
                <w:color w:val="333333"/>
                <w:sz w:val="17"/>
                <w:szCs w:val="17"/>
              </w:rPr>
              <w:t xml:space="preserve">Bronze</w:t>
            </w:r>
          </w:p>
        </w:tc>
        <w:tc>
          <w:tcPr>
            <w:tcW w:type="dxa" w:w="100"/>
            <w:tcBorders>
              <w:top w:val="single" w:color="E5E7EB" w:sz="1"/>
              <w:left w:val="single" w:color="E5E7EB" w:sz="1"/>
              <w:bottom w:val="single" w:color="E5E7EB" w:sz="1"/>
              <w:right w:val="single" w:color="E5E7EB" w:sz="1"/>
            </w:tcBorders>
            <w:shd w:fill="F8F9FA" w:val="clear"/>
            <w:tcMar>
              <w:top w:type="dxa" w:w="80"/>
              <w:left w:type="dxa" w:w="100"/>
              <w:bottom w:type="dxa" w:w="80"/>
              <w:right w:type="dxa" w:w="100"/>
            </w:tcMar>
          </w:tcPr>
          <w:p>
            <w:r>
              <w:rPr>
                <w:rFonts w:ascii="Arial" w:cs="Arial" w:eastAsia="Arial" w:hAnsi="Arial"/>
                <w:color w:val="333333"/>
                <w:sz w:val="17"/>
                <w:szCs w:val="17"/>
              </w:rPr>
              <w:t xml:space="preserve">bronze/{domain}/{source}/year=YYYY/month=MM/day=DD/</w:t>
            </w:r>
          </w:p>
        </w:tc>
        <w:tc>
          <w:tcPr>
            <w:tcW w:type="dxa" w:w="100"/>
            <w:tcBorders>
              <w:top w:val="single" w:color="E5E7EB" w:sz="1"/>
              <w:left w:val="single" w:color="E5E7EB" w:sz="1"/>
              <w:bottom w:val="single" w:color="E5E7EB" w:sz="1"/>
              <w:right w:val="single" w:color="E5E7EB" w:sz="1"/>
            </w:tcBorders>
            <w:shd w:fill="F8F9FA" w:val="clear"/>
            <w:tcMar>
              <w:top w:type="dxa" w:w="80"/>
              <w:left w:type="dxa" w:w="100"/>
              <w:bottom w:type="dxa" w:w="80"/>
              <w:right w:type="dxa" w:w="100"/>
            </w:tcMar>
          </w:tcPr>
          <w:p>
            <w:r>
              <w:rPr>
                <w:rFonts w:ascii="Arial" w:cs="Arial" w:eastAsia="Arial" w:hAnsi="Arial"/>
                <w:color w:val="333333"/>
                <w:sz w:val="17"/>
                <w:szCs w:val="17"/>
              </w:rPr>
              <w:t xml:space="preserve">Raw data exactly as received. Parquet format. Never modified. Permanent audit trail.</w:t>
            </w:r>
          </w:p>
        </w:tc>
        <w:tc>
          <w:tcPr>
            <w:tcW w:type="dxa" w:w="100"/>
            <w:tcBorders>
              <w:top w:val="single" w:color="E5E7EB" w:sz="1"/>
              <w:left w:val="single" w:color="E5E7EB" w:sz="1"/>
              <w:bottom w:val="single" w:color="E5E7EB" w:sz="1"/>
              <w:right w:val="single" w:color="E5E7EB" w:sz="1"/>
            </w:tcBorders>
            <w:shd w:fill="F8F9FA" w:val="clear"/>
            <w:tcMar>
              <w:top w:type="dxa" w:w="80"/>
              <w:left w:type="dxa" w:w="100"/>
              <w:bottom w:type="dxa" w:w="80"/>
              <w:right w:type="dxa" w:w="100"/>
            </w:tcMar>
          </w:tcPr>
          <w:p>
            <w:r>
              <w:rPr>
                <w:rFonts w:ascii="Arial" w:cs="Arial" w:eastAsia="Arial" w:hAnsi="Arial"/>
                <w:color w:val="333333"/>
                <w:sz w:val="17"/>
                <w:szCs w:val="17"/>
              </w:rPr>
              <w:t xml:space="preserve">No quality rules. Accept everything. Schema inference only.</w:t>
            </w:r>
          </w:p>
        </w:tc>
      </w:tr>
      <w:tr>
        <w:tc>
          <w:tcPr>
            <w:tcW w:type="dxa" w:w="1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Silver</w:t>
            </w:r>
          </w:p>
        </w:tc>
        <w:tc>
          <w:tcPr>
            <w:tcW w:type="dxa" w:w="1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silver/{domain}/{source}/</w:t>
            </w:r>
          </w:p>
        </w:tc>
        <w:tc>
          <w:tcPr>
            <w:tcW w:type="dxa" w:w="1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Cleaned, deduplicated, typed, validated. Delta Lake with schema enforcement ON.</w:t>
            </w:r>
          </w:p>
        </w:tc>
        <w:tc>
          <w:tcPr>
            <w:tcW w:type="dxa" w:w="1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No nulls in key columns. No negative amounts. No future dates. Deduplication enforced.</w:t>
            </w:r>
          </w:p>
        </w:tc>
      </w:tr>
      <w:tr>
        <w:tc>
          <w:tcPr>
            <w:tcW w:type="dxa" w:w="100"/>
            <w:tcBorders>
              <w:top w:val="single" w:color="E5E7EB" w:sz="1"/>
              <w:left w:val="single" w:color="E5E7EB" w:sz="1"/>
              <w:bottom w:val="single" w:color="E5E7EB" w:sz="1"/>
              <w:right w:val="single" w:color="E5E7EB" w:sz="1"/>
            </w:tcBorders>
            <w:shd w:fill="F8F9FA" w:val="clear"/>
            <w:tcMar>
              <w:top w:type="dxa" w:w="80"/>
              <w:left w:type="dxa" w:w="100"/>
              <w:bottom w:type="dxa" w:w="80"/>
              <w:right w:type="dxa" w:w="100"/>
            </w:tcMar>
          </w:tcPr>
          <w:p>
            <w:r>
              <w:rPr>
                <w:rFonts w:ascii="Arial" w:cs="Arial" w:eastAsia="Arial" w:hAnsi="Arial"/>
                <w:color w:val="333333"/>
                <w:sz w:val="17"/>
                <w:szCs w:val="17"/>
              </w:rPr>
              <w:t xml:space="preserve">Gold</w:t>
            </w:r>
          </w:p>
        </w:tc>
        <w:tc>
          <w:tcPr>
            <w:tcW w:type="dxa" w:w="100"/>
            <w:tcBorders>
              <w:top w:val="single" w:color="E5E7EB" w:sz="1"/>
              <w:left w:val="single" w:color="E5E7EB" w:sz="1"/>
              <w:bottom w:val="single" w:color="E5E7EB" w:sz="1"/>
              <w:right w:val="single" w:color="E5E7EB" w:sz="1"/>
            </w:tcBorders>
            <w:shd w:fill="F8F9FA" w:val="clear"/>
            <w:tcMar>
              <w:top w:type="dxa" w:w="80"/>
              <w:left w:type="dxa" w:w="100"/>
              <w:bottom w:type="dxa" w:w="80"/>
              <w:right w:type="dxa" w:w="100"/>
            </w:tcMar>
          </w:tcPr>
          <w:p>
            <w:r>
              <w:rPr>
                <w:rFonts w:ascii="Arial" w:cs="Arial" w:eastAsia="Arial" w:hAnsi="Arial"/>
                <w:color w:val="333333"/>
                <w:sz w:val="17"/>
                <w:szCs w:val="17"/>
              </w:rPr>
              <w:t xml:space="preserve">gold/{domain}/{aggregate_name}/</w:t>
            </w:r>
          </w:p>
        </w:tc>
        <w:tc>
          <w:tcPr>
            <w:tcW w:type="dxa" w:w="100"/>
            <w:tcBorders>
              <w:top w:val="single" w:color="E5E7EB" w:sz="1"/>
              <w:left w:val="single" w:color="E5E7EB" w:sz="1"/>
              <w:bottom w:val="single" w:color="E5E7EB" w:sz="1"/>
              <w:right w:val="single" w:color="E5E7EB" w:sz="1"/>
            </w:tcBorders>
            <w:shd w:fill="F8F9FA" w:val="clear"/>
            <w:tcMar>
              <w:top w:type="dxa" w:w="80"/>
              <w:left w:type="dxa" w:w="100"/>
              <w:bottom w:type="dxa" w:w="80"/>
              <w:right w:type="dxa" w:w="100"/>
            </w:tcMar>
          </w:tcPr>
          <w:p>
            <w:r>
              <w:rPr>
                <w:rFonts w:ascii="Arial" w:cs="Arial" w:eastAsia="Arial" w:hAnsi="Arial"/>
                <w:color w:val="333333"/>
                <w:sz w:val="17"/>
                <w:szCs w:val="17"/>
              </w:rPr>
              <w:t xml:space="preserve">Business aggregations, joins, ML features. Optimised for consumption.</w:t>
            </w:r>
          </w:p>
        </w:tc>
        <w:tc>
          <w:tcPr>
            <w:tcW w:type="dxa" w:w="100"/>
            <w:tcBorders>
              <w:top w:val="single" w:color="E5E7EB" w:sz="1"/>
              <w:left w:val="single" w:color="E5E7EB" w:sz="1"/>
              <w:bottom w:val="single" w:color="E5E7EB" w:sz="1"/>
              <w:right w:val="single" w:color="E5E7EB" w:sz="1"/>
            </w:tcBorders>
            <w:shd w:fill="F8F9FA" w:val="clear"/>
            <w:tcMar>
              <w:top w:type="dxa" w:w="80"/>
              <w:left w:type="dxa" w:w="100"/>
              <w:bottom w:type="dxa" w:w="80"/>
              <w:right w:type="dxa" w:w="100"/>
            </w:tcMar>
          </w:tcPr>
          <w:p>
            <w:r>
              <w:rPr>
                <w:rFonts w:ascii="Arial" w:cs="Arial" w:eastAsia="Arial" w:hAnsi="Arial"/>
                <w:color w:val="333333"/>
                <w:sz w:val="17"/>
                <w:szCs w:val="17"/>
              </w:rPr>
              <w:t xml:space="preserve">OPTIMIZE ZORDER applied weekly. Materialized views for common queries. Z-statistics maintained.</w:t>
            </w:r>
          </w:p>
        </w:tc>
      </w:tr>
    </w:tbl>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Layer 3 — Transformation Layer (Databricks)</w:t>
      </w:r>
    </w:p>
    <w:p>
      <w:pPr>
        <w:spacing w:after="80" w:before="40"/>
      </w:pPr>
      <w:r>
        <w:rPr>
          <w:rFonts w:ascii="Arial" w:cs="Arial" w:eastAsia="Arial" w:hAnsi="Arial"/>
          <w:color w:val="333333"/>
          <w:sz w:val="20"/>
          <w:szCs w:val="20"/>
        </w:rPr>
        <w:t xml:space="preserve">All computation happens in Databricks. Six distinct notebooks handle different transformation stages. ADF orchestrates their execution order and passes parameters.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Courier New" w:cs="Courier New" w:eastAsia="Courier New" w:hAnsi="Courier New"/>
                <w:b/>
                <w:bCs/>
                <w:color w:val="5B21B6"/>
                <w:sz w:val="17"/>
                <w:szCs w:val="17"/>
              </w:rPr>
              <w:t xml:space="preserve">nb_01_ingest_streaming.py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Always-running streaming job. Consumes Event Hubs, writes to Bronze every 30s with checkpointing and exactly-once semantics.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Courier New" w:cs="Courier New" w:eastAsia="Courier New" w:hAnsi="Courier New"/>
                <w:b/>
                <w:bCs/>
                <w:color w:val="5B21B6"/>
                <w:sz w:val="17"/>
                <w:szCs w:val="17"/>
              </w:rPr>
              <w:t xml:space="preserve">nb_02_bronze_to_silver_batch.py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Parameterised by date and source. Cleans, validates, deduplicates batch sources. Schema validation runs before any 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Courier New" w:cs="Courier New" w:eastAsia="Courier New" w:hAnsi="Courier New"/>
                <w:b/>
                <w:bCs/>
                <w:color w:val="5B21B6"/>
                <w:sz w:val="17"/>
                <w:szCs w:val="17"/>
              </w:rPr>
              <w:t xml:space="preserve">nb_03_bronze_to_silver_stream.py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Merges streaming micro-batches in Bronze into clean Silver Delta tables using Delta MERGE for deduplication.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Courier New" w:cs="Courier New" w:eastAsia="Courier New" w:hAnsi="Courier New"/>
                <w:b/>
                <w:bCs/>
                <w:color w:val="5B21B6"/>
                <w:sz w:val="17"/>
                <w:szCs w:val="17"/>
              </w:rPr>
              <w:t xml:space="preserve">nb_04_silver_to_gold.py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Builds all Gold aggregations: daily summaries, fraud analysis, customer 360, market snapshots, portfolio valuations.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Courier New" w:cs="Courier New" w:eastAsia="Courier New" w:hAnsi="Courier New"/>
                <w:b/>
                <w:bCs/>
                <w:color w:val="5B21B6"/>
                <w:sz w:val="17"/>
                <w:szCs w:val="17"/>
              </w:rPr>
              <w:t xml:space="preserve">nb_05_ml_feature_engineering.py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Builds ML feature store: fraud risk features, customer lifetime value features, portfolio risk scores. Writes to Gold/features/.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Courier New" w:cs="Courier New" w:eastAsia="Courier New" w:hAnsi="Courier New"/>
                <w:b/>
                <w:bCs/>
                <w:color w:val="5B21B6"/>
                <w:sz w:val="17"/>
                <w:szCs w:val="17"/>
              </w:rPr>
              <w:t xml:space="preserve">nb_06_data_quality_report.py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Runs after every pipeline. Checks record counts, null rates, schema conformance. Writes quality metrics to a monitoring Delta table.</w:t>
            </w:r>
          </w:p>
        </w:tc>
      </w:tr>
    </w:tbl>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Layer 4 — Orchestration Layer (ADF)</w:t>
      </w:r>
    </w:p>
    <w:p>
      <w:pPr>
        <w:spacing w:after="80" w:before="40"/>
      </w:pPr>
      <w:r>
        <w:rPr>
          <w:rFonts w:ascii="Arial" w:cs="Arial" w:eastAsia="Arial" w:hAnsi="Arial"/>
          <w:color w:val="333333"/>
          <w:sz w:val="20"/>
          <w:szCs w:val="20"/>
        </w:rPr>
        <w:t xml:space="preserve">Five ADF pipelines coordinate the entire platform. Each pipeline is version-controlled in GitHub using ADF's native Git integration.</w:t>
      </w:r>
    </w:p>
    <w:p>
      <w:pPr>
        <w:spacing w:after="0" w:before="0"/>
      </w:pPr>
      <w:r>
        <w:rPr>
          <w:sz w:val="8"/>
          <w:szCs w:val="8"/>
        </w:rPr>
        <w:t xml:space="preserve"/>
      </w:r>
    </w:p>
    <w:p>
      <w:pPr>
        <w:spacing w:after="40" w:before="40"/>
      </w:pPr>
      <w:r>
        <w:rPr>
          <w:rFonts w:ascii="Courier New" w:cs="Courier New" w:eastAsia="Courier New" w:hAnsi="Courier New"/>
          <w:b/>
          <w:bCs/>
          <w:color w:val="1565C0"/>
          <w:sz w:val="19"/>
          <w:szCs w:val="19"/>
        </w:rPr>
        <w:t xml:space="preserve">pl_master_orchestrator  </w:t>
      </w:r>
      <w:r>
        <w:rPr>
          <w:rFonts w:ascii="Arial" w:cs="Arial" w:eastAsia="Arial" w:hAnsi="Arial"/>
          <w:color w:val="333333"/>
          <w:sz w:val="19"/>
          <w:szCs w:val="19"/>
        </w:rPr>
        <w:t xml:space="preserve">Parent pipeline. Runs nightly at midnight. Triggers all child pipelines in correct sequence. Handles failures with retry logic and alerting.</w:t>
      </w:r>
    </w:p>
    <w:p>
      <w:pPr>
        <w:spacing w:after="40" w:before="40"/>
      </w:pPr>
      <w:r>
        <w:rPr>
          <w:rFonts w:ascii="Courier New" w:cs="Courier New" w:eastAsia="Courier New" w:hAnsi="Courier New"/>
          <w:b/>
          <w:bCs/>
          <w:color w:val="1565C0"/>
          <w:sz w:val="19"/>
          <w:szCs w:val="19"/>
        </w:rPr>
        <w:t xml:space="preserve">pl_batch_ingestion  </w:t>
      </w:r>
      <w:r>
        <w:rPr>
          <w:rFonts w:ascii="Arial" w:cs="Arial" w:eastAsia="Arial" w:hAnsi="Arial"/>
          <w:color w:val="333333"/>
          <w:sz w:val="19"/>
          <w:szCs w:val="19"/>
        </w:rPr>
        <w:t xml:space="preserve">Runs all eight Copy Activities. Parameterised by date. Checks watermarks for incremental sources. Validates row counts after each copy.</w:t>
      </w:r>
    </w:p>
    <w:p>
      <w:pPr>
        <w:spacing w:after="40" w:before="40"/>
      </w:pPr>
      <w:r>
        <w:rPr>
          <w:rFonts w:ascii="Courier New" w:cs="Courier New" w:eastAsia="Courier New" w:hAnsi="Courier New"/>
          <w:b/>
          <w:bCs/>
          <w:color w:val="1565C0"/>
          <w:sz w:val="19"/>
          <w:szCs w:val="19"/>
        </w:rPr>
        <w:t xml:space="preserve">pl_transformation  </w:t>
      </w:r>
      <w:r>
        <w:rPr>
          <w:rFonts w:ascii="Arial" w:cs="Arial" w:eastAsia="Arial" w:hAnsi="Arial"/>
          <w:color w:val="333333"/>
          <w:sz w:val="19"/>
          <w:szCs w:val="19"/>
        </w:rPr>
        <w:t xml:space="preserve">Triggers Bronze-to-Silver notebooks for each domain. Passes date parameters. Reads notebook output to confirm record counts.</w:t>
      </w:r>
    </w:p>
    <w:p>
      <w:pPr>
        <w:spacing w:after="40" w:before="40"/>
      </w:pPr>
      <w:r>
        <w:rPr>
          <w:rFonts w:ascii="Courier New" w:cs="Courier New" w:eastAsia="Courier New" w:hAnsi="Courier New"/>
          <w:b/>
          <w:bCs/>
          <w:color w:val="1565C0"/>
          <w:sz w:val="19"/>
          <w:szCs w:val="19"/>
        </w:rPr>
        <w:t xml:space="preserve">pl_gold_and_quality  </w:t>
      </w:r>
      <w:r>
        <w:rPr>
          <w:rFonts w:ascii="Arial" w:cs="Arial" w:eastAsia="Arial" w:hAnsi="Arial"/>
          <w:color w:val="333333"/>
          <w:sz w:val="19"/>
          <w:szCs w:val="19"/>
        </w:rPr>
        <w:t xml:space="preserve">Triggers Silver-to-Gold and ML feature engineering notebooks. Runs data quality report. Fails the pipeline if quality score drops below 95%.</w:t>
      </w:r>
    </w:p>
    <w:p>
      <w:pPr>
        <w:spacing w:after="40" w:before="40"/>
      </w:pPr>
      <w:r>
        <w:rPr>
          <w:rFonts w:ascii="Courier New" w:cs="Courier New" w:eastAsia="Courier New" w:hAnsi="Courier New"/>
          <w:b/>
          <w:bCs/>
          <w:color w:val="1565C0"/>
          <w:sz w:val="19"/>
          <w:szCs w:val="19"/>
        </w:rPr>
        <w:t xml:space="preserve">pl_streaming_health_check  </w:t>
      </w:r>
      <w:r>
        <w:rPr>
          <w:rFonts w:ascii="Arial" w:cs="Arial" w:eastAsia="Arial" w:hAnsi="Arial"/>
          <w:color w:val="333333"/>
          <w:sz w:val="19"/>
          <w:szCs w:val="19"/>
        </w:rPr>
        <w:t xml:space="preserve">Runs every 15 minutes. Checks that streaming jobs are alive and writing fresh data. Alerts if last Bronze write was more than 5 minutes ago.</w:t>
      </w:r>
    </w:p>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Layer 5 — Observability Layer</w:t>
      </w:r>
    </w:p>
    <w:p>
      <w:pPr>
        <w:spacing w:after="80" w:before="40"/>
      </w:pPr>
      <w:r>
        <w:rPr>
          <w:rFonts w:ascii="Arial" w:cs="Arial" w:eastAsia="Arial" w:hAnsi="Arial"/>
          <w:color w:val="333333"/>
          <w:sz w:val="20"/>
          <w:szCs w:val="20"/>
        </w:rPr>
        <w:t xml:space="preserve">Every pipeline run, every notebook execution, every row count, every quality score is logged to Azure Monitor. KQL queries power both the ops dashboard and the alert rules.</w:t>
      </w:r>
    </w:p>
    <w:p>
      <w:pPr>
        <w:spacing w:after="0" w:before="0"/>
      </w:pPr>
      <w:r>
        <w:rPr>
          <w:sz w:val="8"/>
          <w:szCs w:val="8"/>
        </w:rPr>
        <w:t xml:space="preserve"/>
      </w:r>
    </w:p>
    <w:p>
      <w:pPr>
        <w:pStyle w:val="ListParagraph"/>
        <w:numPr>
          <w:ilvl w:val="0"/>
          <w:numId w:val="2"/>
        </w:numPr>
        <w:spacing w:after="40" w:before="20"/>
        <w:ind w:left="360"/>
      </w:pPr>
      <w:r>
        <w:rPr>
          <w:rFonts w:ascii="Arial" w:cs="Arial" w:eastAsia="Arial" w:hAnsi="Arial"/>
          <w:color w:val="333333"/>
          <w:sz w:val="19"/>
          <w:szCs w:val="19"/>
        </w:rPr>
        <w:t xml:space="preserve">ADF diagnostic logs → Log Analytics workspace (ADFPipelineRun, ADFActivityRun tables)</w:t>
      </w:r>
    </w:p>
    <w:p>
      <w:pPr>
        <w:pStyle w:val="ListParagraph"/>
        <w:numPr>
          <w:ilvl w:val="0"/>
          <w:numId w:val="2"/>
        </w:numPr>
        <w:spacing w:after="40" w:before="20"/>
        <w:ind w:left="360"/>
      </w:pPr>
      <w:r>
        <w:rPr>
          <w:rFonts w:ascii="Arial" w:cs="Arial" w:eastAsia="Arial" w:hAnsi="Arial"/>
          <w:color w:val="333333"/>
          <w:sz w:val="19"/>
          <w:szCs w:val="19"/>
        </w:rPr>
        <w:t xml:space="preserve">Databricks cluster metrics → Log Analytics workspace (resource CPU, memory, disk spill)</w:t>
      </w:r>
    </w:p>
    <w:p>
      <w:pPr>
        <w:pStyle w:val="ListParagraph"/>
        <w:numPr>
          <w:ilvl w:val="0"/>
          <w:numId w:val="2"/>
        </w:numPr>
        <w:spacing w:after="40" w:before="20"/>
        <w:ind w:left="360"/>
      </w:pPr>
      <w:r>
        <w:rPr>
          <w:rFonts w:ascii="Arial" w:cs="Arial" w:eastAsia="Arial" w:hAnsi="Arial"/>
          <w:color w:val="333333"/>
          <w:sz w:val="19"/>
          <w:szCs w:val="19"/>
        </w:rPr>
        <w:t xml:space="preserve">Custom data quality metrics → Gold/monitoring/pipeline_health Delta table (queried via KQL)</w:t>
      </w:r>
    </w:p>
    <w:p>
      <w:pPr>
        <w:pStyle w:val="ListParagraph"/>
        <w:numPr>
          <w:ilvl w:val="0"/>
          <w:numId w:val="2"/>
        </w:numPr>
        <w:spacing w:after="40" w:before="20"/>
        <w:ind w:left="360"/>
      </w:pPr>
      <w:r>
        <w:rPr>
          <w:rFonts w:ascii="Arial" w:cs="Arial" w:eastAsia="Arial" w:hAnsi="Arial"/>
          <w:color w:val="333333"/>
          <w:sz w:val="19"/>
          <w:szCs w:val="19"/>
        </w:rPr>
        <w:t xml:space="preserve">Azure Workbook → real-time ops dashboard with 6 tiles (pipeline health, record volumes, fraud rate, quality score, streaming lag, cost)</w:t>
      </w:r>
    </w:p>
    <w:p>
      <w:pPr>
        <w:pStyle w:val="ListParagraph"/>
        <w:numPr>
          <w:ilvl w:val="0"/>
          <w:numId w:val="2"/>
        </w:numPr>
        <w:spacing w:after="40" w:before="20"/>
        <w:ind w:left="360"/>
      </w:pPr>
      <w:r>
        <w:rPr>
          <w:rFonts w:ascii="Arial" w:cs="Arial" w:eastAsia="Arial" w:hAnsi="Arial"/>
          <w:color w:val="333333"/>
          <w:sz w:val="19"/>
          <w:szCs w:val="19"/>
        </w:rPr>
        <w:t xml:space="preserve">Alert rules → 5 alert rules covering pipeline failure, zero-row success, streaming lag, quality drop, and quota approach</w:t>
      </w:r>
    </w:p>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Layer 6 — Serving Layer</w:t>
      </w:r>
    </w:p>
    <w:p>
      <w:pPr>
        <w:spacing w:after="80" w:before="40"/>
      </w:pPr>
      <w:r>
        <w:rPr>
          <w:rFonts w:ascii="Arial" w:cs="Arial" w:eastAsia="Arial" w:hAnsi="Arial"/>
          <w:color w:val="333333"/>
          <w:sz w:val="20"/>
          <w:szCs w:val="20"/>
        </w:rPr>
        <w:t xml:space="preserve">Gold data is consumed by three serving surfaces, each targeting a different audience.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r>
              <w:rPr>
                <w:rFonts w:ascii="Arial" w:cs="Arial" w:eastAsia="Arial" w:hAnsi="Arial"/>
                <w:color w:val="333333"/>
                <w:sz w:val="19"/>
                <w:szCs w:val="19"/>
              </w:rPr>
              <w:t xml:space="preserve">Power BI Dashboard (Business Users)</w:t>
            </w:r>
          </w:p>
          <w:p>
            <w:r>
              <w:rPr>
                <w:rFonts w:ascii="Arial" w:cs="Arial" w:eastAsia="Arial" w:hAnsi="Arial"/>
                <w:color w:val="333333"/>
                <w:sz w:val="19"/>
                <w:szCs w:val="19"/>
              </w:rPr>
              <w:t xml:space="preserve">Connects directly to Gold Delta tables via ADLS connector.</w:t>
            </w:r>
          </w:p>
          <w:p>
            <w:r>
              <w:rPr>
                <w:rFonts w:ascii="Arial" w:cs="Arial" w:eastAsia="Arial" w:hAnsi="Arial"/>
                <w:color w:val="333333"/>
                <w:sz w:val="19"/>
                <w:szCs w:val="19"/>
              </w:rPr>
              <w:t xml:space="preserve">Three report pages: Executive Summary, Fraud Analytics, Portfolio Overview.</w:t>
            </w:r>
          </w:p>
          <w:p>
            <w:r>
              <w:rPr>
                <w:rFonts w:ascii="Arial" w:cs="Arial" w:eastAsia="Arial" w:hAnsi="Arial"/>
                <w:color w:val="333333"/>
                <w:sz w:val="19"/>
                <w:szCs w:val="19"/>
              </w:rPr>
              <w:t xml:space="preserve">Scheduled refresh every morning at 6am.</w:t>
            </w:r>
          </w:p>
        </w:tc>
        <w:tc>
          <w:tcPr>
            <w:tcW w:type="dxa" w:w="4680"/>
            <w:tcBorders>
              <w:top w:val="single" w:color="E5E7EB" w:sz="1"/>
              <w:left w:val="single" w:color="E5E7EB" w:sz="1"/>
              <w:bottom w:val="single" w:color="E5E7EB" w:sz="1"/>
              <w:right w:val="single" w:color="E5E7EB" w:sz="1"/>
            </w:tcBorders>
            <w:shd w:fill="F0FDFA" w:val="clear"/>
            <w:tcMar>
              <w:top w:type="dxa" w:w="100"/>
              <w:left w:type="dxa" w:w="160"/>
              <w:bottom w:type="dxa" w:w="100"/>
              <w:right w:type="dxa" w:w="120"/>
            </w:tcMar>
          </w:tcPr>
          <w:p>
            <w:r>
              <w:rPr>
                <w:rFonts w:ascii="Arial" w:cs="Arial" w:eastAsia="Arial" w:hAnsi="Arial"/>
                <w:color w:val="333333"/>
                <w:sz w:val="19"/>
                <w:szCs w:val="19"/>
              </w:rPr>
              <w:t xml:space="preserve">Databricks SQL (Analysts)</w:t>
            </w:r>
          </w:p>
          <w:p>
            <w:r>
              <w:rPr>
                <w:rFonts w:ascii="Arial" w:cs="Arial" w:eastAsia="Arial" w:hAnsi="Arial"/>
                <w:color w:val="333333"/>
                <w:sz w:val="19"/>
                <w:szCs w:val="19"/>
              </w:rPr>
              <w:t xml:space="preserve">SQL warehouse pointing at Gold Delta tables.</w:t>
            </w:r>
          </w:p>
          <w:p>
            <w:r>
              <w:rPr>
                <w:rFonts w:ascii="Arial" w:cs="Arial" w:eastAsia="Arial" w:hAnsi="Arial"/>
                <w:color w:val="333333"/>
                <w:sz w:val="19"/>
                <w:szCs w:val="19"/>
              </w:rPr>
              <w:t xml:space="preserve">Ad-hoc queries via SQL editor — no PySpark knowledge needed.</w:t>
            </w:r>
          </w:p>
          <w:p>
            <w:r>
              <w:rPr>
                <w:rFonts w:ascii="Arial" w:cs="Arial" w:eastAsia="Arial" w:hAnsi="Arial"/>
                <w:color w:val="333333"/>
                <w:sz w:val="19"/>
                <w:szCs w:val="19"/>
              </w:rPr>
              <w:t xml:space="preserve">Row-level security: fraud analysts see only fraud data, not portfolio data.</w:t>
            </w:r>
          </w:p>
        </w:tc>
      </w:tr>
    </w:tbl>
    <w:p>
      <w:r>
        <w:br w:type="page"/>
      </w:r>
    </w:p>
    <w:p>
      <w:pPr>
        <w:pBdr>
          <w:bottom w:val="single" w:color="1565C0" w:sz="8" w:space="4"/>
        </w:pBdr>
        <w:spacing w:after="120" w:before="320"/>
      </w:pPr>
      <w:r>
        <w:rPr>
          <w:rFonts w:ascii="Arial" w:cs="Arial" w:eastAsia="Arial" w:hAnsi="Arial"/>
          <w:b/>
          <w:bCs/>
          <w:color w:val="0D1B2A"/>
          <w:sz w:val="32"/>
          <w:szCs w:val="32"/>
        </w:rPr>
        <w:t xml:space="preserve">Section 4 — Industry Challenges You Will Solve</w:t>
      </w:r>
    </w:p>
    <w:p>
      <w:pPr>
        <w:spacing w:after="0" w:before="0"/>
      </w:pPr>
      <w:r>
        <w:rPr>
          <w:sz w:val="8"/>
          <w:szCs w:val="8"/>
        </w:rPr>
        <w:t xml:space="preserve"/>
      </w:r>
    </w:p>
    <w:p>
      <w:pPr>
        <w:spacing w:after="80" w:before="40"/>
      </w:pPr>
      <w:r>
        <w:rPr>
          <w:rFonts w:ascii="Arial" w:cs="Arial" w:eastAsia="Arial" w:hAnsi="Arial"/>
          <w:color w:val="333333"/>
          <w:sz w:val="20"/>
          <w:szCs w:val="20"/>
        </w:rPr>
        <w:t xml:space="preserve">This is the section that separates NEXUS from a tutorial. Every challenge below is a real production scenario. Building and solving these means you walk into any Azure data engineering interview with direct hands-on experience.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1 — Schema Drift in Multiple Sources</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PaySim renames 'customer_id' to 'cust_id' overnight. Portfolio Parquet adds a new 'hedging_instrument' column quarterly. JSON claims start sending a new nested 'regulatory_flags' array.</w:t>
            </w:r>
          </w:p>
          <w:p>
            <w:r>
              <w:rPr>
                <w:rFonts w:ascii="Arial" w:cs="Arial" w:eastAsia="Arial" w:hAnsi="Arial"/>
                <w:b/>
                <w:bCs/>
                <w:color w:val="166534"/>
                <w:sz w:val="19"/>
                <w:szCs w:val="19"/>
              </w:rPr>
              <w:t xml:space="preserve">Solution: Build a schema validation function that runs before every Bronze write. Auto-detect drift using Delta Lake schema comparison. Apply compatibility shims for known renames. Alert on unexpected new columns.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2 — Exactly-Once Streaming Deduplication</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Event Hubs guarantees at-least-once delivery. The market feed sends duplicate price ticks when it reconnects after a network blip. Duplicates in Gold would corrupt risk calculations.</w:t>
            </w:r>
          </w:p>
          <w:p>
            <w:r>
              <w:rPr>
                <w:rFonts w:ascii="Arial" w:cs="Arial" w:eastAsia="Arial" w:hAnsi="Arial"/>
                <w:b/>
                <w:bCs/>
                <w:color w:val="166534"/>
                <w:sz w:val="19"/>
                <w:szCs w:val="19"/>
              </w:rPr>
              <w:t xml:space="preserve">Solution: Use Databricks Structured Streaming with watermarks and Delta MERGE (upsert). The MERGE uses event_id as the key — if a duplicate arrives, it updates the existing record rather than inserting a new one.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3 — Late-Arriving Data</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Insurance claims are submitted up to 30 days after the transaction date. A claim for April 8 arrives on May 6. Your daily pipeline for April 8 already ran and the Gold table shows the wrong claim count.</w:t>
            </w:r>
          </w:p>
          <w:p>
            <w:r>
              <w:rPr>
                <w:rFonts w:ascii="Arial" w:cs="Arial" w:eastAsia="Arial" w:hAnsi="Arial"/>
                <w:b/>
                <w:bCs/>
                <w:color w:val="166534"/>
                <w:sz w:val="19"/>
                <w:szCs w:val="19"/>
              </w:rPr>
              <w:t xml:space="preserve">Solution: Use Delta Lake's MERGE INTO with a date range window. Reprocess the last 45 days of Silver data into Gold every Sunday. Use watermarks in streaming to allow 30 days of lateness before closing a window.</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4 — Data Skew in Large Joins</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Joining 6.3M transactions to 500K customers causes data skew — customers with millions of transactions (like 'CUST001' which is a test account) cause one Spark partition to hold 40% of all data.</w:t>
            </w:r>
          </w:p>
          <w:p>
            <w:r>
              <w:rPr>
                <w:rFonts w:ascii="Arial" w:cs="Arial" w:eastAsia="Arial" w:hAnsi="Arial"/>
                <w:b/>
                <w:bCs/>
                <w:color w:val="166534"/>
                <w:sz w:val="19"/>
                <w:szCs w:val="19"/>
              </w:rPr>
              <w:t xml:space="preserve">Solution: Use broadcast join for the customer dimension table (500K rows fits in memory). Salt the transaction key with a random 0-9 suffix to spread skewed keys across 10 partitions. Enable AQE skew join optimization.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5 — Small Files Accumulation</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Streaming writes micro-batches every 30 seconds, creating 2,880 tiny files per day per source. After 30 days, reading Silver has 86,400 files. Spark spends more time opening files than reading data.</w:t>
            </w:r>
          </w:p>
          <w:p>
            <w:r>
              <w:rPr>
                <w:rFonts w:ascii="Arial" w:cs="Arial" w:eastAsia="Arial" w:hAnsi="Arial"/>
                <w:b/>
                <w:bCs/>
                <w:color w:val="166534"/>
                <w:sz w:val="19"/>
                <w:szCs w:val="19"/>
              </w:rPr>
              <w:t xml:space="preserve">Solution: Run OPTIMIZE ZORDER BY (date, customer_id) every Sunday morning at 4am via a dedicated ADF pipeline. Use Delta Lake's auto-optimization for streaming tables (optimizeWrite=true). Target file size: 512MB.</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6 — Incremental Loading with Watermarks</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The customer SQL database has 500K rows. Running a full extract nightly copies all 500K rows even if only 200 changed today. This wastes time, cost, and network bandwidth.</w:t>
            </w:r>
          </w:p>
          <w:p>
            <w:r>
              <w:rPr>
                <w:rFonts w:ascii="Arial" w:cs="Arial" w:eastAsia="Arial" w:hAnsi="Arial"/>
                <w:b/>
                <w:bCs/>
                <w:color w:val="166534"/>
                <w:sz w:val="19"/>
                <w:szCs w:val="19"/>
              </w:rPr>
              <w:t xml:space="preserve">Solution: ADF watermark pattern: store last_successful_run timestamp in a control table. Each run queries only rows where updated_at &gt; last_run. After success, update the watermark. 200 rows instead of 500K.</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7 — PDF / Unstructured Data Extraction</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Loan application PDFs are scanned images — not machine-readable text. The applicant's name, income, and loan amount are in the image layer. Standard file reading returns nothing useful.</w:t>
            </w:r>
          </w:p>
          <w:p>
            <w:r>
              <w:rPr>
                <w:rFonts w:ascii="Arial" w:cs="Arial" w:eastAsia="Arial" w:hAnsi="Arial"/>
                <w:b/>
                <w:bCs/>
                <w:color w:val="166534"/>
                <w:sz w:val="19"/>
                <w:szCs w:val="19"/>
              </w:rPr>
              <w:t xml:space="preserve">Solution: ADF Web Activity calls Azure Form Recognizer API with the PDF blob URL. Form Recognizer returns JSON with extracted fields and confidence scores. Fields with confidence &lt; 0.8 go to a manual review queue.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8 — Secret Rotation Without Downtime</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Azure security policy requires storage account keys to be rotated every 90 days. If the ADF Linked Service still uses the old key after rotation, every pipeline fails immediately across all eight sources.</w:t>
            </w:r>
          </w:p>
          <w:p>
            <w:r>
              <w:rPr>
                <w:rFonts w:ascii="Arial" w:cs="Arial" w:eastAsia="Arial" w:hAnsi="Arial"/>
                <w:b/>
                <w:bCs/>
                <w:color w:val="166534"/>
                <w:sz w:val="19"/>
                <w:szCs w:val="19"/>
              </w:rPr>
              <w:t xml:space="preserve">Solution: Never store keys in ADF Linked Services directly. Use Azure Key Vault references. When the key rotates, only the Key Vault secret is updated. ADF fetches the new key on next run with zero pipeline changes.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9 — Data Quality Scoring and SLA Enforcement</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How do you know the data is actually good? A pipeline that succeeds with 90% null values in critical columns is worse than a pipeline that fails loudly.</w:t>
            </w:r>
          </w:p>
          <w:p>
            <w:r>
              <w:rPr>
                <w:rFonts w:ascii="Arial" w:cs="Arial" w:eastAsia="Arial" w:hAnsi="Arial"/>
                <w:b/>
                <w:bCs/>
                <w:color w:val="166534"/>
                <w:sz w:val="19"/>
                <w:szCs w:val="19"/>
              </w:rPr>
              <w:t xml:space="preserve">Solution: After every Silver write, run data quality checks: null rate per column, record count vs yesterday, schema conformance, referential integrity (every transaction has a valid customer_id). Score 0-100. Fail pipeline if score &lt; 95.</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2F2" w:val="clear"/>
            <w:tcMar>
              <w:top w:type="dxa" w:w="80"/>
              <w:left w:type="dxa" w:w="160"/>
              <w:bottom w:type="dxa" w:w="80"/>
              <w:right w:type="dxa" w:w="120"/>
            </w:tcMar>
          </w:tcPr>
          <w:p>
            <w:r>
              <w:rPr>
                <w:rFonts w:ascii="Arial" w:cs="Arial" w:eastAsia="Arial" w:hAnsi="Arial"/>
                <w:b/>
                <w:bCs/>
                <w:color w:val="C0392B"/>
                <w:sz w:val="20"/>
                <w:szCs w:val="20"/>
              </w:rPr>
              <w:t xml:space="preserve">Challenge: Challenge 10 — Stream-Batch Join</w:t>
            </w:r>
          </w:p>
        </w:tc>
      </w:tr>
      <w:tr>
        <w:tc>
          <w:tcPr>
            <w:tcW w:type="dxa" w:w="9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444444"/>
                <w:sz w:val="19"/>
                <w:szCs w:val="19"/>
              </w:rPr>
              <w:t xml:space="preserve">Problem:  The streaming market feed needs to be enriched with static portfolio reference data (batch source). A streaming join with a batch table is not straightforward in Spark.</w:t>
            </w:r>
          </w:p>
          <w:p>
            <w:r>
              <w:rPr>
                <w:rFonts w:ascii="Arial" w:cs="Arial" w:eastAsia="Arial" w:hAnsi="Arial"/>
                <w:b/>
                <w:bCs/>
                <w:color w:val="166534"/>
                <w:sz w:val="19"/>
                <w:szCs w:val="19"/>
              </w:rPr>
              <w:t xml:space="preserve">Solution: Use Delta Lake as the bridge: batch portfolio data writes to a Delta table, streaming job reads it as a static snapshot using spark.read (not readStream). Refresh the static snapshot every hour.</w:t>
            </w:r>
          </w:p>
        </w:tc>
      </w:tr>
    </w:tbl>
    <w:p>
      <w:r>
        <w:br w:type="page"/>
      </w:r>
    </w:p>
    <w:p>
      <w:pPr>
        <w:pBdr>
          <w:bottom w:val="single" w:color="1565C0" w:sz="8" w:space="4"/>
        </w:pBdr>
        <w:spacing w:after="120" w:before="320"/>
      </w:pPr>
      <w:r>
        <w:rPr>
          <w:rFonts w:ascii="Arial" w:cs="Arial" w:eastAsia="Arial" w:hAnsi="Arial"/>
          <w:b/>
          <w:bCs/>
          <w:color w:val="0D1B2A"/>
          <w:sz w:val="32"/>
          <w:szCs w:val="32"/>
        </w:rPr>
        <w:t xml:space="preserve">Section 5 — 12-Week Build Plan</w:t>
      </w:r>
    </w:p>
    <w:p>
      <w:pPr>
        <w:spacing w:after="0" w:before="0"/>
      </w:pPr>
      <w:r>
        <w:rPr>
          <w:sz w:val="8"/>
          <w:szCs w:val="8"/>
        </w:rPr>
        <w:t xml:space="preserve"/>
      </w:r>
    </w:p>
    <w:p>
      <w:pPr>
        <w:spacing w:after="80" w:before="40"/>
      </w:pPr>
      <w:r>
        <w:rPr>
          <w:rFonts w:ascii="Arial" w:cs="Arial" w:eastAsia="Arial" w:hAnsi="Arial"/>
          <w:color w:val="333333"/>
          <w:sz w:val="20"/>
          <w:szCs w:val="20"/>
        </w:rPr>
        <w:t xml:space="preserve">The build is structured so each phase produces a working deliverable that builds on the previous one. You never have a 'broken' state for more than one day. Each phase ends with a GitHub commit and a screenshot for your portfolio README.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480"/>
        <w:gridCol w:w="1240"/>
      </w:tblGrid>
      <w:tr>
        <w:tc>
          <w:tcPr>
            <w:tcW w:type="dxa" w:w="640"/>
            <w:tcBorders>
              <w:top w:val="single" w:color="E5E7EB" w:sz="1"/>
              <w:left w:val="single" w:color="E5E7EB" w:sz="1"/>
              <w:bottom w:val="single" w:color="E5E7EB" w:sz="1"/>
              <w:right w:val="single" w:color="E5E7EB" w:sz="1"/>
            </w:tcBorders>
            <w:shd w:fill="0D1B2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P1</w:t>
            </w:r>
          </w:p>
        </w:tc>
        <w:tc>
          <w:tcPr>
            <w:tcW w:type="dxa" w:w="74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r>
              <w:rPr>
                <w:rFonts w:ascii="Arial" w:cs="Arial" w:eastAsia="Arial" w:hAnsi="Arial"/>
                <w:b/>
                <w:bCs/>
                <w:color w:val="0D1B2A"/>
                <w:sz w:val="24"/>
                <w:szCs w:val="24"/>
              </w:rPr>
              <w:t xml:space="preserve">Foundation &amp; Infrastructure Setup</w:t>
            </w:r>
          </w:p>
        </w:tc>
        <w:tc>
          <w:tcPr>
            <w:tcW w:type="dxa" w:w="1240"/>
            <w:tcBorders>
              <w:top w:val="single" w:color="E5E7EB" w:sz="1"/>
              <w:left w:val="single" w:color="E5E7EB" w:sz="1"/>
              <w:bottom w:val="single" w:color="E5E7EB" w:sz="1"/>
              <w:right w:val="single" w:color="E5E7EB" w:sz="1"/>
            </w:tcBorders>
            <w:shd w:fill="F8F9FA" w:val="clear"/>
            <w:tcMar>
              <w:top w:type="dxa" w:w="100"/>
              <w:left w:type="dxa" w:w="100"/>
              <w:bottom w:type="dxa" w:w="100"/>
              <w:right w:type="dxa" w:w="100"/>
            </w:tcMar>
          </w:tcPr>
          <w:p>
            <w:pPr>
              <w:jc w:val="center"/>
            </w:pPr>
            <w:r>
              <w:rPr>
                <w:rFonts w:ascii="Arial" w:cs="Arial" w:eastAsia="Arial" w:hAnsi="Arial"/>
                <w:b/>
                <w:bCs/>
                <w:color w:val="6B7280"/>
                <w:sz w:val="18"/>
                <w:szCs w:val="18"/>
              </w:rPr>
              <w:t xml:space="preserve">Week 1–2</w:t>
            </w:r>
          </w:p>
        </w:tc>
      </w:tr>
    </w:tbl>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Azure Resources to Provision</w:t>
      </w:r>
    </w:p>
    <w:p>
      <w:pPr>
        <w:pStyle w:val="ListParagraph"/>
        <w:numPr>
          <w:ilvl w:val="0"/>
          <w:numId w:val="2"/>
        </w:numPr>
        <w:spacing w:after="40" w:before="20"/>
        <w:ind w:left="360"/>
      </w:pPr>
      <w:r>
        <w:rPr>
          <w:rFonts w:ascii="Arial" w:cs="Arial" w:eastAsia="Arial" w:hAnsi="Arial"/>
          <w:color w:val="333333"/>
          <w:sz w:val="19"/>
          <w:szCs w:val="19"/>
        </w:rPr>
        <w:t xml:space="preserve">Resource Group: nexus-rg (East US 2)</w:t>
      </w:r>
    </w:p>
    <w:p>
      <w:pPr>
        <w:pStyle w:val="ListParagraph"/>
        <w:numPr>
          <w:ilvl w:val="0"/>
          <w:numId w:val="2"/>
        </w:numPr>
        <w:spacing w:after="40" w:before="20"/>
        <w:ind w:left="360"/>
      </w:pPr>
      <w:r>
        <w:rPr>
          <w:rFonts w:ascii="Arial" w:cs="Arial" w:eastAsia="Arial" w:hAnsi="Arial"/>
          <w:color w:val="333333"/>
          <w:sz w:val="19"/>
          <w:szCs w:val="19"/>
        </w:rPr>
        <w:t xml:space="preserve">Storage Account: nexusstorage — HNS enabled → ADLS Gen2. Create containers: raw-landing, bronze, silver, gold, monitoring</w:t>
      </w:r>
    </w:p>
    <w:p>
      <w:pPr>
        <w:pStyle w:val="ListParagraph"/>
        <w:numPr>
          <w:ilvl w:val="0"/>
          <w:numId w:val="2"/>
        </w:numPr>
        <w:spacing w:after="40" w:before="20"/>
        <w:ind w:left="360"/>
      </w:pPr>
      <w:r>
        <w:rPr>
          <w:rFonts w:ascii="Arial" w:cs="Arial" w:eastAsia="Arial" w:hAnsi="Arial"/>
          <w:color w:val="333333"/>
          <w:sz w:val="19"/>
          <w:szCs w:val="19"/>
        </w:rPr>
        <w:t xml:space="preserve">Azure SQL Database: nexus-sql — Free tier (5 DTU). Create tables: customers, watermark_control</w:t>
      </w:r>
    </w:p>
    <w:p>
      <w:pPr>
        <w:pStyle w:val="ListParagraph"/>
        <w:numPr>
          <w:ilvl w:val="0"/>
          <w:numId w:val="2"/>
        </w:numPr>
        <w:spacing w:after="40" w:before="20"/>
        <w:ind w:left="360"/>
      </w:pPr>
      <w:r>
        <w:rPr>
          <w:rFonts w:ascii="Arial" w:cs="Arial" w:eastAsia="Arial" w:hAnsi="Arial"/>
          <w:color w:val="333333"/>
          <w:sz w:val="19"/>
          <w:szCs w:val="19"/>
        </w:rPr>
        <w:t xml:space="preserve">Azure Event Hubs Namespace: nexus-eventhubs — Basic tier. Create hubs: market-feed, clickstream</w:t>
      </w:r>
    </w:p>
    <w:p>
      <w:pPr>
        <w:pStyle w:val="ListParagraph"/>
        <w:numPr>
          <w:ilvl w:val="0"/>
          <w:numId w:val="2"/>
        </w:numPr>
        <w:spacing w:after="40" w:before="20"/>
        <w:ind w:left="360"/>
      </w:pPr>
      <w:r>
        <w:rPr>
          <w:rFonts w:ascii="Arial" w:cs="Arial" w:eastAsia="Arial" w:hAnsi="Arial"/>
          <w:color w:val="333333"/>
          <w:sz w:val="19"/>
          <w:szCs w:val="19"/>
        </w:rPr>
        <w:t xml:space="preserve">Azure Key Vault: nexus-kv — Store all storage keys and connection strings here</w:t>
      </w:r>
    </w:p>
    <w:p>
      <w:pPr>
        <w:pStyle w:val="ListParagraph"/>
        <w:numPr>
          <w:ilvl w:val="0"/>
          <w:numId w:val="2"/>
        </w:numPr>
        <w:spacing w:after="40" w:before="20"/>
        <w:ind w:left="360"/>
      </w:pPr>
      <w:r>
        <w:rPr>
          <w:rFonts w:ascii="Arial" w:cs="Arial" w:eastAsia="Arial" w:hAnsi="Arial"/>
          <w:color w:val="333333"/>
          <w:sz w:val="19"/>
          <w:szCs w:val="19"/>
        </w:rPr>
        <w:t xml:space="preserve">Azure Data Factory: nexus-adf — Connect to GitHub repository immediately</w:t>
      </w:r>
    </w:p>
    <w:p>
      <w:pPr>
        <w:pStyle w:val="ListParagraph"/>
        <w:numPr>
          <w:ilvl w:val="0"/>
          <w:numId w:val="2"/>
        </w:numPr>
        <w:spacing w:after="40" w:before="20"/>
        <w:ind w:left="360"/>
      </w:pPr>
      <w:r>
        <w:rPr>
          <w:rFonts w:ascii="Arial" w:cs="Arial" w:eastAsia="Arial" w:hAnsi="Arial"/>
          <w:color w:val="333333"/>
          <w:sz w:val="19"/>
          <w:szCs w:val="19"/>
        </w:rPr>
        <w:t xml:space="preserve">Log Analytics Workspace: nexus-logs — Enable ADF diagnostic settings to send logs here</w:t>
      </w:r>
    </w:p>
    <w:p>
      <w:pPr>
        <w:pStyle w:val="ListParagraph"/>
        <w:numPr>
          <w:ilvl w:val="0"/>
          <w:numId w:val="2"/>
        </w:numPr>
        <w:spacing w:after="40" w:before="20"/>
        <w:ind w:left="360"/>
      </w:pPr>
      <w:r>
        <w:rPr>
          <w:rFonts w:ascii="Arial" w:cs="Arial" w:eastAsia="Arial" w:hAnsi="Arial"/>
          <w:color w:val="333333"/>
          <w:sz w:val="19"/>
          <w:szCs w:val="19"/>
        </w:rPr>
        <w:t xml:space="preserve">Azure Cognitive Services: nexus-forms — Form Recognizer for PDF processing</w:t>
      </w:r>
    </w:p>
    <w:p>
      <w:pPr>
        <w:pStyle w:val="ListParagraph"/>
        <w:numPr>
          <w:ilvl w:val="0"/>
          <w:numId w:val="2"/>
        </w:numPr>
        <w:spacing w:after="40" w:before="20"/>
        <w:ind w:left="360"/>
      </w:pPr>
      <w:r>
        <w:rPr>
          <w:rFonts w:ascii="Arial" w:cs="Arial" w:eastAsia="Arial" w:hAnsi="Arial"/>
          <w:color w:val="333333"/>
          <w:sz w:val="19"/>
          <w:szCs w:val="19"/>
        </w:rPr>
        <w:t xml:space="preserve">Databricks Community Edition: community.cloud.databricks.com — Use for all notebook development</w:t>
      </w:r>
    </w:p>
    <w:p>
      <w:pPr>
        <w:spacing w:after="0" w:before="0"/>
      </w:pPr>
      <w:r>
        <w:rPr>
          <w:sz w:val="12"/>
          <w:szCs w:val="12"/>
        </w:rPr>
        <w:t xml:space="preserve"/>
      </w:r>
    </w:p>
    <w:p>
      <w:pPr>
        <w:spacing w:after="60" w:before="160"/>
      </w:pPr>
      <w:r>
        <w:rPr>
          <w:rFonts w:ascii="Arial" w:cs="Arial" w:eastAsia="Arial" w:hAnsi="Arial"/>
          <w:b/>
          <w:bCs/>
          <w:color w:val="0F766E"/>
          <w:sz w:val="22"/>
          <w:szCs w:val="22"/>
        </w:rPr>
        <w:t xml:space="preserve">▸  GitHub Repository Structure</w:t>
      </w:r>
    </w:p>
    <w:p>
      <w:pPr>
        <w:spacing w:after="20" w:before="20"/>
      </w:pPr>
      <w:r>
        <w:rPr>
          <w:rFonts w:ascii="Courier New" w:cs="Courier New" w:eastAsia="Courier New" w:hAnsi="Courier New"/>
          <w:color w:val="1E40AF"/>
          <w:sz w:val="17"/>
          <w:szCs w:val="17"/>
        </w:rPr>
        <w:t xml:space="preserve">nexus-data-platform/</w:t>
      </w:r>
    </w:p>
    <w:p>
      <w:pPr>
        <w:spacing w:after="20" w:before="20"/>
      </w:pPr>
      <w:r>
        <w:rPr>
          <w:rFonts w:ascii="Courier New" w:cs="Courier New" w:eastAsia="Courier New" w:hAnsi="Courier New"/>
          <w:color w:val="1E40AF"/>
          <w:sz w:val="17"/>
          <w:szCs w:val="17"/>
        </w:rPr>
        <w:t xml:space="preserve">  README.md                          ← Portfolio showcase</w:t>
      </w:r>
    </w:p>
    <w:p>
      <w:pPr>
        <w:spacing w:after="20" w:before="20"/>
      </w:pPr>
      <w:r>
        <w:rPr>
          <w:rFonts w:ascii="Courier New" w:cs="Courier New" w:eastAsia="Courier New" w:hAnsi="Courier New"/>
          <w:color w:val="1E40AF"/>
          <w:sz w:val="17"/>
          <w:szCs w:val="17"/>
        </w:rPr>
        <w:t xml:space="preserve">  architecture/diagram.png</w:t>
      </w:r>
    </w:p>
    <w:p>
      <w:pPr>
        <w:spacing w:after="20" w:before="20"/>
      </w:pPr>
      <w:r>
        <w:rPr>
          <w:rFonts w:ascii="Courier New" w:cs="Courier New" w:eastAsia="Courier New" w:hAnsi="Courier New"/>
          <w:color w:val="1E40AF"/>
          <w:sz w:val="17"/>
          <w:szCs w:val="17"/>
        </w:rPr>
        <w:t xml:space="preserve">  adf/pipelines/                     ← All ADF pipeline JSON</w:t>
      </w:r>
    </w:p>
    <w:p>
      <w:pPr>
        <w:spacing w:after="20" w:before="20"/>
      </w:pPr>
      <w:r>
        <w:rPr>
          <w:rFonts w:ascii="Courier New" w:cs="Courier New" w:eastAsia="Courier New" w:hAnsi="Courier New"/>
          <w:color w:val="1E40AF"/>
          <w:sz w:val="17"/>
          <w:szCs w:val="17"/>
        </w:rPr>
        <w:t xml:space="preserve">  databricks/notebooks/              ← All 6 PySpark notebooks</w:t>
      </w:r>
    </w:p>
    <w:p>
      <w:pPr>
        <w:spacing w:after="20" w:before="20"/>
      </w:pPr>
      <w:r>
        <w:rPr>
          <w:rFonts w:ascii="Courier New" w:cs="Courier New" w:eastAsia="Courier New" w:hAnsi="Courier New"/>
          <w:color w:val="1E40AF"/>
          <w:sz w:val="17"/>
          <w:szCs w:val="17"/>
        </w:rPr>
        <w:t xml:space="preserve">  databricks/schemas/                ← Expected schema definitions</w:t>
      </w:r>
    </w:p>
    <w:p>
      <w:pPr>
        <w:spacing w:after="20" w:before="20"/>
      </w:pPr>
      <w:r>
        <w:rPr>
          <w:rFonts w:ascii="Courier New" w:cs="Courier New" w:eastAsia="Courier New" w:hAnsi="Courier New"/>
          <w:color w:val="1E40AF"/>
          <w:sz w:val="17"/>
          <w:szCs w:val="17"/>
        </w:rPr>
        <w:t xml:space="preserve">  kql/                               ← All KQL queries</w:t>
      </w:r>
    </w:p>
    <w:p>
      <w:pPr>
        <w:spacing w:after="20" w:before="20"/>
      </w:pPr>
      <w:r>
        <w:rPr>
          <w:rFonts w:ascii="Courier New" w:cs="Courier New" w:eastAsia="Courier New" w:hAnsi="Courier New"/>
          <w:color w:val="1E40AF"/>
          <w:sz w:val="17"/>
          <w:szCs w:val="17"/>
        </w:rPr>
        <w:t xml:space="preserve">  sql/                               ← Customer DDL + watermark table</w:t>
      </w:r>
    </w:p>
    <w:p>
      <w:pPr>
        <w:spacing w:after="20" w:before="20"/>
      </w:pPr>
      <w:r>
        <w:rPr>
          <w:rFonts w:ascii="Courier New" w:cs="Courier New" w:eastAsia="Courier New" w:hAnsi="Courier New"/>
          <w:color w:val="1E40AF"/>
          <w:sz w:val="17"/>
          <w:szCs w:val="17"/>
        </w:rPr>
        <w:t xml:space="preserve">  scripts/                           ← Python producers for streaming simulation</w:t>
      </w:r>
    </w:p>
    <w:p>
      <w:pPr>
        <w:spacing w:after="20" w:before="20"/>
      </w:pPr>
      <w:r>
        <w:rPr>
          <w:rFonts w:ascii="Courier New" w:cs="Courier New" w:eastAsia="Courier New" w:hAnsi="Courier New"/>
          <w:color w:val="1E40AF"/>
          <w:sz w:val="17"/>
          <w:szCs w:val="17"/>
        </w:rPr>
        <w:t xml:space="preserve">  data/samples/                      ← Small sample files for testing</w:t>
      </w:r>
    </w:p>
    <w:p>
      <w:pPr>
        <w:spacing w:after="20" w:before="20"/>
      </w:pPr>
      <w:r>
        <w:rPr>
          <w:rFonts w:ascii="Courier New" w:cs="Courier New" w:eastAsia="Courier New" w:hAnsi="Courier New"/>
          <w:color w:val="1E40AF"/>
          <w:sz w:val="17"/>
          <w:szCs w:val="17"/>
        </w:rPr>
        <w:t xml:space="preserve">  docs/setup_guide.md</w:t>
      </w:r>
    </w:p>
    <w:p>
      <w:pPr>
        <w:spacing w:after="20" w:before="20"/>
      </w:pPr>
      <w:r>
        <w:rPr>
          <w:rFonts w:ascii="Courier New" w:cs="Courier New" w:eastAsia="Courier New" w:hAnsi="Courier New"/>
          <w:color w:val="1E40AF"/>
          <w:sz w:val="17"/>
          <w:szCs w:val="17"/>
        </w:rPr>
        <w:t xml:space="preserve">  docs/runbook.md</w:t>
      </w:r>
    </w:p>
    <w:p>
      <w:pPr>
        <w:spacing w:after="20" w:before="20"/>
      </w:pPr>
      <w:r>
        <w:rPr>
          <w:rFonts w:ascii="Courier New" w:cs="Courier New" w:eastAsia="Courier New" w:hAnsi="Courier New"/>
          <w:color w:val="1E40AF"/>
          <w:sz w:val="17"/>
          <w:szCs w:val="17"/>
        </w:rPr>
        <w:t xml:space="preserve">  docs/architecture_decisions.md     ← Explain WHY you made each design choice</w:t>
      </w:r>
    </w:p>
    <w:p>
      <w:pPr>
        <w:spacing w:after="0" w:before="0"/>
      </w:pPr>
      <w:r>
        <w:rPr>
          <w:sz w:val="12"/>
          <w:szCs w:val="12"/>
        </w:rPr>
        <w:t xml:space="preserve"/>
      </w:r>
    </w:p>
    <w:p>
      <w:pPr>
        <w:spacing w:after="60" w:before="160"/>
      </w:pPr>
      <w:r>
        <w:rPr>
          <w:rFonts w:ascii="Arial" w:cs="Arial" w:eastAsia="Arial" w:hAnsi="Arial"/>
          <w:b/>
          <w:bCs/>
          <w:color w:val="0F766E"/>
          <w:sz w:val="22"/>
          <w:szCs w:val="22"/>
        </w:rPr>
        <w:t xml:space="preserve">▸  Week 2 — Data Preparation</w:t>
      </w:r>
    </w:p>
    <w:p>
      <w:pPr>
        <w:pStyle w:val="ListParagraph"/>
        <w:numPr>
          <w:ilvl w:val="0"/>
          <w:numId w:val="2"/>
        </w:numPr>
        <w:spacing w:after="40" w:before="20"/>
        <w:ind w:left="360"/>
      </w:pPr>
      <w:r>
        <w:rPr>
          <w:rFonts w:ascii="Arial" w:cs="Arial" w:eastAsia="Arial" w:hAnsi="Arial"/>
          <w:color w:val="333333"/>
          <w:sz w:val="19"/>
          <w:szCs w:val="19"/>
        </w:rPr>
        <w:t xml:space="preserve">Download PaySim CSV from Kaggle. Upload first 100K rows as sample to raw-landing container.</w:t>
      </w:r>
    </w:p>
    <w:p>
      <w:pPr>
        <w:pStyle w:val="ListParagraph"/>
        <w:numPr>
          <w:ilvl w:val="0"/>
          <w:numId w:val="2"/>
        </w:numPr>
        <w:spacing w:after="40" w:before="20"/>
        <w:ind w:left="360"/>
      </w:pPr>
      <w:r>
        <w:rPr>
          <w:rFonts w:ascii="Arial" w:cs="Arial" w:eastAsia="Arial" w:hAnsi="Arial"/>
          <w:color w:val="333333"/>
          <w:sz w:val="19"/>
          <w:szCs w:val="19"/>
        </w:rPr>
        <w:t xml:space="preserve">Create Azure SQL customer table. Generate 10K fake customer rows using Python Faker library.</w:t>
      </w:r>
    </w:p>
    <w:p>
      <w:pPr>
        <w:pStyle w:val="ListParagraph"/>
        <w:numPr>
          <w:ilvl w:val="0"/>
          <w:numId w:val="2"/>
        </w:numPr>
        <w:spacing w:after="40" w:before="20"/>
        <w:ind w:left="360"/>
      </w:pPr>
      <w:r>
        <w:rPr>
          <w:rFonts w:ascii="Arial" w:cs="Arial" w:eastAsia="Arial" w:hAnsi="Arial"/>
          <w:color w:val="333333"/>
          <w:sz w:val="19"/>
          <w:szCs w:val="19"/>
        </w:rPr>
        <w:t xml:space="preserve">Create Python script: scripts/produce_market_feed.py — sends fake JSON price ticks to Event Hubs.</w:t>
      </w:r>
    </w:p>
    <w:p>
      <w:pPr>
        <w:pStyle w:val="ListParagraph"/>
        <w:numPr>
          <w:ilvl w:val="0"/>
          <w:numId w:val="2"/>
        </w:numPr>
        <w:spacing w:after="40" w:before="20"/>
        <w:ind w:left="360"/>
      </w:pPr>
      <w:r>
        <w:rPr>
          <w:rFonts w:ascii="Arial" w:cs="Arial" w:eastAsia="Arial" w:hAnsi="Arial"/>
          <w:color w:val="333333"/>
          <w:sz w:val="19"/>
          <w:szCs w:val="19"/>
        </w:rPr>
        <w:t xml:space="preserve">Create Python script: scripts/produce_clickstream.py — sends fake page view events to Event Hubs.</w:t>
      </w:r>
    </w:p>
    <w:p>
      <w:pPr>
        <w:pStyle w:val="ListParagraph"/>
        <w:numPr>
          <w:ilvl w:val="0"/>
          <w:numId w:val="2"/>
        </w:numPr>
        <w:spacing w:after="40" w:before="20"/>
        <w:ind w:left="360"/>
      </w:pPr>
      <w:r>
        <w:rPr>
          <w:rFonts w:ascii="Arial" w:cs="Arial" w:eastAsia="Arial" w:hAnsi="Arial"/>
          <w:color w:val="333333"/>
          <w:sz w:val="19"/>
          <w:szCs w:val="19"/>
        </w:rPr>
        <w:t xml:space="preserve">Generate 10 sample PDF loan applications using Python reportlab. Upload to raw-landing/loans/.</w:t>
      </w:r>
    </w:p>
    <w:p>
      <w:pPr>
        <w:pStyle w:val="ListParagraph"/>
        <w:numPr>
          <w:ilvl w:val="0"/>
          <w:numId w:val="2"/>
        </w:numPr>
        <w:spacing w:after="40" w:before="20"/>
        <w:ind w:left="360"/>
      </w:pPr>
      <w:r>
        <w:rPr>
          <w:rFonts w:ascii="Arial" w:cs="Arial" w:eastAsia="Arial" w:hAnsi="Arial"/>
          <w:color w:val="333333"/>
          <w:sz w:val="19"/>
          <w:szCs w:val="19"/>
        </w:rPr>
        <w:t xml:space="preserve">Create 3 sample XML files simulating legacy banking output. Upload to raw-landing/legacy/.</w:t>
      </w:r>
    </w:p>
    <w:p>
      <w:pPr>
        <w:pStyle w:val="ListParagraph"/>
        <w:numPr>
          <w:ilvl w:val="0"/>
          <w:numId w:val="2"/>
        </w:numPr>
        <w:spacing w:after="40" w:before="20"/>
        <w:ind w:left="360"/>
      </w:pPr>
      <w:r>
        <w:rPr>
          <w:rFonts w:ascii="Arial" w:cs="Arial" w:eastAsia="Arial" w:hAnsi="Arial"/>
          <w:color w:val="333333"/>
          <w:sz w:val="19"/>
          <w:szCs w:val="19"/>
        </w:rPr>
        <w:t xml:space="preserve">Download sample Parquet portfolio file from GitHub (synthetic data). Upload to raw-landing/portfolio/.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480"/>
        <w:gridCol w:w="1240"/>
      </w:tblGrid>
      <w:tr>
        <w:tc>
          <w:tcPr>
            <w:tcW w:type="dxa" w:w="640"/>
            <w:tcBorders>
              <w:top w:val="single" w:color="E5E7EB" w:sz="1"/>
              <w:left w:val="single" w:color="E5E7EB" w:sz="1"/>
              <w:bottom w:val="single" w:color="E5E7EB" w:sz="1"/>
              <w:right w:val="single" w:color="E5E7EB" w:sz="1"/>
            </w:tcBorders>
            <w:shd w:fill="1565C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P2</w:t>
            </w:r>
          </w:p>
        </w:tc>
        <w:tc>
          <w:tcPr>
            <w:tcW w:type="dxa" w:w="74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r>
              <w:rPr>
                <w:rFonts w:ascii="Arial" w:cs="Arial" w:eastAsia="Arial" w:hAnsi="Arial"/>
                <w:b/>
                <w:bCs/>
                <w:color w:val="1565C0"/>
                <w:sz w:val="24"/>
                <w:szCs w:val="24"/>
              </w:rPr>
              <w:t xml:space="preserve">Bronze Ingestion Layer</w:t>
            </w:r>
          </w:p>
        </w:tc>
        <w:tc>
          <w:tcPr>
            <w:tcW w:type="dxa" w:w="1240"/>
            <w:tcBorders>
              <w:top w:val="single" w:color="E5E7EB" w:sz="1"/>
              <w:left w:val="single" w:color="E5E7EB" w:sz="1"/>
              <w:bottom w:val="single" w:color="E5E7EB" w:sz="1"/>
              <w:right w:val="single" w:color="E5E7EB" w:sz="1"/>
            </w:tcBorders>
            <w:shd w:fill="F8F9FA" w:val="clear"/>
            <w:tcMar>
              <w:top w:type="dxa" w:w="100"/>
              <w:left w:type="dxa" w:w="100"/>
              <w:bottom w:type="dxa" w:w="100"/>
              <w:right w:type="dxa" w:w="100"/>
            </w:tcMar>
          </w:tcPr>
          <w:p>
            <w:pPr>
              <w:jc w:val="center"/>
            </w:pPr>
            <w:r>
              <w:rPr>
                <w:rFonts w:ascii="Arial" w:cs="Arial" w:eastAsia="Arial" w:hAnsi="Arial"/>
                <w:b/>
                <w:bCs/>
                <w:color w:val="6B7280"/>
                <w:sz w:val="18"/>
                <w:szCs w:val="18"/>
              </w:rPr>
              <w:t xml:space="preserve">Week 3–4</w:t>
            </w:r>
          </w:p>
        </w:tc>
      </w:tr>
    </w:tbl>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ADF Pipelines to Build</w:t>
      </w:r>
    </w:p>
    <w:p>
      <w:pPr>
        <w:pStyle w:val="ListParagraph"/>
        <w:numPr>
          <w:ilvl w:val="0"/>
          <w:numId w:val="2"/>
        </w:numPr>
        <w:spacing w:after="40" w:before="20"/>
        <w:ind w:left="360"/>
      </w:pPr>
      <w:r>
        <w:rPr>
          <w:rFonts w:ascii="Arial" w:cs="Arial" w:eastAsia="Arial" w:hAnsi="Arial"/>
          <w:color w:val="333333"/>
          <w:sz w:val="19"/>
          <w:szCs w:val="19"/>
        </w:rPr>
        <w:t xml:space="preserve">pl_batch_ingestion: Copy Activity for PaySim CSV → bronze/transactions/year=.../month=.../day=.../</w:t>
      </w:r>
    </w:p>
    <w:p>
      <w:pPr>
        <w:pStyle w:val="ListParagraph"/>
        <w:numPr>
          <w:ilvl w:val="0"/>
          <w:numId w:val="2"/>
        </w:numPr>
        <w:spacing w:after="40" w:before="20"/>
        <w:ind w:left="360"/>
      </w:pPr>
      <w:r>
        <w:rPr>
          <w:rFonts w:ascii="Arial" w:cs="Arial" w:eastAsia="Arial" w:hAnsi="Arial"/>
          <w:color w:val="333333"/>
          <w:sz w:val="19"/>
          <w:szCs w:val="19"/>
        </w:rPr>
        <w:t xml:space="preserve">pl_batch_ingestion: Copy Activity for XML → ADF Data Flow → bronze/legacy/</w:t>
      </w:r>
    </w:p>
    <w:p>
      <w:pPr>
        <w:pStyle w:val="ListParagraph"/>
        <w:numPr>
          <w:ilvl w:val="0"/>
          <w:numId w:val="2"/>
        </w:numPr>
        <w:spacing w:after="40" w:before="20"/>
        <w:ind w:left="360"/>
      </w:pPr>
      <w:r>
        <w:rPr>
          <w:rFonts w:ascii="Arial" w:cs="Arial" w:eastAsia="Arial" w:hAnsi="Arial"/>
          <w:color w:val="333333"/>
          <w:sz w:val="19"/>
          <w:szCs w:val="19"/>
        </w:rPr>
        <w:t xml:space="preserve">pl_batch_ingestion: Copy Activity for Parquet portfolio → bronze/portfolio/ with schema validation</w:t>
      </w:r>
    </w:p>
    <w:p>
      <w:pPr>
        <w:pStyle w:val="ListParagraph"/>
        <w:numPr>
          <w:ilvl w:val="0"/>
          <w:numId w:val="2"/>
        </w:numPr>
        <w:spacing w:after="40" w:before="20"/>
        <w:ind w:left="360"/>
      </w:pPr>
      <w:r>
        <w:rPr>
          <w:rFonts w:ascii="Arial" w:cs="Arial" w:eastAsia="Arial" w:hAnsi="Arial"/>
          <w:color w:val="333333"/>
          <w:sz w:val="19"/>
          <w:szCs w:val="19"/>
        </w:rPr>
        <w:t xml:space="preserve">pl_batch_ingestion: JDBC Copy Activity from Azure SQL → bronze/customers/ with watermark pattern</w:t>
      </w:r>
    </w:p>
    <w:p>
      <w:pPr>
        <w:pStyle w:val="ListParagraph"/>
        <w:numPr>
          <w:ilvl w:val="0"/>
          <w:numId w:val="2"/>
        </w:numPr>
        <w:spacing w:after="40" w:before="20"/>
        <w:ind w:left="360"/>
      </w:pPr>
      <w:r>
        <w:rPr>
          <w:rFonts w:ascii="Arial" w:cs="Arial" w:eastAsia="Arial" w:hAnsi="Arial"/>
          <w:color w:val="333333"/>
          <w:sz w:val="19"/>
          <w:szCs w:val="19"/>
        </w:rPr>
        <w:t xml:space="preserve">pl_batch_ingestion: Web Activity → Form Recognizer API → store extracted JSON in bronze/loans/</w:t>
      </w:r>
    </w:p>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Databricks Streaming Notebook (nb_01)</w:t>
      </w:r>
    </w:p>
    <w:p>
      <w:pPr>
        <w:spacing w:after="20" w:before="20"/>
      </w:pPr>
      <w:r>
        <w:rPr>
          <w:rFonts w:ascii="Courier New" w:cs="Courier New" w:eastAsia="Courier New" w:hAnsi="Courier New"/>
          <w:color w:val="1E40AF"/>
          <w:sz w:val="17"/>
          <w:szCs w:val="17"/>
        </w:rPr>
        <w:t xml:space="preserve">from pyspark.sql import SparkSession</w:t>
      </w:r>
    </w:p>
    <w:p>
      <w:pPr>
        <w:spacing w:after="20" w:before="20"/>
      </w:pPr>
      <w:r>
        <w:rPr>
          <w:rFonts w:ascii="Courier New" w:cs="Courier New" w:eastAsia="Courier New" w:hAnsi="Courier New"/>
          <w:color w:val="1E40AF"/>
          <w:sz w:val="17"/>
          <w:szCs w:val="17"/>
        </w:rPr>
        <w:t xml:space="preserve">from pyspark.sql.functions import from_json, col, current_timestamp</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 Read from Event Hubs</w:t>
      </w:r>
    </w:p>
    <w:p>
      <w:pPr>
        <w:spacing w:after="20" w:before="20"/>
      </w:pPr>
      <w:r>
        <w:rPr>
          <w:rFonts w:ascii="Courier New" w:cs="Courier New" w:eastAsia="Courier New" w:hAnsi="Courier New"/>
          <w:color w:val="1E40AF"/>
          <w:sz w:val="17"/>
          <w:szCs w:val="17"/>
        </w:rPr>
        <w:t xml:space="preserve">df_stream = spark.readStream \</w:t>
      </w:r>
    </w:p>
    <w:p>
      <w:pPr>
        <w:spacing w:after="20" w:before="20"/>
      </w:pPr>
      <w:r>
        <w:rPr>
          <w:rFonts w:ascii="Courier New" w:cs="Courier New" w:eastAsia="Courier New" w:hAnsi="Courier New"/>
          <w:color w:val="1E40AF"/>
          <w:sz w:val="17"/>
          <w:szCs w:val="17"/>
        </w:rPr>
        <w:t xml:space="preserve">    .format("eventhubs") \</w:t>
      </w:r>
    </w:p>
    <w:p>
      <w:pPr>
        <w:spacing w:after="20" w:before="20"/>
      </w:pPr>
      <w:r>
        <w:rPr>
          <w:rFonts w:ascii="Courier New" w:cs="Courier New" w:eastAsia="Courier New" w:hAnsi="Courier New"/>
          <w:color w:val="1E40AF"/>
          <w:sz w:val="17"/>
          <w:szCs w:val="17"/>
        </w:rPr>
        <w:t xml:space="preserve">    .options(**ehConf) \</w:t>
      </w:r>
    </w:p>
    <w:p>
      <w:pPr>
        <w:spacing w:after="20" w:before="20"/>
      </w:pPr>
      <w:r>
        <w:rPr>
          <w:rFonts w:ascii="Courier New" w:cs="Courier New" w:eastAsia="Courier New" w:hAnsi="Courier New"/>
          <w:color w:val="1E40AF"/>
          <w:sz w:val="17"/>
          <w:szCs w:val="17"/>
        </w:rPr>
        <w:t xml:space="preserve">    .load()</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 Parse JSON body</w:t>
      </w:r>
    </w:p>
    <w:p>
      <w:pPr>
        <w:spacing w:after="20" w:before="20"/>
      </w:pPr>
      <w:r>
        <w:rPr>
          <w:rFonts w:ascii="Courier New" w:cs="Courier New" w:eastAsia="Courier New" w:hAnsi="Courier New"/>
          <w:color w:val="1E40AF"/>
          <w:sz w:val="17"/>
          <w:szCs w:val="17"/>
        </w:rPr>
        <w:t xml:space="preserve">df_parsed = df_stream.select(</w:t>
      </w:r>
    </w:p>
    <w:p>
      <w:pPr>
        <w:spacing w:after="20" w:before="20"/>
      </w:pPr>
      <w:r>
        <w:rPr>
          <w:rFonts w:ascii="Courier New" w:cs="Courier New" w:eastAsia="Courier New" w:hAnsi="Courier New"/>
          <w:color w:val="1E40AF"/>
          <w:sz w:val="17"/>
          <w:szCs w:val="17"/>
        </w:rPr>
        <w:t xml:space="preserve">    from_json(col('body').cast('string'), market_schema).alias('data'),</w:t>
      </w:r>
    </w:p>
    <w:p>
      <w:pPr>
        <w:spacing w:after="20" w:before="20"/>
      </w:pPr>
      <w:r>
        <w:rPr>
          <w:rFonts w:ascii="Courier New" w:cs="Courier New" w:eastAsia="Courier New" w:hAnsi="Courier New"/>
          <w:color w:val="1E40AF"/>
          <w:sz w:val="17"/>
          <w:szCs w:val="17"/>
        </w:rPr>
        <w:t xml:space="preserve">    col('enqueuedTime').alias('event_time')</w:t>
      </w:r>
    </w:p>
    <w:p>
      <w:pPr>
        <w:spacing w:after="20" w:before="20"/>
      </w:pPr>
      <w:r>
        <w:rPr>
          <w:rFonts w:ascii="Courier New" w:cs="Courier New" w:eastAsia="Courier New" w:hAnsi="Courier New"/>
          <w:color w:val="1E40AF"/>
          <w:sz w:val="17"/>
          <w:szCs w:val="17"/>
        </w:rPr>
        <w:t xml:space="preserve">).select('data.*', 'event_time')</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 Write to Bronze with checkpointing (exactly-once)</w:t>
      </w:r>
    </w:p>
    <w:p>
      <w:pPr>
        <w:spacing w:after="20" w:before="20"/>
      </w:pPr>
      <w:r>
        <w:rPr>
          <w:rFonts w:ascii="Courier New" w:cs="Courier New" w:eastAsia="Courier New" w:hAnsi="Courier New"/>
          <w:color w:val="1E40AF"/>
          <w:sz w:val="17"/>
          <w:szCs w:val="17"/>
        </w:rPr>
        <w:t xml:space="preserve">df_parsed.writeStream \</w:t>
      </w:r>
    </w:p>
    <w:p>
      <w:pPr>
        <w:spacing w:after="20" w:before="20"/>
      </w:pPr>
      <w:r>
        <w:rPr>
          <w:rFonts w:ascii="Courier New" w:cs="Courier New" w:eastAsia="Courier New" w:hAnsi="Courier New"/>
          <w:color w:val="1E40AF"/>
          <w:sz w:val="17"/>
          <w:szCs w:val="17"/>
        </w:rPr>
        <w:t xml:space="preserve">    .format("delta") \</w:t>
      </w:r>
    </w:p>
    <w:p>
      <w:pPr>
        <w:spacing w:after="20" w:before="20"/>
      </w:pPr>
      <w:r>
        <w:rPr>
          <w:rFonts w:ascii="Courier New" w:cs="Courier New" w:eastAsia="Courier New" w:hAnsi="Courier New"/>
          <w:color w:val="1E40AF"/>
          <w:sz w:val="17"/>
          <w:szCs w:val="17"/>
        </w:rPr>
        <w:t xml:space="preserve">    .option("checkpointLocation", "/mnt/bronze/_checkpoints/market/") \</w:t>
      </w:r>
    </w:p>
    <w:p>
      <w:pPr>
        <w:spacing w:after="20" w:before="20"/>
      </w:pPr>
      <w:r>
        <w:rPr>
          <w:rFonts w:ascii="Courier New" w:cs="Courier New" w:eastAsia="Courier New" w:hAnsi="Courier New"/>
          <w:color w:val="1E40AF"/>
          <w:sz w:val="17"/>
          <w:szCs w:val="17"/>
        </w:rPr>
        <w:t xml:space="preserve">    .trigger(processingTime="30 seconds") \</w:t>
      </w:r>
    </w:p>
    <w:p>
      <w:pPr>
        <w:spacing w:after="20" w:before="20"/>
      </w:pPr>
      <w:r>
        <w:rPr>
          <w:rFonts w:ascii="Courier New" w:cs="Courier New" w:eastAsia="Courier New" w:hAnsi="Courier New"/>
          <w:color w:val="1E40AF"/>
          <w:sz w:val="17"/>
          <w:szCs w:val="17"/>
        </w:rPr>
        <w:t xml:space="preserve">    .start("/mnt/bronze/market_feed/")</w:t>
      </w:r>
    </w:p>
    <w:p>
      <w:pPr>
        <w:spacing w:after="0" w:before="0"/>
      </w:pPr>
      <w:r>
        <w:rPr>
          <w:sz w:val="12"/>
          <w:szCs w:val="12"/>
        </w:rPr>
        <w:t xml:space="preserve"/>
      </w:r>
    </w:p>
    <w:p>
      <w:pPr>
        <w:spacing w:after="60" w:before="160"/>
      </w:pPr>
      <w:r>
        <w:rPr>
          <w:rFonts w:ascii="Arial" w:cs="Arial" w:eastAsia="Arial" w:hAnsi="Arial"/>
          <w:b/>
          <w:bCs/>
          <w:color w:val="0F766E"/>
          <w:sz w:val="22"/>
          <w:szCs w:val="22"/>
        </w:rPr>
        <w:t xml:space="preserve">▸  Week 4 — Test All 8 Sources Landing in Bronze</w:t>
      </w:r>
    </w:p>
    <w:p>
      <w:pPr>
        <w:pStyle w:val="ListParagraph"/>
        <w:numPr>
          <w:ilvl w:val="0"/>
          <w:numId w:val="2"/>
        </w:numPr>
        <w:spacing w:after="40" w:before="20"/>
        <w:ind w:left="360"/>
      </w:pPr>
      <w:r>
        <w:rPr>
          <w:rFonts w:ascii="Arial" w:cs="Arial" w:eastAsia="Arial" w:hAnsi="Arial"/>
          <w:color w:val="333333"/>
          <w:sz w:val="19"/>
          <w:szCs w:val="19"/>
        </w:rPr>
        <w:t xml:space="preserve">Verify all 8 sources have data in Bronze. Run dbutils.fs.ls() for each path.</w:t>
      </w:r>
    </w:p>
    <w:p>
      <w:pPr>
        <w:pStyle w:val="ListParagraph"/>
        <w:numPr>
          <w:ilvl w:val="0"/>
          <w:numId w:val="2"/>
        </w:numPr>
        <w:spacing w:after="40" w:before="20"/>
        <w:ind w:left="360"/>
      </w:pPr>
      <w:r>
        <w:rPr>
          <w:rFonts w:ascii="Arial" w:cs="Arial" w:eastAsia="Arial" w:hAnsi="Arial"/>
          <w:color w:val="333333"/>
          <w:sz w:val="19"/>
          <w:szCs w:val="19"/>
        </w:rPr>
        <w:t xml:space="preserve">Check streaming notebook is writing every 30 seconds. Monitor in Databricks UI.</w:t>
      </w:r>
    </w:p>
    <w:p>
      <w:pPr>
        <w:pStyle w:val="ListParagraph"/>
        <w:numPr>
          <w:ilvl w:val="0"/>
          <w:numId w:val="2"/>
        </w:numPr>
        <w:spacing w:after="40" w:before="20"/>
        <w:ind w:left="360"/>
      </w:pPr>
      <w:r>
        <w:rPr>
          <w:rFonts w:ascii="Arial" w:cs="Arial" w:eastAsia="Arial" w:hAnsi="Arial"/>
          <w:color w:val="333333"/>
          <w:sz w:val="19"/>
          <w:szCs w:val="19"/>
        </w:rPr>
        <w:t xml:space="preserve">Verify partition structure: bronze/transactions/year=2024/month=01/day=08/ exists.</w:t>
      </w:r>
    </w:p>
    <w:p>
      <w:pPr>
        <w:pStyle w:val="ListParagraph"/>
        <w:numPr>
          <w:ilvl w:val="0"/>
          <w:numId w:val="2"/>
        </w:numPr>
        <w:spacing w:after="40" w:before="20"/>
        <w:ind w:left="360"/>
      </w:pPr>
      <w:r>
        <w:rPr>
          <w:rFonts w:ascii="Arial" w:cs="Arial" w:eastAsia="Arial" w:hAnsi="Arial"/>
          <w:color w:val="333333"/>
          <w:sz w:val="19"/>
          <w:szCs w:val="19"/>
        </w:rPr>
        <w:t xml:space="preserve">Commit all ADF pipeline JSON files to GitHub. Tag: v0.1-bronze-complete.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480"/>
        <w:gridCol w:w="1240"/>
      </w:tblGrid>
      <w:tr>
        <w:tc>
          <w:tcPr>
            <w:tcW w:type="dxa" w:w="640"/>
            <w:tcBorders>
              <w:top w:val="single" w:color="E5E7EB" w:sz="1"/>
              <w:left w:val="single" w:color="E5E7EB" w:sz="1"/>
              <w:bottom w:val="single" w:color="E5E7EB" w:sz="1"/>
              <w:right w:val="single" w:color="E5E7EB" w:sz="1"/>
            </w:tcBorders>
            <w:shd w:fill="0F766E"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P3</w:t>
            </w:r>
          </w:p>
        </w:tc>
        <w:tc>
          <w:tcPr>
            <w:tcW w:type="dxa" w:w="74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r>
              <w:rPr>
                <w:rFonts w:ascii="Arial" w:cs="Arial" w:eastAsia="Arial" w:hAnsi="Arial"/>
                <w:b/>
                <w:bCs/>
                <w:color w:val="0F766E"/>
                <w:sz w:val="24"/>
                <w:szCs w:val="24"/>
              </w:rPr>
              <w:t xml:space="preserve">Silver Transformation Layer</w:t>
            </w:r>
          </w:p>
        </w:tc>
        <w:tc>
          <w:tcPr>
            <w:tcW w:type="dxa" w:w="1240"/>
            <w:tcBorders>
              <w:top w:val="single" w:color="E5E7EB" w:sz="1"/>
              <w:left w:val="single" w:color="E5E7EB" w:sz="1"/>
              <w:bottom w:val="single" w:color="E5E7EB" w:sz="1"/>
              <w:right w:val="single" w:color="E5E7EB" w:sz="1"/>
            </w:tcBorders>
            <w:shd w:fill="F8F9FA" w:val="clear"/>
            <w:tcMar>
              <w:top w:type="dxa" w:w="100"/>
              <w:left w:type="dxa" w:w="100"/>
              <w:bottom w:type="dxa" w:w="100"/>
              <w:right w:type="dxa" w:w="100"/>
            </w:tcMar>
          </w:tcPr>
          <w:p>
            <w:pPr>
              <w:jc w:val="center"/>
            </w:pPr>
            <w:r>
              <w:rPr>
                <w:rFonts w:ascii="Arial" w:cs="Arial" w:eastAsia="Arial" w:hAnsi="Arial"/>
                <w:b/>
                <w:bCs/>
                <w:color w:val="6B7280"/>
                <w:sz w:val="18"/>
                <w:szCs w:val="18"/>
              </w:rPr>
              <w:t xml:space="preserve">Week 5–6</w:t>
            </w:r>
          </w:p>
        </w:tc>
      </w:tr>
    </w:tbl>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Schema Validation Framework (Build This First)</w:t>
      </w:r>
    </w:p>
    <w:p>
      <w:pPr>
        <w:spacing w:after="20" w:before="20"/>
      </w:pPr>
      <w:r>
        <w:rPr>
          <w:rFonts w:ascii="Courier New" w:cs="Courier New" w:eastAsia="Courier New" w:hAnsi="Courier New"/>
          <w:color w:val="1E40AF"/>
          <w:sz w:val="17"/>
          <w:szCs w:val="17"/>
        </w:rPr>
        <w:t xml:space="preserve"># databricks/schemas/transaction_schema.json</w:t>
      </w:r>
    </w:p>
    <w:p>
      <w:pPr>
        <w:spacing w:after="20" w:before="20"/>
      </w:pPr>
      <w:r>
        <w:rPr>
          <w:rFonts w:ascii="Courier New" w:cs="Courier New" w:eastAsia="Courier New" w:hAnsi="Courier New"/>
          <w:color w:val="1E40AF"/>
          <w:sz w:val="17"/>
          <w:szCs w:val="17"/>
        </w:rPr>
        <w:t xml:space="preserve">{"customer_id":"string","transaction_id":"long","amount":"double",</w:t>
      </w:r>
    </w:p>
    <w:p>
      <w:pPr>
        <w:spacing w:after="20" w:before="20"/>
      </w:pPr>
      <w:r>
        <w:rPr>
          <w:rFonts w:ascii="Courier New" w:cs="Courier New" w:eastAsia="Courier New" w:hAnsi="Courier New"/>
          <w:color w:val="1E40AF"/>
          <w:sz w:val="17"/>
          <w:szCs w:val="17"/>
        </w:rPr>
        <w:t xml:space="preserve"> "status":"string","date":"date","type":"string"}</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def validate_schema(df, expected_schema_path):</w:t>
      </w:r>
    </w:p>
    <w:p>
      <w:pPr>
        <w:spacing w:after="20" w:before="20"/>
      </w:pPr>
      <w:r>
        <w:rPr>
          <w:rFonts w:ascii="Courier New" w:cs="Courier New" w:eastAsia="Courier New" w:hAnsi="Courier New"/>
          <w:color w:val="1E40AF"/>
          <w:sz w:val="17"/>
          <w:szCs w:val="17"/>
        </w:rPr>
        <w:t xml:space="preserve">    expected = json.load(open(expected_schema_path))</w:t>
      </w:r>
    </w:p>
    <w:p>
      <w:pPr>
        <w:spacing w:after="20" w:before="20"/>
      </w:pPr>
      <w:r>
        <w:rPr>
          <w:rFonts w:ascii="Courier New" w:cs="Courier New" w:eastAsia="Courier New" w:hAnsi="Courier New"/>
          <w:color w:val="1E40AF"/>
          <w:sz w:val="17"/>
          <w:szCs w:val="17"/>
        </w:rPr>
        <w:t xml:space="preserve">    actual = {f.name: f.dataType.simpleString() for f in df.schema.fields}</w:t>
      </w:r>
    </w:p>
    <w:p>
      <w:pPr>
        <w:spacing w:after="20" w:before="20"/>
      </w:pPr>
      <w:r>
        <w:rPr>
          <w:rFonts w:ascii="Courier New" w:cs="Courier New" w:eastAsia="Courier New" w:hAnsi="Courier New"/>
          <w:color w:val="1E40AF"/>
          <w:sz w:val="17"/>
          <w:szCs w:val="17"/>
        </w:rPr>
        <w:t xml:space="preserve">    missing  = set(expected.keys()) - set(actual.keys())</w:t>
      </w:r>
    </w:p>
    <w:p>
      <w:pPr>
        <w:spacing w:after="20" w:before="20"/>
      </w:pPr>
      <w:r>
        <w:rPr>
          <w:rFonts w:ascii="Courier New" w:cs="Courier New" w:eastAsia="Courier New" w:hAnsi="Courier New"/>
          <w:color w:val="1E40AF"/>
          <w:sz w:val="17"/>
          <w:szCs w:val="17"/>
        </w:rPr>
        <w:t xml:space="preserve">    mismatch = {k for k in expected if k in actual and expected[k] != actual[k]}</w:t>
      </w:r>
    </w:p>
    <w:p>
      <w:pPr>
        <w:spacing w:after="20" w:before="20"/>
      </w:pPr>
      <w:r>
        <w:rPr>
          <w:rFonts w:ascii="Courier New" w:cs="Courier New" w:eastAsia="Courier New" w:hAnsi="Courier New"/>
          <w:color w:val="1E40AF"/>
          <w:sz w:val="17"/>
          <w:szCs w:val="17"/>
        </w:rPr>
        <w:t xml:space="preserve">    if missing:  raise ValueError(f'Schema drift: missing columns {missing}')</w:t>
      </w:r>
    </w:p>
    <w:p>
      <w:pPr>
        <w:spacing w:after="20" w:before="20"/>
      </w:pPr>
      <w:r>
        <w:rPr>
          <w:rFonts w:ascii="Courier New" w:cs="Courier New" w:eastAsia="Courier New" w:hAnsi="Courier New"/>
          <w:color w:val="1E40AF"/>
          <w:sz w:val="17"/>
          <w:szCs w:val="17"/>
        </w:rPr>
        <w:t xml:space="preserve">    if mismatch: raise ValueError(f'Schema drift: type mismatch {mismatch}')</w:t>
      </w:r>
    </w:p>
    <w:p>
      <w:pPr>
        <w:spacing w:after="20" w:before="20"/>
      </w:pPr>
      <w:r>
        <w:rPr>
          <w:rFonts w:ascii="Courier New" w:cs="Courier New" w:eastAsia="Courier New" w:hAnsi="Courier New"/>
          <w:color w:val="1E40AF"/>
          <w:sz w:val="17"/>
          <w:szCs w:val="17"/>
        </w:rPr>
        <w:t xml:space="preserve">    return True</w:t>
      </w:r>
    </w:p>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Incremental Watermark Pattern for Customer CDC</w:t>
      </w:r>
    </w:p>
    <w:p>
      <w:pPr>
        <w:spacing w:after="20" w:before="20"/>
      </w:pPr>
      <w:r>
        <w:rPr>
          <w:rFonts w:ascii="Courier New" w:cs="Courier New" w:eastAsia="Courier New" w:hAnsi="Courier New"/>
          <w:color w:val="1E40AF"/>
          <w:sz w:val="17"/>
          <w:szCs w:val="17"/>
        </w:rPr>
        <w:t xml:space="preserve"># Read watermark from control table</w:t>
      </w:r>
    </w:p>
    <w:p>
      <w:pPr>
        <w:spacing w:after="20" w:before="20"/>
      </w:pPr>
      <w:r>
        <w:rPr>
          <w:rFonts w:ascii="Courier New" w:cs="Courier New" w:eastAsia="Courier New" w:hAnsi="Courier New"/>
          <w:color w:val="1E40AF"/>
          <w:sz w:val="17"/>
          <w:szCs w:val="17"/>
        </w:rPr>
        <w:t xml:space="preserve">last_run = spark.sql(</w:t>
      </w:r>
    </w:p>
    <w:p>
      <w:pPr>
        <w:spacing w:after="20" w:before="20"/>
      </w:pPr>
      <w:r>
        <w:rPr>
          <w:rFonts w:ascii="Courier New" w:cs="Courier New" w:eastAsia="Courier New" w:hAnsi="Courier New"/>
          <w:color w:val="1E40AF"/>
          <w:sz w:val="17"/>
          <w:szCs w:val="17"/>
        </w:rPr>
        <w:t xml:space="preserve">    "SELECT last_run FROM bronze.watermark_control WHERE source='customers'"</w:t>
      </w:r>
    </w:p>
    <w:p>
      <w:pPr>
        <w:spacing w:after="20" w:before="20"/>
      </w:pPr>
      <w:r>
        <w:rPr>
          <w:rFonts w:ascii="Courier New" w:cs="Courier New" w:eastAsia="Courier New" w:hAnsi="Courier New"/>
          <w:color w:val="1E40AF"/>
          <w:sz w:val="17"/>
          <w:szCs w:val="17"/>
        </w:rPr>
        <w:t xml:space="preserve">).collect()[0][0]</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 Only read rows changed since last run</w:t>
      </w:r>
    </w:p>
    <w:p>
      <w:pPr>
        <w:spacing w:after="20" w:before="20"/>
      </w:pPr>
      <w:r>
        <w:rPr>
          <w:rFonts w:ascii="Courier New" w:cs="Courier New" w:eastAsia="Courier New" w:hAnsi="Courier New"/>
          <w:color w:val="1E40AF"/>
          <w:sz w:val="17"/>
          <w:szCs w:val="17"/>
        </w:rPr>
        <w:t xml:space="preserve">df_incremental = spark.read.jdbc(url, 'customers',</w:t>
      </w:r>
    </w:p>
    <w:p>
      <w:pPr>
        <w:spacing w:after="20" w:before="20"/>
      </w:pPr>
      <w:r>
        <w:rPr>
          <w:rFonts w:ascii="Courier New" w:cs="Courier New" w:eastAsia="Courier New" w:hAnsi="Courier New"/>
          <w:color w:val="1E40AF"/>
          <w:sz w:val="17"/>
          <w:szCs w:val="17"/>
        </w:rPr>
        <w:t xml:space="preserve">    predicates=[f"updated_at &gt; '{last_run}'"])</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 After successful write, update watermark</w:t>
      </w:r>
    </w:p>
    <w:p>
      <w:pPr>
        <w:spacing w:after="20" w:before="20"/>
      </w:pPr>
      <w:r>
        <w:rPr>
          <w:rFonts w:ascii="Courier New" w:cs="Courier New" w:eastAsia="Courier New" w:hAnsi="Courier New"/>
          <w:color w:val="1E40AF"/>
          <w:sz w:val="17"/>
          <w:szCs w:val="17"/>
        </w:rPr>
        <w:t xml:space="preserve">spark.sql(f"UPDATE bronze.watermark_control SET last_run=current_timestamp()"</w:t>
      </w:r>
    </w:p>
    <w:p>
      <w:pPr>
        <w:spacing w:after="20" w:before="20"/>
      </w:pPr>
      <w:r>
        <w:rPr>
          <w:rFonts w:ascii="Courier New" w:cs="Courier New" w:eastAsia="Courier New" w:hAnsi="Courier New"/>
          <w:color w:val="1E40AF"/>
          <w:sz w:val="17"/>
          <w:szCs w:val="17"/>
        </w:rPr>
        <w:t xml:space="preserve">         f"WHERE source='customers'")</w:t>
      </w:r>
    </w:p>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Streaming Deduplication with Delta MERGE</w:t>
      </w:r>
    </w:p>
    <w:p>
      <w:pPr>
        <w:spacing w:after="20" w:before="20"/>
      </w:pPr>
      <w:r>
        <w:rPr>
          <w:rFonts w:ascii="Courier New" w:cs="Courier New" w:eastAsia="Courier New" w:hAnsi="Courier New"/>
          <w:color w:val="1E40AF"/>
          <w:sz w:val="17"/>
          <w:szCs w:val="17"/>
        </w:rPr>
        <w:t xml:space="preserve"># Deduplicate streaming data using Delta MERGE</w:t>
      </w:r>
    </w:p>
    <w:p>
      <w:pPr>
        <w:spacing w:after="20" w:before="20"/>
      </w:pPr>
      <w:r>
        <w:rPr>
          <w:rFonts w:ascii="Courier New" w:cs="Courier New" w:eastAsia="Courier New" w:hAnsi="Courier New"/>
          <w:color w:val="1E40AF"/>
          <w:sz w:val="17"/>
          <w:szCs w:val="17"/>
        </w:rPr>
        <w:t xml:space="preserve">from delta.tables import DeltaTable</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def upsert_to_silver(micro_batch_df, batch_id):</w:t>
      </w:r>
    </w:p>
    <w:p>
      <w:pPr>
        <w:spacing w:after="20" w:before="20"/>
      </w:pPr>
      <w:r>
        <w:rPr>
          <w:rFonts w:ascii="Courier New" w:cs="Courier New" w:eastAsia="Courier New" w:hAnsi="Courier New"/>
          <w:color w:val="1E40AF"/>
          <w:sz w:val="17"/>
          <w:szCs w:val="17"/>
        </w:rPr>
        <w:t xml:space="preserve">    silver_table = DeltaTable.forPath(spark, '/mnt/silver/market_feed/')</w:t>
      </w:r>
    </w:p>
    <w:p>
      <w:pPr>
        <w:spacing w:after="20" w:before="20"/>
      </w:pPr>
      <w:r>
        <w:rPr>
          <w:rFonts w:ascii="Courier New" w:cs="Courier New" w:eastAsia="Courier New" w:hAnsi="Courier New"/>
          <w:color w:val="1E40AF"/>
          <w:sz w:val="17"/>
          <w:szCs w:val="17"/>
        </w:rPr>
        <w:t xml:space="preserve">    (silver_table.alias('target')</w:t>
      </w:r>
    </w:p>
    <w:p>
      <w:pPr>
        <w:spacing w:after="20" w:before="20"/>
      </w:pPr>
      <w:r>
        <w:rPr>
          <w:rFonts w:ascii="Courier New" w:cs="Courier New" w:eastAsia="Courier New" w:hAnsi="Courier New"/>
          <w:color w:val="1E40AF"/>
          <w:sz w:val="17"/>
          <w:szCs w:val="17"/>
        </w:rPr>
        <w:t xml:space="preserve">     .merge(micro_batch_df.alias('source'),</w:t>
      </w:r>
    </w:p>
    <w:p>
      <w:pPr>
        <w:spacing w:after="20" w:before="20"/>
      </w:pPr>
      <w:r>
        <w:rPr>
          <w:rFonts w:ascii="Courier New" w:cs="Courier New" w:eastAsia="Courier New" w:hAnsi="Courier New"/>
          <w:color w:val="1E40AF"/>
          <w:sz w:val="17"/>
          <w:szCs w:val="17"/>
        </w:rPr>
        <w:t xml:space="preserve">            'target.event_id = source.event_id')  # deduplicate on event_id</w:t>
      </w:r>
    </w:p>
    <w:p>
      <w:pPr>
        <w:spacing w:after="20" w:before="20"/>
      </w:pPr>
      <w:r>
        <w:rPr>
          <w:rFonts w:ascii="Courier New" w:cs="Courier New" w:eastAsia="Courier New" w:hAnsi="Courier New"/>
          <w:color w:val="1E40AF"/>
          <w:sz w:val="17"/>
          <w:szCs w:val="17"/>
        </w:rPr>
        <w:t xml:space="preserve">     .whenMatchedUpdateAll()      # update if exists (idempotent)</w:t>
      </w:r>
    </w:p>
    <w:p>
      <w:pPr>
        <w:spacing w:after="20" w:before="20"/>
      </w:pPr>
      <w:r>
        <w:rPr>
          <w:rFonts w:ascii="Courier New" w:cs="Courier New" w:eastAsia="Courier New" w:hAnsi="Courier New"/>
          <w:color w:val="1E40AF"/>
          <w:sz w:val="17"/>
          <w:szCs w:val="17"/>
        </w:rPr>
        <w:t xml:space="preserve">     .whenNotMatchedInsertAll()   # insert if new</w:t>
      </w:r>
    </w:p>
    <w:p>
      <w:pPr>
        <w:spacing w:after="20" w:before="20"/>
      </w:pPr>
      <w:r>
        <w:rPr>
          <w:rFonts w:ascii="Courier New" w:cs="Courier New" w:eastAsia="Courier New" w:hAnsi="Courier New"/>
          <w:color w:val="1E40AF"/>
          <w:sz w:val="17"/>
          <w:szCs w:val="17"/>
        </w:rPr>
        <w:t xml:space="preserve">     .execute())</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df_stream.writeStream.foreachBatch(upsert_to_silver) \</w:t>
      </w:r>
    </w:p>
    <w:p>
      <w:pPr>
        <w:spacing w:after="20" w:before="20"/>
      </w:pPr>
      <w:r>
        <w:rPr>
          <w:rFonts w:ascii="Courier New" w:cs="Courier New" w:eastAsia="Courier New" w:hAnsi="Courier New"/>
          <w:color w:val="1E40AF"/>
          <w:sz w:val="17"/>
          <w:szCs w:val="17"/>
        </w:rPr>
        <w:t xml:space="preserve">    .option('checkpointLocation', '/mnt/_checkpoints/silver/market/') \</w:t>
      </w:r>
    </w:p>
    <w:p>
      <w:pPr>
        <w:spacing w:after="20" w:before="20"/>
      </w:pPr>
      <w:r>
        <w:rPr>
          <w:rFonts w:ascii="Courier New" w:cs="Courier New" w:eastAsia="Courier New" w:hAnsi="Courier New"/>
          <w:color w:val="1E40AF"/>
          <w:sz w:val="17"/>
          <w:szCs w:val="17"/>
        </w:rPr>
        <w:t xml:space="preserve">    .start()</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480"/>
        <w:gridCol w:w="1240"/>
      </w:tblGrid>
      <w:tr>
        <w:tc>
          <w:tcPr>
            <w:tcW w:type="dxa" w:w="640"/>
            <w:tcBorders>
              <w:top w:val="single" w:color="E5E7EB" w:sz="1"/>
              <w:left w:val="single" w:color="E5E7EB" w:sz="1"/>
              <w:bottom w:val="single" w:color="E5E7EB" w:sz="1"/>
              <w:right w:val="single" w:color="E5E7EB" w:sz="1"/>
            </w:tcBorders>
            <w:shd w:fill="B4530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P4</w:t>
            </w:r>
          </w:p>
        </w:tc>
        <w:tc>
          <w:tcPr>
            <w:tcW w:type="dxa" w:w="74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r>
              <w:rPr>
                <w:rFonts w:ascii="Arial" w:cs="Arial" w:eastAsia="Arial" w:hAnsi="Arial"/>
                <w:b/>
                <w:bCs/>
                <w:color w:val="B45309"/>
                <w:sz w:val="24"/>
                <w:szCs w:val="24"/>
              </w:rPr>
              <w:t xml:space="preserve">Gold Aggregation + ML Features</w:t>
            </w:r>
          </w:p>
        </w:tc>
        <w:tc>
          <w:tcPr>
            <w:tcW w:type="dxa" w:w="1240"/>
            <w:tcBorders>
              <w:top w:val="single" w:color="E5E7EB" w:sz="1"/>
              <w:left w:val="single" w:color="E5E7EB" w:sz="1"/>
              <w:bottom w:val="single" w:color="E5E7EB" w:sz="1"/>
              <w:right w:val="single" w:color="E5E7EB" w:sz="1"/>
            </w:tcBorders>
            <w:shd w:fill="F8F9FA" w:val="clear"/>
            <w:tcMar>
              <w:top w:type="dxa" w:w="100"/>
              <w:left w:type="dxa" w:w="100"/>
              <w:bottom w:type="dxa" w:w="100"/>
              <w:right w:type="dxa" w:w="100"/>
            </w:tcMar>
          </w:tcPr>
          <w:p>
            <w:pPr>
              <w:jc w:val="center"/>
            </w:pPr>
            <w:r>
              <w:rPr>
                <w:rFonts w:ascii="Arial" w:cs="Arial" w:eastAsia="Arial" w:hAnsi="Arial"/>
                <w:b/>
                <w:bCs/>
                <w:color w:val="6B7280"/>
                <w:sz w:val="18"/>
                <w:szCs w:val="18"/>
              </w:rPr>
              <w:t xml:space="preserve">Week 7–8</w:t>
            </w:r>
          </w:p>
        </w:tc>
      </w:tr>
    </w:tbl>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Gold Tables to Build</w:t>
      </w:r>
    </w:p>
    <w:p>
      <w:pPr>
        <w:pStyle w:val="ListParagraph"/>
        <w:numPr>
          <w:ilvl w:val="0"/>
          <w:numId w:val="2"/>
        </w:numPr>
        <w:spacing w:after="40" w:before="20"/>
        <w:ind w:left="360"/>
      </w:pPr>
      <w:r>
        <w:rPr>
          <w:rFonts w:ascii="Arial" w:cs="Arial" w:eastAsia="Arial" w:hAnsi="Arial"/>
          <w:color w:val="333333"/>
          <w:sz w:val="19"/>
          <w:szCs w:val="19"/>
        </w:rPr>
        <w:t xml:space="preserve">gold/daily_transaction_summary — count, total_amount, fraud_rate, avg_amount by date and type</w:t>
      </w:r>
    </w:p>
    <w:p>
      <w:pPr>
        <w:pStyle w:val="ListParagraph"/>
        <w:numPr>
          <w:ilvl w:val="0"/>
          <w:numId w:val="2"/>
        </w:numPr>
        <w:spacing w:after="40" w:before="20"/>
        <w:ind w:left="360"/>
      </w:pPr>
      <w:r>
        <w:rPr>
          <w:rFonts w:ascii="Arial" w:cs="Arial" w:eastAsia="Arial" w:hAnsi="Arial"/>
          <w:color w:val="333333"/>
          <w:sz w:val="19"/>
          <w:szCs w:val="19"/>
        </w:rPr>
        <w:t xml:space="preserve">gold/fraud_analysis — fraud patterns by hour, geography, transaction type, amount bucket</w:t>
      </w:r>
    </w:p>
    <w:p>
      <w:pPr>
        <w:pStyle w:val="ListParagraph"/>
        <w:numPr>
          <w:ilvl w:val="0"/>
          <w:numId w:val="2"/>
        </w:numPr>
        <w:spacing w:after="40" w:before="20"/>
        <w:ind w:left="360"/>
      </w:pPr>
      <w:r>
        <w:rPr>
          <w:rFonts w:ascii="Arial" w:cs="Arial" w:eastAsia="Arial" w:hAnsi="Arial"/>
          <w:color w:val="333333"/>
          <w:sz w:val="19"/>
          <w:szCs w:val="19"/>
        </w:rPr>
        <w:t xml:space="preserve">gold/customer_360 — lifetime value, transaction frequency, risk score, fraud history per customer</w:t>
      </w:r>
    </w:p>
    <w:p>
      <w:pPr>
        <w:pStyle w:val="ListParagraph"/>
        <w:numPr>
          <w:ilvl w:val="0"/>
          <w:numId w:val="2"/>
        </w:numPr>
        <w:spacing w:after="40" w:before="20"/>
        <w:ind w:left="360"/>
      </w:pPr>
      <w:r>
        <w:rPr>
          <w:rFonts w:ascii="Arial" w:cs="Arial" w:eastAsia="Arial" w:hAnsi="Arial"/>
          <w:color w:val="333333"/>
          <w:sz w:val="19"/>
          <w:szCs w:val="19"/>
        </w:rPr>
        <w:t xml:space="preserve">gold/market_snapshot — OHLCV aggregations per symbol per day from streaming market feed</w:t>
      </w:r>
    </w:p>
    <w:p>
      <w:pPr>
        <w:pStyle w:val="ListParagraph"/>
        <w:numPr>
          <w:ilvl w:val="0"/>
          <w:numId w:val="2"/>
        </w:numPr>
        <w:spacing w:after="40" w:before="20"/>
        <w:ind w:left="360"/>
      </w:pPr>
      <w:r>
        <w:rPr>
          <w:rFonts w:ascii="Arial" w:cs="Arial" w:eastAsia="Arial" w:hAnsi="Arial"/>
          <w:color w:val="333333"/>
          <w:sz w:val="19"/>
          <w:szCs w:val="19"/>
        </w:rPr>
        <w:t xml:space="preserve">gold/portfolio_valuation — total AUM, return, risk exposure per portfolio per valuation date</w:t>
      </w:r>
    </w:p>
    <w:p>
      <w:pPr>
        <w:pStyle w:val="ListParagraph"/>
        <w:numPr>
          <w:ilvl w:val="0"/>
          <w:numId w:val="2"/>
        </w:numPr>
        <w:spacing w:after="40" w:before="20"/>
        <w:ind w:left="360"/>
      </w:pPr>
      <w:r>
        <w:rPr>
          <w:rFonts w:ascii="Arial" w:cs="Arial" w:eastAsia="Arial" w:hAnsi="Arial"/>
          <w:color w:val="333333"/>
          <w:sz w:val="19"/>
          <w:szCs w:val="19"/>
        </w:rPr>
        <w:t xml:space="preserve">gold/features/fraud_features — ML feature store: 25 engineered features for fraud model</w:t>
      </w:r>
    </w:p>
    <w:p>
      <w:pPr>
        <w:pStyle w:val="ListParagraph"/>
        <w:numPr>
          <w:ilvl w:val="0"/>
          <w:numId w:val="2"/>
        </w:numPr>
        <w:spacing w:after="40" w:before="20"/>
        <w:ind w:left="360"/>
      </w:pPr>
      <w:r>
        <w:rPr>
          <w:rFonts w:ascii="Arial" w:cs="Arial" w:eastAsia="Arial" w:hAnsi="Arial"/>
          <w:color w:val="333333"/>
          <w:sz w:val="19"/>
          <w:szCs w:val="19"/>
        </w:rPr>
        <w:t xml:space="preserve">gold/monitoring/pipeline_health — data quality scores, record counts, schema conformance per run</w:t>
      </w:r>
    </w:p>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Stream-Batch Join Pattern</w:t>
      </w:r>
    </w:p>
    <w:p>
      <w:pPr>
        <w:spacing w:after="20" w:before="20"/>
      </w:pPr>
      <w:r>
        <w:rPr>
          <w:rFonts w:ascii="Courier New" w:cs="Courier New" w:eastAsia="Courier New" w:hAnsi="Courier New"/>
          <w:color w:val="1E40AF"/>
          <w:sz w:val="17"/>
          <w:szCs w:val="17"/>
        </w:rPr>
        <w:t xml:space="preserve"># Enrich streaming market feed with static portfolio reference</w:t>
      </w:r>
    </w:p>
    <w:p>
      <w:pPr>
        <w:spacing w:after="20" w:before="20"/>
      </w:pPr>
      <w:r>
        <w:rPr>
          <w:rFonts w:ascii="Courier New" w:cs="Courier New" w:eastAsia="Courier New" w:hAnsi="Courier New"/>
          <w:color w:val="1E40AF"/>
          <w:sz w:val="17"/>
          <w:szCs w:val="17"/>
        </w:rPr>
        <w:t xml:space="preserve"># Portfolio data is batch — read as snapshot, not stream</w:t>
      </w:r>
    </w:p>
    <w:p>
      <w:pPr>
        <w:spacing w:after="20" w:before="20"/>
      </w:pPr>
      <w:r>
        <w:rPr>
          <w:rFonts w:ascii="Courier New" w:cs="Courier New" w:eastAsia="Courier New" w:hAnsi="Courier New"/>
          <w:color w:val="1E40AF"/>
          <w:sz w:val="17"/>
          <w:szCs w:val="17"/>
        </w:rPr>
        <w:t xml:space="preserve">df_portfolio_ref = spark.read.format('delta') \</w:t>
      </w:r>
    </w:p>
    <w:p>
      <w:pPr>
        <w:spacing w:after="20" w:before="20"/>
      </w:pPr>
      <w:r>
        <w:rPr>
          <w:rFonts w:ascii="Courier New" w:cs="Courier New" w:eastAsia="Courier New" w:hAnsi="Courier New"/>
          <w:color w:val="1E40AF"/>
          <w:sz w:val="17"/>
          <w:szCs w:val="17"/>
        </w:rPr>
        <w:t xml:space="preserve">    .load('/mnt/silver/portfolio/')  # static snapshot</w:t>
      </w:r>
    </w:p>
    <w:p>
      <w:pPr>
        <w:spacing w:after="20" w:before="20"/>
      </w:pPr>
      <w:r>
        <w:rPr>
          <w:rFonts w:ascii="Courier New" w:cs="Courier New" w:eastAsia="Courier New" w:hAnsi="Courier New"/>
          <w:color w:val="1E40AF"/>
          <w:sz w:val="17"/>
          <w:szCs w:val="17"/>
        </w:rPr>
        <w:t xml:space="preserve"/>
      </w:r>
    </w:p>
    <w:p>
      <w:pPr>
        <w:spacing w:after="20" w:before="20"/>
      </w:pPr>
      <w:r>
        <w:rPr>
          <w:rFonts w:ascii="Courier New" w:cs="Courier New" w:eastAsia="Courier New" w:hAnsi="Courier New"/>
          <w:color w:val="1E40AF"/>
          <w:sz w:val="17"/>
          <w:szCs w:val="17"/>
        </w:rPr>
        <w:t xml:space="preserve"># Broadcast the small reference table to all workers</w:t>
      </w:r>
    </w:p>
    <w:p>
      <w:pPr>
        <w:spacing w:after="20" w:before="20"/>
      </w:pPr>
      <w:r>
        <w:rPr>
          <w:rFonts w:ascii="Courier New" w:cs="Courier New" w:eastAsia="Courier New" w:hAnsi="Courier New"/>
          <w:color w:val="1E40AF"/>
          <w:sz w:val="17"/>
          <w:szCs w:val="17"/>
        </w:rPr>
        <w:t xml:space="preserve">from pyspark.sql.functions import broadcast</w:t>
      </w:r>
    </w:p>
    <w:p>
      <w:pPr>
        <w:spacing w:after="20" w:before="20"/>
      </w:pPr>
      <w:r>
        <w:rPr>
          <w:rFonts w:ascii="Courier New" w:cs="Courier New" w:eastAsia="Courier New" w:hAnsi="Courier New"/>
          <w:color w:val="1E40AF"/>
          <w:sz w:val="17"/>
          <w:szCs w:val="17"/>
        </w:rPr>
        <w:t xml:space="preserve">df_enriched = df_market_stream.join(</w:t>
      </w:r>
    </w:p>
    <w:p>
      <w:pPr>
        <w:spacing w:after="20" w:before="20"/>
      </w:pPr>
      <w:r>
        <w:rPr>
          <w:rFonts w:ascii="Courier New" w:cs="Courier New" w:eastAsia="Courier New" w:hAnsi="Courier New"/>
          <w:color w:val="1E40AF"/>
          <w:sz w:val="17"/>
          <w:szCs w:val="17"/>
        </w:rPr>
        <w:t xml:space="preserve">    broadcast(df_portfolio_ref),</w:t>
      </w:r>
    </w:p>
    <w:p>
      <w:pPr>
        <w:spacing w:after="20" w:before="20"/>
      </w:pPr>
      <w:r>
        <w:rPr>
          <w:rFonts w:ascii="Courier New" w:cs="Courier New" w:eastAsia="Courier New" w:hAnsi="Courier New"/>
          <w:color w:val="1E40AF"/>
          <w:sz w:val="17"/>
          <w:szCs w:val="17"/>
        </w:rPr>
        <w:t xml:space="preserve">    on='isin_code',</w:t>
      </w:r>
    </w:p>
    <w:p>
      <w:pPr>
        <w:spacing w:after="20" w:before="20"/>
      </w:pPr>
      <w:r>
        <w:rPr>
          <w:rFonts w:ascii="Courier New" w:cs="Courier New" w:eastAsia="Courier New" w:hAnsi="Courier New"/>
          <w:color w:val="1E40AF"/>
          <w:sz w:val="17"/>
          <w:szCs w:val="17"/>
        </w:rPr>
        <w:t xml:space="preserve">    how='left'</w:t>
      </w:r>
    </w:p>
    <w:p>
      <w:pPr>
        <w:spacing w:after="20" w:before="20"/>
      </w:pPr>
      <w:r>
        <w:rPr>
          <w:rFonts w:ascii="Courier New" w:cs="Courier New" w:eastAsia="Courier New" w:hAnsi="Courier New"/>
          <w:color w:val="1E40AF"/>
          <w:sz w:val="17"/>
          <w:szCs w:val="17"/>
        </w:rPr>
        <w:t xml:space="preserv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480"/>
        <w:gridCol w:w="1240"/>
      </w:tblGrid>
      <w:tr>
        <w:tc>
          <w:tcPr>
            <w:tcW w:type="dxa" w:w="640"/>
            <w:tcBorders>
              <w:top w:val="single" w:color="E5E7EB" w:sz="1"/>
              <w:left w:val="single" w:color="E5E7EB" w:sz="1"/>
              <w:bottom w:val="single" w:color="E5E7EB" w:sz="1"/>
              <w:right w:val="single" w:color="E5E7EB" w:sz="1"/>
            </w:tcBorders>
            <w:shd w:fill="5B21B6"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P5</w:t>
            </w:r>
          </w:p>
        </w:tc>
        <w:tc>
          <w:tcPr>
            <w:tcW w:type="dxa" w:w="74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r>
              <w:rPr>
                <w:rFonts w:ascii="Arial" w:cs="Arial" w:eastAsia="Arial" w:hAnsi="Arial"/>
                <w:b/>
                <w:bCs/>
                <w:color w:val="5B21B6"/>
                <w:sz w:val="24"/>
                <w:szCs w:val="24"/>
              </w:rPr>
              <w:t xml:space="preserve">Observability + Monitoring</w:t>
            </w:r>
          </w:p>
        </w:tc>
        <w:tc>
          <w:tcPr>
            <w:tcW w:type="dxa" w:w="1240"/>
            <w:tcBorders>
              <w:top w:val="single" w:color="E5E7EB" w:sz="1"/>
              <w:left w:val="single" w:color="E5E7EB" w:sz="1"/>
              <w:bottom w:val="single" w:color="E5E7EB" w:sz="1"/>
              <w:right w:val="single" w:color="E5E7EB" w:sz="1"/>
            </w:tcBorders>
            <w:shd w:fill="F8F9FA" w:val="clear"/>
            <w:tcMar>
              <w:top w:type="dxa" w:w="100"/>
              <w:left w:type="dxa" w:w="100"/>
              <w:bottom w:type="dxa" w:w="100"/>
              <w:right w:type="dxa" w:w="100"/>
            </w:tcMar>
          </w:tcPr>
          <w:p>
            <w:pPr>
              <w:jc w:val="center"/>
            </w:pPr>
            <w:r>
              <w:rPr>
                <w:rFonts w:ascii="Arial" w:cs="Arial" w:eastAsia="Arial" w:hAnsi="Arial"/>
                <w:b/>
                <w:bCs/>
                <w:color w:val="6B7280"/>
                <w:sz w:val="18"/>
                <w:szCs w:val="18"/>
              </w:rPr>
              <w:t xml:space="preserve">Week 9–10</w:t>
            </w:r>
          </w:p>
        </w:tc>
      </w:tr>
    </w:tbl>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KQL Queries to Write and Save to GitHub</w:t>
      </w:r>
    </w:p>
    <w:p>
      <w:pPr>
        <w:pStyle w:val="ListParagraph"/>
        <w:numPr>
          <w:ilvl w:val="0"/>
          <w:numId w:val="2"/>
        </w:numPr>
        <w:spacing w:after="40" w:before="20"/>
        <w:ind w:left="360"/>
      </w:pPr>
      <w:r>
        <w:rPr>
          <w:rFonts w:ascii="Arial" w:cs="Arial" w:eastAsia="Arial" w:hAnsi="Arial"/>
          <w:color w:val="333333"/>
          <w:sz w:val="19"/>
          <w:szCs w:val="19"/>
        </w:rPr>
        <w:t xml:space="preserve">kql/01_pipeline_health_dashboard.kql — success rate, duration trend, failure count by pipeline</w:t>
      </w:r>
    </w:p>
    <w:p>
      <w:pPr>
        <w:pStyle w:val="ListParagraph"/>
        <w:numPr>
          <w:ilvl w:val="0"/>
          <w:numId w:val="2"/>
        </w:numPr>
        <w:spacing w:after="40" w:before="20"/>
        <w:ind w:left="360"/>
      </w:pPr>
      <w:r>
        <w:rPr>
          <w:rFonts w:ascii="Arial" w:cs="Arial" w:eastAsia="Arial" w:hAnsi="Arial"/>
          <w:color w:val="333333"/>
          <w:sz w:val="19"/>
          <w:szCs w:val="19"/>
        </w:rPr>
        <w:t xml:space="preserve">kql/02_zero_row_silent_failures.kql — Copy Activities that succeeded with 0 rows</w:t>
      </w:r>
    </w:p>
    <w:p>
      <w:pPr>
        <w:pStyle w:val="ListParagraph"/>
        <w:numPr>
          <w:ilvl w:val="0"/>
          <w:numId w:val="2"/>
        </w:numPr>
        <w:spacing w:after="40" w:before="20"/>
        <w:ind w:left="360"/>
      </w:pPr>
      <w:r>
        <w:rPr>
          <w:rFonts w:ascii="Arial" w:cs="Arial" w:eastAsia="Arial" w:hAnsi="Arial"/>
          <w:color w:val="333333"/>
          <w:sz w:val="19"/>
          <w:szCs w:val="19"/>
        </w:rPr>
        <w:t xml:space="preserve">kql/03_streaming_lag_monitor.kql — time since last Bronze write per streaming source</w:t>
      </w:r>
    </w:p>
    <w:p>
      <w:pPr>
        <w:pStyle w:val="ListParagraph"/>
        <w:numPr>
          <w:ilvl w:val="0"/>
          <w:numId w:val="2"/>
        </w:numPr>
        <w:spacing w:after="40" w:before="20"/>
        <w:ind w:left="360"/>
      </w:pPr>
      <w:r>
        <w:rPr>
          <w:rFonts w:ascii="Arial" w:cs="Arial" w:eastAsia="Arial" w:hAnsi="Arial"/>
          <w:color w:val="333333"/>
          <w:sz w:val="19"/>
          <w:szCs w:val="19"/>
        </w:rPr>
        <w:t xml:space="preserve">kql/04_data_quality_trends.kql — quality score over time queried from Gold monitoring table</w:t>
      </w:r>
    </w:p>
    <w:p>
      <w:pPr>
        <w:pStyle w:val="ListParagraph"/>
        <w:numPr>
          <w:ilvl w:val="0"/>
          <w:numId w:val="2"/>
        </w:numPr>
        <w:spacing w:after="40" w:before="20"/>
        <w:ind w:left="360"/>
      </w:pPr>
      <w:r>
        <w:rPr>
          <w:rFonts w:ascii="Arial" w:cs="Arial" w:eastAsia="Arial" w:hAnsi="Arial"/>
          <w:color w:val="333333"/>
          <w:sz w:val="19"/>
          <w:szCs w:val="19"/>
        </w:rPr>
        <w:t xml:space="preserve">kql/05_cost_analysis.kql — ADF activity run costs, Databricks cluster hours</w:t>
      </w:r>
    </w:p>
    <w:p>
      <w:pPr>
        <w:pStyle w:val="ListParagraph"/>
        <w:numPr>
          <w:ilvl w:val="0"/>
          <w:numId w:val="2"/>
        </w:numPr>
        <w:spacing w:after="40" w:before="20"/>
        <w:ind w:left="360"/>
      </w:pPr>
      <w:r>
        <w:rPr>
          <w:rFonts w:ascii="Arial" w:cs="Arial" w:eastAsia="Arial" w:hAnsi="Arial"/>
          <w:color w:val="333333"/>
          <w:sz w:val="19"/>
          <w:szCs w:val="19"/>
        </w:rPr>
        <w:t xml:space="preserve">kql/06_schema_drift_alerts.kql — AnalysisException errors indicating schema changes</w:t>
      </w:r>
    </w:p>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Azure Workbook — 6 Dashboard Tiles</w:t>
      </w:r>
    </w:p>
    <w:p>
      <w:pPr>
        <w:pStyle w:val="ListParagraph"/>
        <w:numPr>
          <w:ilvl w:val="0"/>
          <w:numId w:val="2"/>
        </w:numPr>
        <w:spacing w:after="40" w:before="20"/>
        <w:ind w:left="360"/>
      </w:pPr>
      <w:r>
        <w:rPr>
          <w:rFonts w:ascii="Arial" w:cs="Arial" w:eastAsia="Arial" w:hAnsi="Arial"/>
          <w:color w:val="333333"/>
          <w:sz w:val="19"/>
          <w:szCs w:val="19"/>
        </w:rPr>
        <w:t xml:space="preserve">Tile 1: Pipeline success rate last 30 days (timechart per pipeline)</w:t>
      </w:r>
    </w:p>
    <w:p>
      <w:pPr>
        <w:pStyle w:val="ListParagraph"/>
        <w:numPr>
          <w:ilvl w:val="0"/>
          <w:numId w:val="2"/>
        </w:numPr>
        <w:spacing w:after="40" w:before="20"/>
        <w:ind w:left="360"/>
      </w:pPr>
      <w:r>
        <w:rPr>
          <w:rFonts w:ascii="Arial" w:cs="Arial" w:eastAsia="Arial" w:hAnsi="Arial"/>
          <w:color w:val="333333"/>
          <w:sz w:val="19"/>
          <w:szCs w:val="19"/>
        </w:rPr>
        <w:t xml:space="preserve">Tile 2: Record volume by source (barchart, daily)</w:t>
      </w:r>
    </w:p>
    <w:p>
      <w:pPr>
        <w:pStyle w:val="ListParagraph"/>
        <w:numPr>
          <w:ilvl w:val="0"/>
          <w:numId w:val="2"/>
        </w:numPr>
        <w:spacing w:after="40" w:before="20"/>
        <w:ind w:left="360"/>
      </w:pPr>
      <w:r>
        <w:rPr>
          <w:rFonts w:ascii="Arial" w:cs="Arial" w:eastAsia="Arial" w:hAnsi="Arial"/>
          <w:color w:val="333333"/>
          <w:sz w:val="19"/>
          <w:szCs w:val="19"/>
        </w:rPr>
        <w:t xml:space="preserve">Tile 3: Data quality score trend (line chart, threshold line at 95%)</w:t>
      </w:r>
    </w:p>
    <w:p>
      <w:pPr>
        <w:pStyle w:val="ListParagraph"/>
        <w:numPr>
          <w:ilvl w:val="0"/>
          <w:numId w:val="2"/>
        </w:numPr>
        <w:spacing w:after="40" w:before="20"/>
        <w:ind w:left="360"/>
      </w:pPr>
      <w:r>
        <w:rPr>
          <w:rFonts w:ascii="Arial" w:cs="Arial" w:eastAsia="Arial" w:hAnsi="Arial"/>
          <w:color w:val="333333"/>
          <w:sz w:val="19"/>
          <w:szCs w:val="19"/>
        </w:rPr>
        <w:t xml:space="preserve">Tile 4: Streaming lag — minutes since last write (gauge per source)</w:t>
      </w:r>
    </w:p>
    <w:p>
      <w:pPr>
        <w:pStyle w:val="ListParagraph"/>
        <w:numPr>
          <w:ilvl w:val="0"/>
          <w:numId w:val="2"/>
        </w:numPr>
        <w:spacing w:after="40" w:before="20"/>
        <w:ind w:left="360"/>
      </w:pPr>
      <w:r>
        <w:rPr>
          <w:rFonts w:ascii="Arial" w:cs="Arial" w:eastAsia="Arial" w:hAnsi="Arial"/>
          <w:color w:val="333333"/>
          <w:sz w:val="19"/>
          <w:szCs w:val="19"/>
        </w:rPr>
        <w:t xml:space="preserve">Tile 5: Top 5 failing activities last 7 days (table)</w:t>
      </w:r>
    </w:p>
    <w:p>
      <w:pPr>
        <w:pStyle w:val="ListParagraph"/>
        <w:numPr>
          <w:ilvl w:val="0"/>
          <w:numId w:val="2"/>
        </w:numPr>
        <w:spacing w:after="40" w:before="20"/>
        <w:ind w:left="360"/>
      </w:pPr>
      <w:r>
        <w:rPr>
          <w:rFonts w:ascii="Arial" w:cs="Arial" w:eastAsia="Arial" w:hAnsi="Arial"/>
          <w:color w:val="333333"/>
          <w:sz w:val="19"/>
          <w:szCs w:val="19"/>
        </w:rPr>
        <w:t xml:space="preserve">Tile 6: Daily cost breakdown — ADF runs + Databricks hours (barchart)</w:t>
      </w:r>
    </w:p>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Alert Rules to Configure</w:t>
      </w:r>
    </w:p>
    <w:p>
      <w:pPr>
        <w:pStyle w:val="ListParagraph"/>
        <w:numPr>
          <w:ilvl w:val="0"/>
          <w:numId w:val="2"/>
        </w:numPr>
        <w:spacing w:after="40" w:before="20"/>
        <w:ind w:left="360"/>
      </w:pPr>
      <w:r>
        <w:rPr>
          <w:rFonts w:ascii="Arial" w:cs="Arial" w:eastAsia="Arial" w:hAnsi="Arial"/>
          <w:color w:val="333333"/>
          <w:sz w:val="19"/>
          <w:szCs w:val="19"/>
        </w:rPr>
        <w:t xml:space="preserve">Alert 1: Any ADF pipeline failure → email + Teams webhook within 5 minutes</w:t>
      </w:r>
    </w:p>
    <w:p>
      <w:pPr>
        <w:pStyle w:val="ListParagraph"/>
        <w:numPr>
          <w:ilvl w:val="0"/>
          <w:numId w:val="2"/>
        </w:numPr>
        <w:spacing w:after="40" w:before="20"/>
        <w:ind w:left="360"/>
      </w:pPr>
      <w:r>
        <w:rPr>
          <w:rFonts w:ascii="Arial" w:cs="Arial" w:eastAsia="Arial" w:hAnsi="Arial"/>
          <w:color w:val="333333"/>
          <w:sz w:val="19"/>
          <w:szCs w:val="19"/>
        </w:rPr>
        <w:t xml:space="preserve">Alert 2: Copy Activity succeeds with 0 rows → email immediately</w:t>
      </w:r>
    </w:p>
    <w:p>
      <w:pPr>
        <w:pStyle w:val="ListParagraph"/>
        <w:numPr>
          <w:ilvl w:val="0"/>
          <w:numId w:val="2"/>
        </w:numPr>
        <w:spacing w:after="40" w:before="20"/>
        <w:ind w:left="360"/>
      </w:pPr>
      <w:r>
        <w:rPr>
          <w:rFonts w:ascii="Arial" w:cs="Arial" w:eastAsia="Arial" w:hAnsi="Arial"/>
          <w:color w:val="333333"/>
          <w:sz w:val="19"/>
          <w:szCs w:val="19"/>
        </w:rPr>
        <w:t xml:space="preserve">Alert 3: Streaming Bronze write gap &gt; 5 minutes → page on-call engineer</w:t>
      </w:r>
    </w:p>
    <w:p>
      <w:pPr>
        <w:pStyle w:val="ListParagraph"/>
        <w:numPr>
          <w:ilvl w:val="0"/>
          <w:numId w:val="2"/>
        </w:numPr>
        <w:spacing w:after="40" w:before="20"/>
        <w:ind w:left="360"/>
      </w:pPr>
      <w:r>
        <w:rPr>
          <w:rFonts w:ascii="Arial" w:cs="Arial" w:eastAsia="Arial" w:hAnsi="Arial"/>
          <w:color w:val="333333"/>
          <w:sz w:val="19"/>
          <w:szCs w:val="19"/>
        </w:rPr>
        <w:t xml:space="preserve">Alert 4: Data quality score drops below 95% → email data steward</w:t>
      </w:r>
    </w:p>
    <w:p>
      <w:pPr>
        <w:pStyle w:val="ListParagraph"/>
        <w:numPr>
          <w:ilvl w:val="0"/>
          <w:numId w:val="2"/>
        </w:numPr>
        <w:spacing w:after="40" w:before="20"/>
        <w:ind w:left="360"/>
      </w:pPr>
      <w:r>
        <w:rPr>
          <w:rFonts w:ascii="Arial" w:cs="Arial" w:eastAsia="Arial" w:hAnsi="Arial"/>
          <w:color w:val="333333"/>
          <w:sz w:val="19"/>
          <w:szCs w:val="19"/>
        </w:rPr>
        <w:t xml:space="preserve">Alert 5: vCore quota exceeds 80% → email platform team before hitting limit</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480"/>
        <w:gridCol w:w="1240"/>
      </w:tblGrid>
      <w:tr>
        <w:tc>
          <w:tcPr>
            <w:tcW w:type="dxa" w:w="640"/>
            <w:tcBorders>
              <w:top w:val="single" w:color="E5E7EB" w:sz="1"/>
              <w:left w:val="single" w:color="E5E7EB" w:sz="1"/>
              <w:bottom w:val="single" w:color="E5E7EB" w:sz="1"/>
              <w:right w:val="single" w:color="E5E7EB" w:sz="1"/>
            </w:tcBorders>
            <w:shd w:fill="166534"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P6</w:t>
            </w:r>
          </w:p>
        </w:tc>
        <w:tc>
          <w:tcPr>
            <w:tcW w:type="dxa" w:w="74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20"/>
            </w:tcMar>
          </w:tcPr>
          <w:p>
            <w:r>
              <w:rPr>
                <w:rFonts w:ascii="Arial" w:cs="Arial" w:eastAsia="Arial" w:hAnsi="Arial"/>
                <w:b/>
                <w:bCs/>
                <w:color w:val="166534"/>
                <w:sz w:val="24"/>
                <w:szCs w:val="24"/>
              </w:rPr>
              <w:t xml:space="preserve">Serving + Portfolio Polish</w:t>
            </w:r>
          </w:p>
        </w:tc>
        <w:tc>
          <w:tcPr>
            <w:tcW w:type="dxa" w:w="1240"/>
            <w:tcBorders>
              <w:top w:val="single" w:color="E5E7EB" w:sz="1"/>
              <w:left w:val="single" w:color="E5E7EB" w:sz="1"/>
              <w:bottom w:val="single" w:color="E5E7EB" w:sz="1"/>
              <w:right w:val="single" w:color="E5E7EB" w:sz="1"/>
            </w:tcBorders>
            <w:shd w:fill="F8F9FA" w:val="clear"/>
            <w:tcMar>
              <w:top w:type="dxa" w:w="100"/>
              <w:left w:type="dxa" w:w="100"/>
              <w:bottom w:type="dxa" w:w="100"/>
              <w:right w:type="dxa" w:w="100"/>
            </w:tcMar>
          </w:tcPr>
          <w:p>
            <w:pPr>
              <w:jc w:val="center"/>
            </w:pPr>
            <w:r>
              <w:rPr>
                <w:rFonts w:ascii="Arial" w:cs="Arial" w:eastAsia="Arial" w:hAnsi="Arial"/>
                <w:b/>
                <w:bCs/>
                <w:color w:val="6B7280"/>
                <w:sz w:val="18"/>
                <w:szCs w:val="18"/>
              </w:rPr>
              <w:t xml:space="preserve">Week 11–12</w:t>
            </w:r>
          </w:p>
        </w:tc>
      </w:tr>
    </w:tbl>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Power BI Dashboard — 3 Report Pages</w:t>
      </w:r>
    </w:p>
    <w:p>
      <w:pPr>
        <w:pStyle w:val="ListParagraph"/>
        <w:numPr>
          <w:ilvl w:val="0"/>
          <w:numId w:val="2"/>
        </w:numPr>
        <w:spacing w:after="40" w:before="20"/>
        <w:ind w:left="360"/>
      </w:pPr>
      <w:r>
        <w:rPr>
          <w:rFonts w:ascii="Arial" w:cs="Arial" w:eastAsia="Arial" w:hAnsi="Arial"/>
          <w:color w:val="333333"/>
          <w:sz w:val="19"/>
          <w:szCs w:val="19"/>
        </w:rPr>
        <w:t xml:space="preserve">Page 1 Executive Summary: KPI cards (total transactions, fraud rate, total value), daily volume trend, transaction type breakdown donut chart</w:t>
      </w:r>
    </w:p>
    <w:p>
      <w:pPr>
        <w:pStyle w:val="ListParagraph"/>
        <w:numPr>
          <w:ilvl w:val="0"/>
          <w:numId w:val="2"/>
        </w:numPr>
        <w:spacing w:after="40" w:before="20"/>
        <w:ind w:left="360"/>
      </w:pPr>
      <w:r>
        <w:rPr>
          <w:rFonts w:ascii="Arial" w:cs="Arial" w:eastAsia="Arial" w:hAnsi="Arial"/>
          <w:color w:val="333333"/>
          <w:sz w:val="19"/>
          <w:szCs w:val="19"/>
        </w:rPr>
        <w:t xml:space="preserve">Page 2 Fraud Analytics: fraud by transaction type, fraud amount distribution, high-risk customer list, fraud trend over time</w:t>
      </w:r>
    </w:p>
    <w:p>
      <w:pPr>
        <w:pStyle w:val="ListParagraph"/>
        <w:numPr>
          <w:ilvl w:val="0"/>
          <w:numId w:val="2"/>
        </w:numPr>
        <w:spacing w:after="40" w:before="20"/>
        <w:ind w:left="360"/>
      </w:pPr>
      <w:r>
        <w:rPr>
          <w:rFonts w:ascii="Arial" w:cs="Arial" w:eastAsia="Arial" w:hAnsi="Arial"/>
          <w:color w:val="333333"/>
          <w:sz w:val="19"/>
          <w:szCs w:val="19"/>
        </w:rPr>
        <w:t xml:space="preserve">Page 3 Portfolio Overview: total AUM, top 5 assets by value, daily P&amp;L, asset class breakdown</w:t>
      </w:r>
    </w:p>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Databricks SQL — Row-Level Security</w:t>
      </w:r>
    </w:p>
    <w:p>
      <w:pPr>
        <w:spacing w:after="20" w:before="20"/>
      </w:pPr>
      <w:r>
        <w:rPr>
          <w:rFonts w:ascii="Courier New" w:cs="Courier New" w:eastAsia="Courier New" w:hAnsi="Courier New"/>
          <w:color w:val="1E40AF"/>
          <w:sz w:val="17"/>
          <w:szCs w:val="17"/>
        </w:rPr>
        <w:t xml:space="preserve">-- Grant fraud analysts read access to fraud data only</w:t>
      </w:r>
    </w:p>
    <w:p>
      <w:pPr>
        <w:spacing w:after="20" w:before="20"/>
      </w:pPr>
      <w:r>
        <w:rPr>
          <w:rFonts w:ascii="Courier New" w:cs="Courier New" w:eastAsia="Courier New" w:hAnsi="Courier New"/>
          <w:color w:val="1E40AF"/>
          <w:sz w:val="17"/>
          <w:szCs w:val="17"/>
        </w:rPr>
        <w:t xml:space="preserve">GRANT SELECT ON gold.fraud_analysis TO `fraud-analysts@clearbank.com`;</w:t>
      </w:r>
    </w:p>
    <w:p>
      <w:pPr>
        <w:spacing w:after="20" w:before="20"/>
      </w:pPr>
      <w:r>
        <w:rPr>
          <w:rFonts w:ascii="Courier New" w:cs="Courier New" w:eastAsia="Courier New" w:hAnsi="Courier New"/>
          <w:color w:val="1E40AF"/>
          <w:sz w:val="17"/>
          <w:szCs w:val="17"/>
        </w:rPr>
        <w:t xml:space="preserve">GRANT SELECT ON gold.customer_360   TO `fraud-analysts@clearbank.com`;</w:t>
      </w:r>
    </w:p>
    <w:p>
      <w:pPr>
        <w:spacing w:after="20" w:before="20"/>
      </w:pPr>
      <w:r>
        <w:rPr>
          <w:rFonts w:ascii="Courier New" w:cs="Courier New" w:eastAsia="Courier New" w:hAnsi="Courier New"/>
          <w:color w:val="1E40AF"/>
          <w:sz w:val="17"/>
          <w:szCs w:val="17"/>
        </w:rPr>
        <w:t xml:space="preserve">-- Deny access to portfolio data</w:t>
      </w:r>
    </w:p>
    <w:p>
      <w:pPr>
        <w:spacing w:after="20" w:before="20"/>
      </w:pPr>
      <w:r>
        <w:rPr>
          <w:rFonts w:ascii="Courier New" w:cs="Courier New" w:eastAsia="Courier New" w:hAnsi="Courier New"/>
          <w:color w:val="1E40AF"/>
          <w:sz w:val="17"/>
          <w:szCs w:val="17"/>
        </w:rPr>
        <w:t xml:space="preserve">REVOKE SELECT ON gold.portfolio_valuation FROM `fraud-analysts@clearbank.com`;</w:t>
      </w:r>
    </w:p>
    <w:p>
      <w:pPr>
        <w:spacing w:after="0" w:before="0"/>
      </w:pPr>
      <w:r>
        <w:rPr>
          <w:sz w:val="8"/>
          <w:szCs w:val="8"/>
        </w:rPr>
        <w:t xml:space="preserve"/>
      </w:r>
    </w:p>
    <w:p>
      <w:pPr>
        <w:spacing w:after="60" w:before="160"/>
      </w:pPr>
      <w:r>
        <w:rPr>
          <w:rFonts w:ascii="Arial" w:cs="Arial" w:eastAsia="Arial" w:hAnsi="Arial"/>
          <w:b/>
          <w:bCs/>
          <w:color w:val="0F766E"/>
          <w:sz w:val="22"/>
          <w:szCs w:val="22"/>
        </w:rPr>
        <w:t xml:space="preserve">▸  GitHub README — Portfolio Presentation</w:t>
      </w:r>
    </w:p>
    <w:p>
      <w:pPr>
        <w:pStyle w:val="ListParagraph"/>
        <w:numPr>
          <w:ilvl w:val="0"/>
          <w:numId w:val="2"/>
        </w:numPr>
        <w:spacing w:after="40" w:before="20"/>
        <w:ind w:left="360"/>
      </w:pPr>
      <w:r>
        <w:rPr>
          <w:rFonts w:ascii="Arial" w:cs="Arial" w:eastAsia="Arial" w:hAnsi="Arial"/>
          <w:color w:val="333333"/>
          <w:sz w:val="19"/>
          <w:szCs w:val="19"/>
        </w:rPr>
        <w:t xml:space="preserve">Architecture diagram (draw in draw.io or use the ASCII version — commit both)</w:t>
      </w:r>
    </w:p>
    <w:p>
      <w:pPr>
        <w:pStyle w:val="ListParagraph"/>
        <w:numPr>
          <w:ilvl w:val="0"/>
          <w:numId w:val="2"/>
        </w:numPr>
        <w:spacing w:after="40" w:before="20"/>
        <w:ind w:left="360"/>
      </w:pPr>
      <w:r>
        <w:rPr>
          <w:rFonts w:ascii="Arial" w:cs="Arial" w:eastAsia="Arial" w:hAnsi="Arial"/>
          <w:color w:val="333333"/>
          <w:sz w:val="19"/>
          <w:szCs w:val="19"/>
        </w:rPr>
        <w:t xml:space="preserve">Screenshot: ADF pipeline monitor showing all green runs</w:t>
      </w:r>
    </w:p>
    <w:p>
      <w:pPr>
        <w:pStyle w:val="ListParagraph"/>
        <w:numPr>
          <w:ilvl w:val="0"/>
          <w:numId w:val="2"/>
        </w:numPr>
        <w:spacing w:after="40" w:before="20"/>
        <w:ind w:left="360"/>
      </w:pPr>
      <w:r>
        <w:rPr>
          <w:rFonts w:ascii="Arial" w:cs="Arial" w:eastAsia="Arial" w:hAnsi="Arial"/>
          <w:color w:val="333333"/>
          <w:sz w:val="19"/>
          <w:szCs w:val="19"/>
        </w:rPr>
        <w:t xml:space="preserve">Screenshot: Databricks Spark UI showing balanced task distribution</w:t>
      </w:r>
    </w:p>
    <w:p>
      <w:pPr>
        <w:pStyle w:val="ListParagraph"/>
        <w:numPr>
          <w:ilvl w:val="0"/>
          <w:numId w:val="2"/>
        </w:numPr>
        <w:spacing w:after="40" w:before="20"/>
        <w:ind w:left="360"/>
      </w:pPr>
      <w:r>
        <w:rPr>
          <w:rFonts w:ascii="Arial" w:cs="Arial" w:eastAsia="Arial" w:hAnsi="Arial"/>
          <w:color w:val="333333"/>
          <w:sz w:val="19"/>
          <w:szCs w:val="19"/>
        </w:rPr>
        <w:t xml:space="preserve">Screenshot: Azure Workbook ops dashboard with real data</w:t>
      </w:r>
    </w:p>
    <w:p>
      <w:pPr>
        <w:pStyle w:val="ListParagraph"/>
        <w:numPr>
          <w:ilvl w:val="0"/>
          <w:numId w:val="2"/>
        </w:numPr>
        <w:spacing w:after="40" w:before="20"/>
        <w:ind w:left="360"/>
      </w:pPr>
      <w:r>
        <w:rPr>
          <w:rFonts w:ascii="Arial" w:cs="Arial" w:eastAsia="Arial" w:hAnsi="Arial"/>
          <w:color w:val="333333"/>
          <w:sz w:val="19"/>
          <w:szCs w:val="19"/>
        </w:rPr>
        <w:t xml:space="preserve">Screenshot: Power BI dashboard with transaction and fraud data</w:t>
      </w:r>
    </w:p>
    <w:p>
      <w:pPr>
        <w:pStyle w:val="ListParagraph"/>
        <w:numPr>
          <w:ilvl w:val="0"/>
          <w:numId w:val="2"/>
        </w:numPr>
        <w:spacing w:after="40" w:before="20"/>
        <w:ind w:left="360"/>
      </w:pPr>
      <w:r>
        <w:rPr>
          <w:rFonts w:ascii="Arial" w:cs="Arial" w:eastAsia="Arial" w:hAnsi="Arial"/>
          <w:color w:val="333333"/>
          <w:sz w:val="19"/>
          <w:szCs w:val="19"/>
        </w:rPr>
        <w:t xml:space="preserve">Screenshot: Log Analytics workspace with KQL query results</w:t>
      </w:r>
    </w:p>
    <w:p>
      <w:pPr>
        <w:pStyle w:val="ListParagraph"/>
        <w:numPr>
          <w:ilvl w:val="0"/>
          <w:numId w:val="2"/>
        </w:numPr>
        <w:spacing w:after="40" w:before="20"/>
        <w:ind w:left="360"/>
      </w:pPr>
      <w:r>
        <w:rPr>
          <w:rFonts w:ascii="Arial" w:cs="Arial" w:eastAsia="Arial" w:hAnsi="Arial"/>
          <w:color w:val="333333"/>
          <w:sz w:val="19"/>
          <w:szCs w:val="19"/>
        </w:rPr>
        <w:t xml:space="preserve">Architecture decision log: explain WHY you chose Delta MERGE over overwrite, WHY you used broadcast joins, WHY streaming uses 30-second triggers</w:t>
      </w:r>
    </w:p>
    <w:p>
      <w:r>
        <w:br w:type="page"/>
      </w:r>
    </w:p>
    <w:p>
      <w:pPr>
        <w:pBdr>
          <w:bottom w:val="single" w:color="1565C0" w:sz="8" w:space="4"/>
        </w:pBdr>
        <w:spacing w:after="120" w:before="320"/>
      </w:pPr>
      <w:r>
        <w:rPr>
          <w:rFonts w:ascii="Arial" w:cs="Arial" w:eastAsia="Arial" w:hAnsi="Arial"/>
          <w:b/>
          <w:bCs/>
          <w:color w:val="0D1B2A"/>
          <w:sz w:val="32"/>
          <w:szCs w:val="32"/>
        </w:rPr>
        <w:t xml:space="preserve">Section 6 — Complete Azure Services Ecosystem</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Tier / Cost</w:t>
            </w:r>
          </w:p>
        </w:tc>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Role in NEXUS</w:t>
            </w:r>
          </w:p>
        </w:tc>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CIBC Equivalent</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ADLS Gen2</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LRS, pay-per-GB ~$0.02/GB</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All data storage — Bronze, Silver, Gold</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EDGE platform primary storage</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Azure Data Factory</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~$1/1000 activity runs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Batch orchestration and scheduling</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CIBC ADF pipelines</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Databricks Community</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Free forever</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All PySpark notebook development</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Mirrors Databricks workspace</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Azure SQL Database</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Free tier (5 DTU)</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Customer master data source + watermark control</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Source system simulation</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Azure Event Hubs</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Basic, ~$0.028/million events</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Streaming ingestion broker</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CIBC streaming feeds</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Azure Key Vault</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Standard, ~$0.03/10K ops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All secrets and credentials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CIBC security standard</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Log Analytics</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5GB free/month</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KQL queries and monitoring</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CIBC Azure Monitor</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Azure Form Recognizer</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Free tier: 500 pages/month</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PDF loan application extraction</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AI-powered ingestion</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GitHub</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Free</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Version control + CI/CD</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CIBC DevOps standard</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Power BI Desktop</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Free</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Business intelligence dashboard</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CIBC reporting layer</w:t>
            </w:r>
          </w:p>
        </w:tc>
      </w:tr>
    </w:tbl>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Cost Estimate — Full 12-Week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100"/>
            <w:tcBorders>
              <w:top w:val="single" w:color="E5E7EB" w:sz="1"/>
              <w:left w:val="single" w:color="E5E7EB" w:sz="1"/>
              <w:bottom w:val="single" w:color="E5E7EB" w:sz="1"/>
              <w:right w:val="single" w:color="E5E7EB" w:sz="1"/>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100"/>
            <w:tcBorders>
              <w:top w:val="single" w:color="E5E7EB" w:sz="1"/>
              <w:left w:val="single" w:color="E5E7EB" w:sz="1"/>
              <w:bottom w:val="single" w:color="E5E7EB" w:sz="1"/>
              <w:right w:val="single" w:color="E5E7EB" w:sz="1"/>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Monthly Est.</w:t>
            </w:r>
          </w:p>
        </w:tc>
        <w:tc>
          <w:tcPr>
            <w:tcW w:type="dxa" w:w="100"/>
            <w:tcBorders>
              <w:top w:val="single" w:color="E5E7EB" w:sz="1"/>
              <w:left w:val="single" w:color="E5E7EB" w:sz="1"/>
              <w:bottom w:val="single" w:color="E5E7EB" w:sz="1"/>
              <w:right w:val="single" w:color="E5E7EB" w:sz="1"/>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12-Week Total</w:t>
            </w:r>
          </w:p>
        </w:tc>
        <w:tc>
          <w:tcPr>
            <w:tcW w:type="dxa" w:w="100"/>
            <w:tcBorders>
              <w:top w:val="single" w:color="E5E7EB" w:sz="1"/>
              <w:left w:val="single" w:color="E5E7EB" w:sz="1"/>
              <w:bottom w:val="single" w:color="E5E7EB" w:sz="1"/>
              <w:right w:val="single" w:color="E5E7EB" w:sz="1"/>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ADLS Gen2 (~5GB data)</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$1.00</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$3.00</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Tiny dataset</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Azure Data Factory (~500 runs)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$2.00</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$6.00</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Keep runs minimal in dev</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Azure Event Hubs (~10M events)</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$1.50</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$4.50</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Basic tier</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Azure SQL Database (Free tier)</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$0.00</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$0.00</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Free 5 DTU tier</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Azure Key Vault</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$0.10</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$0.30</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Minimal operations</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Log Analytics (free 5GB)</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$0.00</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$0.00</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Stay within free tier</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Azure Form Recognizer (free 500pg)</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$0.00</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$0.00</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b w:val="false"/>
                <w:bCs w:val="false"/>
                <w:color w:val="333333"/>
                <w:sz w:val="17"/>
                <w:szCs w:val="17"/>
              </w:rPr>
              <w:t xml:space="preserve">Stay within free tier</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Azure Databricks (testing only)</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$5.00</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$15.00</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val="false"/>
                <w:bCs w:val="false"/>
                <w:color w:val="333333"/>
                <w:sz w:val="17"/>
                <w:szCs w:val="17"/>
              </w:rPr>
              <w:t xml:space="preserve">1-2 hrs max per week</w:t>
            </w:r>
          </w:p>
        </w:tc>
      </w:tr>
      <w:tr>
        <w:tc>
          <w:tcPr>
            <w:tcW w:type="dxa" w:w="100"/>
            <w:tcBorders>
              <w:top w:val="single" w:color="E5E7EB" w:sz="1"/>
              <w:left w:val="single" w:color="E5E7EB" w:sz="1"/>
              <w:bottom w:val="single" w:color="E5E7EB" w:sz="1"/>
              <w:right w:val="single" w:color="E5E7EB" w:sz="1"/>
            </w:tcBorders>
            <w:shd w:fill="F0FDF4" w:val="clear"/>
            <w:tcMar>
              <w:top w:type="dxa" w:w="70"/>
              <w:left w:type="dxa" w:w="100"/>
              <w:bottom w:type="dxa" w:w="70"/>
              <w:right w:type="dxa" w:w="100"/>
            </w:tcMar>
          </w:tcPr>
          <w:p>
            <w:r>
              <w:rPr>
                <w:rFonts w:ascii="Arial" w:cs="Arial" w:eastAsia="Arial" w:hAnsi="Arial"/>
                <w:b/>
                <w:bCs/>
                <w:color w:val="166534"/>
                <w:sz w:val="17"/>
                <w:szCs w:val="17"/>
              </w:rPr>
              <w:t xml:space="preserve">TOTAL</w:t>
            </w:r>
          </w:p>
        </w:tc>
        <w:tc>
          <w:tcPr>
            <w:tcW w:type="dxa" w:w="100"/>
            <w:tcBorders>
              <w:top w:val="single" w:color="E5E7EB" w:sz="1"/>
              <w:left w:val="single" w:color="E5E7EB" w:sz="1"/>
              <w:bottom w:val="single" w:color="E5E7EB" w:sz="1"/>
              <w:right w:val="single" w:color="E5E7EB" w:sz="1"/>
            </w:tcBorders>
            <w:shd w:fill="F0FDF4" w:val="clear"/>
            <w:tcMar>
              <w:top w:type="dxa" w:w="70"/>
              <w:left w:type="dxa" w:w="100"/>
              <w:bottom w:type="dxa" w:w="70"/>
              <w:right w:type="dxa" w:w="100"/>
            </w:tcMar>
          </w:tcPr>
          <w:p>
            <w:r>
              <w:rPr>
                <w:rFonts w:ascii="Arial" w:cs="Arial" w:eastAsia="Arial" w:hAnsi="Arial"/>
                <w:b/>
                <w:bCs/>
                <w:color w:val="166534"/>
                <w:sz w:val="17"/>
                <w:szCs w:val="17"/>
              </w:rPr>
              <w:t xml:space="preserve">$9.60</w:t>
            </w:r>
          </w:p>
        </w:tc>
        <w:tc>
          <w:tcPr>
            <w:tcW w:type="dxa" w:w="100"/>
            <w:tcBorders>
              <w:top w:val="single" w:color="E5E7EB" w:sz="1"/>
              <w:left w:val="single" w:color="E5E7EB" w:sz="1"/>
              <w:bottom w:val="single" w:color="E5E7EB" w:sz="1"/>
              <w:right w:val="single" w:color="E5E7EB" w:sz="1"/>
            </w:tcBorders>
            <w:shd w:fill="F0FDF4" w:val="clear"/>
            <w:tcMar>
              <w:top w:type="dxa" w:w="70"/>
              <w:left w:type="dxa" w:w="100"/>
              <w:bottom w:type="dxa" w:w="70"/>
              <w:right w:type="dxa" w:w="100"/>
            </w:tcMar>
          </w:tcPr>
          <w:p>
            <w:r>
              <w:rPr>
                <w:rFonts w:ascii="Arial" w:cs="Arial" w:eastAsia="Arial" w:hAnsi="Arial"/>
                <w:b/>
                <w:bCs/>
                <w:color w:val="166534"/>
                <w:sz w:val="17"/>
                <w:szCs w:val="17"/>
              </w:rPr>
              <w:t xml:space="preserve">$28.80</w:t>
            </w:r>
          </w:p>
        </w:tc>
        <w:tc>
          <w:tcPr>
            <w:tcW w:type="dxa" w:w="100"/>
            <w:tcBorders>
              <w:top w:val="single" w:color="E5E7EB" w:sz="1"/>
              <w:left w:val="single" w:color="E5E7EB" w:sz="1"/>
              <w:bottom w:val="single" w:color="E5E7EB" w:sz="1"/>
              <w:right w:val="single" w:color="E5E7EB" w:sz="1"/>
            </w:tcBorders>
            <w:shd w:fill="F0FDF4" w:val="clear"/>
            <w:tcMar>
              <w:top w:type="dxa" w:w="70"/>
              <w:left w:type="dxa" w:w="100"/>
              <w:bottom w:type="dxa" w:w="70"/>
              <w:right w:type="dxa" w:w="100"/>
            </w:tcMar>
          </w:tcPr>
          <w:p>
            <w:r>
              <w:rPr>
                <w:rFonts w:ascii="Arial" w:cs="Arial" w:eastAsia="Arial" w:hAnsi="Arial"/>
                <w:b/>
                <w:bCs/>
                <w:color w:val="166534"/>
                <w:sz w:val="17"/>
                <w:szCs w:val="17"/>
              </w:rPr>
              <w:t xml:space="preserve">Well within $200 credit</w:t>
            </w:r>
          </w:p>
        </w:tc>
      </w:tr>
    </w:tbl>
    <w:p>
      <w:r>
        <w:br w:type="page"/>
      </w:r>
    </w:p>
    <w:p>
      <w:pPr>
        <w:pBdr>
          <w:bottom w:val="single" w:color="1565C0" w:sz="8" w:space="4"/>
        </w:pBdr>
        <w:spacing w:after="120" w:before="320"/>
      </w:pPr>
      <w:r>
        <w:rPr>
          <w:rFonts w:ascii="Arial" w:cs="Arial" w:eastAsia="Arial" w:hAnsi="Arial"/>
          <w:b/>
          <w:bCs/>
          <w:color w:val="0D1B2A"/>
          <w:sz w:val="32"/>
          <w:szCs w:val="32"/>
        </w:rPr>
        <w:t xml:space="preserve">Section 7 — What This Proves to CIBC</w:t>
      </w:r>
    </w:p>
    <w:p>
      <w:pPr>
        <w:spacing w:after="0" w:before="0"/>
      </w:pPr>
      <w:r>
        <w:rPr>
          <w:sz w:val="8"/>
          <w:szCs w:val="8"/>
        </w:rPr>
        <w:t xml:space="preserve"/>
      </w:r>
    </w:p>
    <w:p>
      <w:pPr>
        <w:spacing w:after="80" w:before="40"/>
      </w:pPr>
      <w:r>
        <w:rPr>
          <w:rFonts w:ascii="Arial" w:cs="Arial" w:eastAsia="Arial" w:hAnsi="Arial"/>
          <w:color w:val="333333"/>
          <w:sz w:val="20"/>
          <w:szCs w:val="20"/>
        </w:rPr>
        <w:t xml:space="preserve">Every component of NEXUS maps directly to a requirement in the Azure Data Platform Support Engineer job description. This table is what you walk through in the technical interview.</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NEXUS Component</w:t>
            </w:r>
          </w:p>
        </w:tc>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Skill Demonstrated</w:t>
            </w:r>
          </w:p>
        </w:tc>
        <w:tc>
          <w:tcPr>
            <w:tcW w:type="dxa" w:w="100"/>
            <w:tcBorders>
              <w:top w:val="single" w:color="E5E7EB" w:sz="1"/>
              <w:left w:val="single" w:color="E5E7EB" w:sz="1"/>
              <w:bottom w:val="single" w:color="E5E7EB" w:sz="1"/>
              <w:right w:val="single" w:color="E5E7EB"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CIBC Job Description Match</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8-source ADF ingestion pipeline</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ADF pipeline design, Copy Activities, triggers, Linked Services</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Azure Data Factory — explicitly required</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Structured Streaming with Event Hubs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Spark Streaming, watermarks, checkpointing, exactly-once</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Databricks platform support</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PySpark Bronze→Silver→Gold notebooks</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PySpark DataFrames, transformations, Delta Lake writes</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PySpark and Spark notebooks</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Delta Lake MERGE + OPTIMIZE ZORDER</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Delta Lake advanced features, performance tuning</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ADLS + Databricks platform</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Schema drift detection + shim</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Production support instincts, defensive coding</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Data quality checks, corrective actions</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Watermark-based CDC incremental load</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Advanced ADF patterns, control tables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Data pipeline concepts ETL/ELT</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KQL pipeline health queries</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KQL proficiency, Azure Monitor</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KQL — explicitly required</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Azure Workbook ops dashboard</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Azure Workbook + Grafana equivalent</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Azure Workbooks — explicitly required</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5 alert rules in Azure Monitor</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Proactive monitoring, SLI/SLO thinking</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Site Reliability Engineering practices</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Key Vault for all secrets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Security best practices, enterprise standards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Production support engineering</w:t>
            </w:r>
          </w:p>
        </w:tc>
      </w:tr>
      <w:tr>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Row-level security in Databricks SQL</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Data governance, access control</w:t>
            </w:r>
          </w:p>
        </w:tc>
        <w:tc>
          <w:tcPr>
            <w:tcW w:type="dxa" w:w="100"/>
            <w:tcBorders>
              <w:top w:val="single" w:color="E5E7EB" w:sz="1"/>
              <w:left w:val="single" w:color="E5E7EB" w:sz="1"/>
              <w:bottom w:val="single" w:color="E5E7EB" w:sz="1"/>
              <w:right w:val="single" w:color="E5E7EB" w:sz="1"/>
            </w:tcBorders>
            <w:shd w:fill="F8F9FA" w:val="clear"/>
            <w:tcMar>
              <w:top w:type="dxa" w:w="70"/>
              <w:left w:type="dxa" w:w="100"/>
              <w:bottom w:type="dxa" w:w="70"/>
              <w:right w:type="dxa" w:w="100"/>
            </w:tcMar>
          </w:tcPr>
          <w:p>
            <w:r>
              <w:rPr>
                <w:rFonts w:ascii="Arial" w:cs="Arial" w:eastAsia="Arial" w:hAnsi="Arial"/>
                <w:color w:val="333333"/>
                <w:sz w:val="17"/>
                <w:szCs w:val="17"/>
              </w:rPr>
              <w:t xml:space="preserve">Banking compliance standards</w:t>
            </w:r>
          </w:p>
        </w:tc>
      </w:tr>
      <w:tr>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GitHub with architecture decisions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Engineering documentation, professional practices</w:t>
            </w:r>
          </w:p>
        </w:tc>
        <w:tc>
          <w:tcPr>
            <w:tcW w:type="dxa" w:w="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333333"/>
                <w:sz w:val="17"/>
                <w:szCs w:val="17"/>
              </w:rPr>
              <w:t xml:space="preserve">Communication skills requirement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40"/>
              <w:left w:type="dxa" w:w="200"/>
              <w:bottom w:type="dxa" w:w="140"/>
              <w:right w:type="dxa" w:w="200"/>
            </w:tcMar>
          </w:tcPr>
          <w:p>
            <w:pPr>
              <w:jc w:val="center"/>
            </w:pPr>
            <w:r>
              <w:rPr>
                <w:rFonts w:ascii="Arial" w:cs="Arial" w:eastAsia="Arial" w:hAnsi="Arial"/>
                <w:b/>
                <w:bCs/>
                <w:color w:val="0D1B2A"/>
                <w:sz w:val="26"/>
                <w:szCs w:val="26"/>
              </w:rPr>
              <w:t xml:space="preserve">The One Paragraph You Say in the Interview</w:t>
            </w:r>
          </w:p>
          <w:p>
            <w:pPr>
              <w:jc w:val="center"/>
            </w:pPr>
            <w:r>
              <w:rPr>
                <w:rFonts w:ascii="Arial" w:cs="Arial" w:eastAsia="Arial" w:hAnsi="Arial"/>
                <w:color w:val="0D1B2A"/>
                <w:sz w:val="19"/>
                <w:szCs w:val="19"/>
              </w:rPr>
              <w:t xml:space="preserve">"I built Project NEXUS — an enterprise Azure data platform that ingests from eight heterogeneous sources including CSV batch files, a SQL database with incremental CDC, real-time JSON streams via Event Hubs, XML from a legacy system, and PDFs processed through Azure Form Recognizer. It uses ADF for orchestration, Databricks PySpark for transformation through a Bronze-Silver-Gold medallion architecture on ADLS Gen2 with Delta Lake, monitored via KQL queries and Azure Workbooks, and served through Power BI. I deliberately built in and solved ten production challenges including schema drift, streaming deduplication, late-arriving data, data skew, small files, and secret rotation — because those are exactly the problems I would face on CIBC's EDGE platform."</w:t>
            </w:r>
          </w:p>
        </w:tc>
      </w:tr>
    </w:tbl>
    <w:p>
      <w:pPr>
        <w:spacing w:after="0" w:before="0"/>
      </w:pPr>
      <w:r>
        <w:rPr>
          <w:sz w:val="16"/>
          <w:szCs w:val="16"/>
        </w:rPr>
        <w:t xml:space="preserve"/>
      </w:r>
    </w:p>
    <w:p>
      <w:pPr>
        <w:spacing w:after="80" w:before="240"/>
      </w:pPr>
      <w:r>
        <w:rPr>
          <w:rFonts w:ascii="Arial" w:cs="Arial" w:eastAsia="Arial" w:hAnsi="Arial"/>
          <w:b/>
          <w:bCs/>
          <w:color w:val="1565C0"/>
          <w:sz w:val="26"/>
          <w:szCs w:val="26"/>
        </w:rPr>
        <w:t xml:space="preserve">Final Words</w:t>
      </w:r>
    </w:p>
    <w:p>
      <w:pPr>
        <w:spacing w:after="80" w:before="40"/>
      </w:pPr>
      <w:r>
        <w:rPr>
          <w:rFonts w:ascii="Arial" w:cs="Arial" w:eastAsia="Arial" w:hAnsi="Arial"/>
          <w:color w:val="333333"/>
          <w:sz w:val="20"/>
          <w:szCs w:val="20"/>
        </w:rPr>
        <w:t xml:space="preserve">Start with Week 1 today. The first day's goal is simple: create the resource group, storage account, and three containers in Azure. That takes 20 minutes. Then upload a sample CSV to raw-landing. Run dbutils.fs.ls() in Databricks Community Edition and see the file. That first green tick is how every great project begins.</w:t>
      </w:r>
    </w:p>
    <w:p>
      <w:pPr>
        <w:spacing w:after="80" w:before="40"/>
      </w:pPr>
      <w:r>
        <w:rPr>
          <w:rFonts w:ascii="Arial" w:cs="Arial" w:eastAsia="Arial" w:hAnsi="Arial"/>
          <w:color w:val="333333"/>
          <w:sz w:val="20"/>
          <w:szCs w:val="20"/>
        </w:rPr>
        <w:t xml:space="preserve">Commit to GitHub after every single session — even if it's just a half-written notebook. The commit history itself tells a story to anyone reviewing your portfolio. It shows consistency, progression, and professional engineering discipline.</w:t>
      </w:r>
    </w:p>
    <w:p>
      <w:pPr>
        <w:spacing w:after="80" w:before="40"/>
      </w:pPr>
      <w:r>
        <w:rPr>
          <w:rFonts w:ascii="Arial" w:cs="Arial" w:eastAsia="Arial" w:hAnsi="Arial"/>
          <w:color w:val="333333"/>
          <w:sz w:val="20"/>
          <w:szCs w:val="20"/>
        </w:rPr>
        <w:t xml:space="preserve">By Week 12, you will have solved problems that most Azure engineers have only read about. That is what CIBC is hiring for.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6B7280"/>
        <w:sz w:val="16"/>
        <w:szCs w:val="16"/>
      </w:rPr>
      <w:t xml:space="preserve">Project NEXUS — Enterprise Azure Data Platform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2026-04-11T00:54:49.504Z</dcterms:created>
  <dcterms:modified xsi:type="dcterms:W3CDTF">2026-04-11T00:54:49.505Z</dcterms:modified>
</cp:coreProperties>
</file>

<file path=docProps/custom.xml><?xml version="1.0" encoding="utf-8"?>
<Properties xmlns="http://schemas.openxmlformats.org/officeDocument/2006/custom-properties" xmlns:vt="http://schemas.openxmlformats.org/officeDocument/2006/docPropsVTypes"/>
</file>