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AeroCool Vendor Submittal — CRAH Package</w:t>
      </w:r>
    </w:p>
    <w:p>
      <w:pPr>
        <w:pStyle w:val="Heading1"/>
      </w:pPr>
      <w:r>
        <w:t xml:space="preserve">Submitted model: CRAH-01</w:t>
      </w:r>
    </w:p>
    <w:p>
      <w:r>
        <w:t xml:space="preserve">Sensible cooling capacity: 120 kW.</w:t>
      </w:r>
    </w:p>
    <w:p>
      <w:r>
        <w:t xml:space="preserve">Power supply: 415 V, three phase, 50 Hz.</w:t>
      </w:r>
    </w:p>
    <w:p>
      <w:r>
        <w:t xml:space="preserve">Protection class: IP55.</w:t>
      </w:r>
    </w:p>
    <w:p>
      <w:r>
        <w:t xml:space="preserve">Control redundancy: N+1.</w:t>
      </w:r>
    </w:p>
    <w:p>
      <w:pPr>
        <w:pStyle w:val="Heading1"/>
      </w:pPr>
      <w:r>
        <w:t xml:space="preserve">Submitted model: CRAH-02</w:t>
      </w:r>
    </w:p>
    <w:p>
      <w:r>
        <w:t xml:space="preserve">Sensible cooling capacity: 120 kW.</w:t>
      </w:r>
    </w:p>
    <w:p>
      <w:r>
        <w:t xml:space="preserve">Power supply: 415 V, three phase, 50 Hz.</w:t>
      </w:r>
    </w:p>
    <w:p>
      <w:r>
        <w:t xml:space="preserve">Protection class: IP54.</w:t>
      </w:r>
    </w:p>
    <w:p>
      <w:r>
        <w:t xml:space="preserve">Control redundancy: N+1.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2026-07-17T07:23:20.375Z</dcterms:created>
  <dcterms:modified xsi:type="dcterms:W3CDTF">2026-07-17T07:23:20.376Z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