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Orion DC-01 Commissioning Release Checklist</w:t>
      </w:r>
    </w:p>
    <w:p>
      <w:pPr>
        <w:pStyle w:val="Heading1"/>
      </w:pPr>
      <w:r>
        <w:t xml:space="preserve">Pre-release gate</w:t>
      </w:r>
    </w:p>
    <w:p>
      <w:r>
        <w:t xml:space="preserve">All capacity, voltage and redundancy deviations must be resolved before electrical energisation.</w:t>
      </w:r>
    </w:p>
    <w:p>
      <w:r>
        <w:t xml:space="preserve">Vendor submittals must reference an approved technical specification.</w:t>
      </w:r>
    </w:p>
    <w:p>
      <w:r>
        <w:t xml:space="preserve">Factory acceptance test certificates must be reviewed before integrated systems testing.</w:t>
      </w:r>
    </w:p>
    <w:p>
      <w:pPr>
        <w:pStyle w:val="Heading1"/>
      </w:pPr>
      <w:r>
        <w:t xml:space="preserve">Evidence requirement</w:t>
      </w:r>
    </w:p>
    <w:p>
      <w:r>
        <w:t xml:space="preserve">Each open finding must preserve the approved requirement and submitted evidence with a source-page reference.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2026-07-17T07:23:20.544Z</dcterms:created>
  <dcterms:modified xsi:type="dcterms:W3CDTF">2026-07-17T07:23:20.544Z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