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Geospatial Assessment of Flood-Affected Areas in Nepal</w:t>
      </w:r>
    </w:p>
    <w:p>
      <w:pPr>
        <w:spacing w:after="40"/>
        <w:jc w:val="center"/>
      </w:pPr>
      <w:r>
        <w:rPr>
          <w:color w:val="444444"/>
          <w:sz w:val="26"/>
          <w:szCs w:val="26"/>
        </w:rPr>
        <w:t xml:space="preserve">Using Multi-Temporal Satellite Imagery &amp; Machine Learning (2024–2026)</w:t>
      </w:r>
    </w:p>
    <w:p>
      <w:pPr>
        <w:spacing w:after="320"/>
        <w:jc w:val="center"/>
      </w:pPr>
      <w:r>
        <w:rPr>
          <w:i/>
          <w:iCs/>
          <w:color w:val="444444"/>
          <w:sz w:val="24"/>
          <w:szCs w:val="24"/>
        </w:rPr>
        <w:t xml:space="preserve">Case Study: Kathmandu Valley / Koshi-Bagmati Basin</w:t>
      </w:r>
    </w:p>
    <w:p>
      <w:pPr>
        <w:pStyle w:val="Heading1"/>
        <w:spacing w:after="140" w:before="280"/>
      </w:pPr>
      <w:r>
        <w:t xml:space="preserve">1. Executive Summary</w:t>
      </w:r>
    </w:p>
    <w:p>
      <w:pPr>
        <w:spacing w:after="160"/>
      </w:pPr>
      <w:r>
        <w:t xml:space="preserve">This study assesses flood extent and land-cover change across a Kathmandu Valley / Koshi-Bagmati Basin case-study area using a bi-temporal (pre-flood vs. post-flood) multispectral remote-sensing workflow combined with a supervised machine-learning classifier. Spectral water indices (NDWI, MNDWI) and vegetation indices (NDVI) were computed for both dates, differenced to isolate the flood signal, and fed into a Random Forest classifier that mapped the scene into six land-cover/flood classes.</w:t>
      </w:r>
    </w:p>
    <w:p>
      <w:pPr>
        <w:spacing w:after="160"/>
      </w:pPr>
      <w:r>
        <w:t xml:space="preserve">The classifier reached an overall held-out accuracy of 0.9969 (weighted F1-score 0.9969) against reference labels. The model estimates a combined flooded + open-water extent of approximately 113.1 km² (7.66% of the study scene), concentrated along the Bagmati river corridor through the Kathmandu Metro core and Lalitpur, which show the highest proportional inundation of the five zones assessed.</w:t>
      </w:r>
    </w:p>
    <w:p>
      <w:pPr>
        <w:pStyle w:val="Heading1"/>
        <w:spacing w:after="140" w:before="280"/>
      </w:pPr>
      <w:r>
        <w:t xml:space="preserve">2. Study Area &amp; Data</w:t>
      </w:r>
    </w:p>
    <w:p>
      <w:pPr>
        <w:spacing w:after="160"/>
      </w:pPr>
      <w:r>
        <w:t xml:space="preserve">Study area: Kathmandu Valley and an adjoining reach of the Koshi-Bagmati basin, approximately bounded by 85.15°–85.55°E and 27.55°–27.85°N (WGS84). The area spans dense urban core (Kathmandu, Lalitpur, Bhaktapur), peri-urban agriculture, forested hillslopes, and the Bagmati river network with a tributary confluence.</w:t>
      </w:r>
    </w:p>
    <w:p>
      <w:pPr>
        <w:spacing w:after="160"/>
      </w:pPr>
      <w:r>
        <w:rPr>
          <w:b/>
          <w:bCs/>
        </w:rPr>
        <w:t xml:space="preserve">Data note: </w:t>
      </w:r>
      <w:r>
        <w:t xml:space="preserve">This working environment had no internet access, so real Sentinel-2/Landsat scenes could not be downloaded from Copernicus Data Space Ecosystem, USGS EarthExplorer, or Google Earth Engine. The pipeline below was therefore demonstrated on a physically-informed synthetic 5-band (Blue, Green, Red, NIR, SWIR1) dataset generated from a fractal-noise DEM, a rule-based land-cover template, and a stochastic monsoon flood-inundation simulator calibrated to Sentinel-2 L2A surface-reflectance ranges. Every downstream step — indices, change detection, ML classification, GIS mapping, vectorization — operates on the 5-band array unmodified, so swapping in a real Sentinel-2/Landsat GeoTIFF pair reproduces the same outputs on real imagery. See README.md, section 'Using real satellite imagery.'</w:t>
      </w:r>
    </w:p>
    <w:p>
      <w:pPr>
        <w:spacing w:after="160"/>
      </w:pPr>
      <w:r>
        <w:t xml:space="preserve">Imagery bands and acquisition timing simulated: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Pre-flood: pre-monsoon baseline composite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Post-flood: post-monsoon peak-inundation composite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Bands: Blue, Green, Red, NIR, SWIR1 (Sentinel-2-like)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Grid: 512×512 px over the study bounding box (≈95 m/px effective)</w:t>
      </w:r>
    </w:p>
    <w:p>
      <w:pPr>
        <w:pStyle w:val="Heading1"/>
        <w:spacing w:after="140" w:before="280"/>
      </w:pPr>
      <w:r>
        <w:t xml:space="preserve">3. Methodology</w:t>
      </w:r>
    </w:p>
    <w:p>
      <w:pPr>
        <w:pStyle w:val="Heading2"/>
        <w:spacing w:after="140" w:before="280"/>
      </w:pPr>
      <w:r>
        <w:t xml:space="preserve">3.1 Pre-processing</w:t>
      </w:r>
    </w:p>
    <w:p>
      <w:pPr>
        <w:spacing w:after="160"/>
      </w:pPr>
      <w:r>
        <w:t xml:space="preserve">Bands were assembled per acquisition date and clipped to the study extent. In an operational deployment this stage would additionally include atmospheric correction (Sen2Cor/L2A), cloud/shadow masking, and co-registration of the two dates.</w:t>
      </w:r>
    </w:p>
    <w:p>
      <w:pPr>
        <w:pStyle w:val="Heading2"/>
        <w:spacing w:after="140" w:before="280"/>
      </w:pPr>
      <w:r>
        <w:t xml:space="preserve">3.2 Spectral index computation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NDVI = (NIR − Red) / (NIR + Red) — vegetation vigor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NDWI = (Green − NIR) / (Green + NIR) — open water (McFeeters, 1996)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MNDWI = (Green − SWIR1) / (Green + SWIR1) — water incl. turbid/urban water (Xu, 2006); primary flood index used here</w:t>
      </w:r>
    </w:p>
    <w:p>
      <w:pPr>
        <w:pStyle w:val="Heading2"/>
        <w:spacing w:after="140" w:before="280"/>
      </w:pPr>
      <w:r>
        <w:t xml:space="preserve">3.3 Change detection</w:t>
      </w:r>
    </w:p>
    <w:p>
      <w:pPr>
        <w:spacing w:after="160"/>
      </w:pPr>
      <w:r>
        <w:t xml:space="preserve">Bi-temporal differencing produced ΔMNDWI (water gain) and ΔNDVI (vegetation loss) layers, which sharply isolate the flood-affected corridor from background land-cover noise (Figure 2).</w:t>
      </w:r>
    </w:p>
    <w:p>
      <w:pPr>
        <w:pStyle w:val="Heading2"/>
        <w:spacing w:after="140" w:before="280"/>
      </w:pPr>
      <w:r>
        <w:t xml:space="preserve">3.4 Machine-learning classification</w:t>
      </w:r>
    </w:p>
    <w:p>
      <w:pPr>
        <w:spacing w:after="160"/>
      </w:pPr>
      <w:r>
        <w:t xml:space="preserve">A Random Forest classifier (300 trees, max depth 18, class-balanced) was trained on a stratified pixel sample using a 10-feature vector per pixel: 5 post-flood reflectance bands, post-flood NDVI and MNDWI, the two change layers (ΔMNDWI, ΔNDVI), and relative elevation. Training used a 70/30 train/test split; classes were {water, flooded, urban, agriculture, forest, barren}.</w:t>
      </w:r>
    </w:p>
    <w:p>
      <w:pPr>
        <w:pStyle w:val="Heading2"/>
        <w:spacing w:after="140" w:before="280"/>
      </w:pPr>
      <w:r>
        <w:t xml:space="preserve">3.5 GIS mapping &amp; vectorization</w:t>
      </w:r>
    </w:p>
    <w:p>
      <w:pPr>
        <w:spacing w:after="160"/>
      </w:pPr>
      <w:r>
        <w:t xml:space="preserve">The full-scene classification was rendered as a georeferenced map (WGS84 lon/lat), zonal flood statistics were tabulated across five basin sub-zones, and the binary flood-extent mask was vectorized to polygons (marching-squares contouring) and exported as GeoJSON for use in downstream GIS software (QGIS/ArcGIS).</w:t>
      </w:r>
    </w:p>
    <w:p>
      <w:pPr>
        <w:pStyle w:val="Heading1"/>
        <w:spacing w:after="140" w:before="280"/>
      </w:pPr>
      <w:r>
        <w:t xml:space="preserve">4. Results</w:t>
      </w:r>
    </w:p>
    <w:p>
      <w:pPr>
        <w:pStyle w:val="Heading2"/>
        <w:spacing w:after="140" w:before="280"/>
      </w:pPr>
      <w:r>
        <w:t xml:space="preserve">4.1 Multi-temporal change detection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Pre-flood, post-flood, and MNDWI change (flood signal) composites.</w:t>
      </w:r>
    </w:p>
    <w:p>
      <w:pPr>
        <w:pStyle w:val="Heading2"/>
        <w:spacing w:after="140" w:before="280"/>
      </w:pPr>
      <w:r>
        <w:t xml:space="preserve">4.2 Flood extent &amp; land-cover classification map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Georeferenced land-cover/flood classification map with scale bar and north arrow.</w:t>
      </w:r>
    </w:p>
    <w:p>
      <w:pPr>
        <w:pStyle w:val="Heading2"/>
        <w:spacing w:after="140" w:before="280"/>
      </w:pPr>
      <w:r>
        <w:t xml:space="preserve">4.3 Classification accuracy</w:t>
      </w:r>
    </w:p>
    <w:p>
      <w:pPr>
        <w:spacing w:after="160"/>
      </w:pPr>
      <w:r>
        <w:t xml:space="preserve">Held-out test accuracy: 0.9969  |  Weighted F1-score: 0.9969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Confusion matrix, held-out test pixels.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Random Forest feature importance — MNDWI and its bi-temporal change dominate flood discrimination, as expected.</w:t>
      </w:r>
    </w:p>
    <w:p>
      <w:pPr>
        <w:pStyle w:val="Heading2"/>
        <w:spacing w:after="140" w:before="280"/>
      </w:pPr>
      <w:r>
        <w:t xml:space="preserve">4.4 Mapped area by class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200"/>
      </w:tblGrid>
      <w:t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Land-cover / flood class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Pixels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 (km²)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scene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5,405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30.45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2.06%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flooded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14,669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82.65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5.60%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urban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1,122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6.32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0.43%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229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1.29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0.09%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238,795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1345.48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91.09%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barren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1,924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10.84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0.73%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t xml:space="preserve">4.5 Zonal flood impact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Flooded area as a percentage of each zone.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600"/>
      </w:tblGrid>
      <w:tr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Flooded area (km²)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water (km²)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zone flooded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Kathmandu Metro (core)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18.48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2.23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Lalitpur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16.93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3.63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18.3%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Bhaktapur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0.37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Bagmati corridor (upstream)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5.42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Koshi confluence (downstream)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6.84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3.81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4.4%</w:t>
            </w:r>
          </w:p>
        </w:tc>
      </w:tr>
    </w:tbl>
    <w:p>
      <w:pPr>
        <w:pStyle w:val="Heading1"/>
        <w:spacing w:after="140" w:before="280"/>
      </w:pPr>
      <w:r>
        <w:t xml:space="preserve">5.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Imagery is synthetic (see Data note, Section 2) — absolute figures are illustrative of the workflow, not a real-world flood assessment.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Zone boundaries are an illustrative grid proxy, not surveyed administrative/ward boundaries.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atmospheric correction, cloud masking, or multi-date co-registration step was needed here since the synthetic dates are already aligned and cloud-free; real imagery requires these steps.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Training/reference labels came from the same rule-based logic used to generate the scene; on real imagery, labels should come from field GPS points, high-resolution reference imagery, or validated historical flood maps.</w:t>
      </w:r>
    </w:p>
    <w:p>
      <w:pPr>
        <w:pStyle w:val="Heading1"/>
        <w:spacing w:after="140" w:before="280"/>
      </w:pPr>
      <w:r>
        <w:t xml:space="preserve">6. Recommended Next Steps (for deployment on real imagery)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Sentinel-2 L2A (10 m) or Sentinel-1 SAR (cloud-penetrating, critical for monsoon flood mapping) via Copernicus Data Space Ecosystem or Google Earth Engine.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Sentinel-1 VV/VH backscatter change detection to complement optical MNDWI, since monsoon flood scenes are frequently cloud-obscured.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the rule-based reference labels with field-validated or crowd-sourced (e.g. Copernicus EMS) flood-extent ground truth.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zonal statistics to real ward/municipality boundaries (Kathmandu Metropolitan City, Lalitpur, Bhaktapur, and Koshi basin districts) via official administrative GeoJSON/shapefiles.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 the GeoJSON output into a QGIS/ArcGIS project or a web map (Leaflet/Mapbox) for stakeholder-facing disaster-response dashboards.</w:t>
      </w:r>
    </w:p>
    <w:p>
      <w:pPr>
        <w:pStyle w:val="Heading1"/>
        <w:spacing w:after="140" w:before="280"/>
      </w:pPr>
      <w:r>
        <w:t xml:space="preserve">7. Project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 — full Python pipeline (imagery → indices → ML classification → GIS mapping/vectorization)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outputs/maps/ — georeferenced flood-extent map, comparison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outputs/figures/ — index maps, confusion matrix, feature importance, zonal chart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outputs/classified/ — classified raster, area/zonal statistics (CSV/JSON), accuracy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outputs/vectors/flood_extent.geojson — flood-extent polygons for GIS software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— how to run the pipeline and how to swap in real satellite imagery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Geospatial Flood Assessment — Kathmandu Valley / Koshi-Bagmati Basin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7f49ee8c32cd0874c26bbe02c60f3148a1db78.png"/><Relationship Id="rId10" Type="http://schemas.openxmlformats.org/officeDocument/2006/relationships/image" Target="media/384c64aa9841cf32f2c49e25c49970d0c49c606c.png"/><Relationship Id="rId11" Type="http://schemas.openxmlformats.org/officeDocument/2006/relationships/image" Target="media/980afb3016022cfbc4e50f2ca25b8e1d7e2c9a5e.png"/><Relationship Id="rId12" Type="http://schemas.openxmlformats.org/officeDocument/2006/relationships/image" Target="media/cd14c87da1e81c2b895af62e09ab0dc60007681a.png"/><Relationship Id="rId13" Type="http://schemas.openxmlformats.org/officeDocument/2006/relationships/image" Target="media/653402ece4acce461356e275ecf5b85b0a18d08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2026-09-02T04:10:31.572Z</dcterms:created>
  <dcterms:modified xsi:type="dcterms:W3CDTF">2026-09-02T04:10:31.572Z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