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 w14:paraId="11111111">
      <w:r>
        <w:t xml:space="preserve">Dear Reader,</w:t>
      </w:r>
    </w:p>
    <w:p w14:paraId="22222222">
      <w:r>
        <w:t xml:space="preserve">This is a simple letter with bold and italic text.</w:t>
      </w:r>
    </w:p>
    <w:p w14:paraId="33333333">
      <w:r>
        <w:rPr>
          <w:b/>
        </w:rPr>
        <w:t xml:space="preserve">Bold phrase here.</w:t>
      </w:r>
    </w:p>
    <w:p w14:paraId="44444444">
      <w:r>
        <w:rPr>
          <w:i/>
        </w:rPr>
        <w:t xml:space="preserve">Italic phrase here.</w:t>
      </w:r>
    </w:p>
    <w:p w14:paraId="55555555">
      <w:r>
        <w:t xml:space="preserve">Sincerely,</w:t>
      </w:r>
    </w:p>
    <w:p w14:paraId="66666666">
      <w:r>
        <w:t xml:space="preserve">WordClone Test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