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422BD" w14:textId="5A532008" w:rsidR="00502315" w:rsidRPr="00502315" w:rsidRDefault="00502315" w:rsidP="00977B96">
      <w:pPr>
        <w:pStyle w:val="Title"/>
      </w:pPr>
      <w:r w:rsidRPr="00502315">
        <w:t>Cost- and Energy-Efficient Inference for Enterprise-Scale Contract Analysis Systems: A Unified Optimization Framework</w:t>
      </w:r>
    </w:p>
    <w:p w14:paraId="5FA88B55" w14:textId="6869575E" w:rsidR="001E60D7" w:rsidRPr="00502315" w:rsidRDefault="001E60D7" w:rsidP="00502315">
      <w:pPr>
        <w:pStyle w:val="Heading1"/>
      </w:pPr>
      <w:r w:rsidRPr="00502315">
        <w:t>Introduction</w:t>
      </w:r>
    </w:p>
    <w:p w14:paraId="08CBB95C" w14:textId="5430653C" w:rsidR="001E60D7" w:rsidRPr="001E60D7" w:rsidRDefault="001E60D7" w:rsidP="001E60D7">
      <w:pPr>
        <w:spacing w:after="210" w:line="360" w:lineRule="auto"/>
        <w:rPr>
          <w:rFonts w:ascii="Helvetica" w:hAnsi="Helvetica" w:cs="Arial"/>
          <w:sz w:val="20"/>
          <w:szCs w:val="20"/>
        </w:rPr>
      </w:pPr>
      <w:r w:rsidRPr="001E60D7">
        <w:rPr>
          <w:rFonts w:ascii="Helvetica" w:hAnsi="Helvetica" w:cs="Arial"/>
          <w:sz w:val="20"/>
          <w:szCs w:val="20"/>
        </w:rPr>
        <w:t>Artificial intelligence–driven contract analysis has rapidly evolved from experimental pilots to a core capability in enterprise legal, sales, procurement, and compliance workflows. Organizations now rely on contract review systems to extract key clauses, assess risk, flag deviations, and summarize obligations at portfolio scale, with outputs integrated directly into contract lifecycle management (CLM) and matter management platforms. Frontier large language models have unlocked higher extraction accuracy and richer reasoning over complex legal texts, but have simultaneously increased inference cost by one to two orders of magnitude relative to traditional NLP and rules-based tools. As contract volumes and review frequency continue to grow, inference cost and energy consumption increasingly dominate both operational expenditure and environmental, social, and governance (ESG) considerations for enterprise AI deployments.</w:t>
      </w:r>
    </w:p>
    <w:p w14:paraId="0A92C3E2" w14:textId="77777777" w:rsidR="001E60D7" w:rsidRPr="001E60D7" w:rsidRDefault="001E60D7" w:rsidP="001E60D7">
      <w:pPr>
        <w:spacing w:after="210" w:line="360" w:lineRule="auto"/>
        <w:rPr>
          <w:rFonts w:ascii="Helvetica" w:hAnsi="Helvetica" w:cs="Arial"/>
          <w:sz w:val="20"/>
          <w:szCs w:val="20"/>
        </w:rPr>
      </w:pPr>
      <w:r w:rsidRPr="001E60D7">
        <w:rPr>
          <w:rFonts w:ascii="Helvetica" w:hAnsi="Helvetica" w:cs="Arial"/>
          <w:sz w:val="20"/>
          <w:szCs w:val="20"/>
        </w:rPr>
        <w:t>Contract analysis workloads differ substantially from generic conversational LLM applications. Contracts are long and structurally dense legal documents containing multiple sections, annexes, and cross-references, often spanning multiple jurisdictions and languages. Enterprise users require high-precision extraction of legally material clauses—such as indemnification, limitation of liability, termination rights, and data protection terms—together with structured outputs that encode obligations, counterparty positions, and risk labels in machine-readable schemas. Structured inference pipelines further incur cost: constrained decoding, schema validation, and multi-pass extraction introduce substantial overhead beyond simple text generation. These tasks typically involve multiple inference passes per document, including initial extraction, risk classification or deviation detection, and downstream summarization or recommendation. Because each pass may require different models or decoding strategies, contract workloads generate significantly higher cumulative inference demand than typical short-form LLM interactions. In addition, legal and regulatory requirements impose strict constraints on data residency, attorney–client confidentiality, and auditability, limiting the applicability of generic cloud-only inference architectures.</w:t>
      </w:r>
    </w:p>
    <w:p w14:paraId="3B717730" w14:textId="77777777" w:rsidR="001E60D7" w:rsidRPr="001E60D7" w:rsidRDefault="001E60D7" w:rsidP="001E60D7">
      <w:pPr>
        <w:spacing w:after="210" w:line="360" w:lineRule="auto"/>
        <w:rPr>
          <w:rFonts w:ascii="Helvetica" w:hAnsi="Helvetica" w:cs="Arial"/>
          <w:sz w:val="20"/>
          <w:szCs w:val="20"/>
        </w:rPr>
      </w:pPr>
      <w:r w:rsidRPr="001E60D7">
        <w:rPr>
          <w:rFonts w:ascii="Helvetica" w:hAnsi="Helvetica" w:cs="Arial"/>
          <w:sz w:val="20"/>
          <w:szCs w:val="20"/>
        </w:rPr>
        <w:t xml:space="preserve">The cost and energy profile of enterprise-scale contract analysis systems is shaped by both algorithmic and infrastructural factors. Recent work on AI inference economics and energy modeling highlights that per-query energy usage and total cost of ownership vary sharply with model size, quantization level, runtime efficiency, and hardware configuration, and that naive deployment strategies can be an order of magnitude less efficient than optimized ones. For contract workloads—which combine large batch analyses (e.g., due diligence, repapering) with low-latency interactive use cases (e.g., live redlining)—deployment choices directly affect GPU utilization, watt-hours per contract, and cloud or on-premises expenditure. Enterprises </w:t>
      </w:r>
      <w:r w:rsidRPr="001E60D7">
        <w:rPr>
          <w:rFonts w:ascii="Helvetica" w:hAnsi="Helvetica" w:cs="Arial"/>
          <w:sz w:val="20"/>
          <w:szCs w:val="20"/>
        </w:rPr>
        <w:lastRenderedPageBreak/>
        <w:t>are increasingly required to report the energy and carbon footprint of their AI services, making cost- and energy-efficient inference a first-class design objective in legal technology systems.</w:t>
      </w:r>
    </w:p>
    <w:p w14:paraId="0AF64E39" w14:textId="77777777" w:rsidR="001E60D7" w:rsidRPr="001E60D7" w:rsidRDefault="001E60D7" w:rsidP="001E60D7">
      <w:pPr>
        <w:spacing w:after="210" w:line="360" w:lineRule="auto"/>
        <w:rPr>
          <w:rFonts w:ascii="Helvetica" w:hAnsi="Helvetica" w:cs="Arial"/>
          <w:sz w:val="20"/>
          <w:szCs w:val="20"/>
        </w:rPr>
      </w:pPr>
      <w:r w:rsidRPr="001E60D7">
        <w:rPr>
          <w:rFonts w:ascii="Helvetica" w:hAnsi="Helvetica" w:cs="Arial"/>
          <w:sz w:val="20"/>
          <w:szCs w:val="20"/>
        </w:rPr>
        <w:t>This work adopts a training-agnostic, inference-centric view of contract analysis systems, focusing exclusively on the cost and energy characteristics of test-time operation in enterprise environments. Although there is a growing body of research on efficient inference for large language models—including model compression, speculative decoding, optimized runtimes, and hardware-aware scheduling—existing approaches are largely task-agnostic and do not address the structured, multi-step nature of contract pipelines or the hard legal constraints under which they must operate. To our knowledge, no contract-focused, systematized framework exists that jointly optimizes inference cost and energy under enterprise legal constraints while maintaining the stringent accuracy, latency, compliance, and governance guarantees required in practice. This gap is particularly salient for organizations processing millions of agreements under strict service-level agreements (SLAs) and regulatory oversight, where even modest efficiency gains can yield substantial cost savings and ESG benefits.</w:t>
      </w:r>
    </w:p>
    <w:p w14:paraId="594B7946" w14:textId="4D22B3A2" w:rsidR="00502315" w:rsidRDefault="001E60D7" w:rsidP="00DA2CE5">
      <w:pPr>
        <w:spacing w:after="210" w:line="360" w:lineRule="auto"/>
        <w:rPr>
          <w:rFonts w:ascii="Helvetica" w:hAnsi="Helvetica" w:cs="Arial"/>
          <w:sz w:val="20"/>
          <w:szCs w:val="20"/>
        </w:rPr>
      </w:pPr>
      <w:r w:rsidRPr="001E60D7">
        <w:rPr>
          <w:rFonts w:ascii="Helvetica" w:hAnsi="Helvetica" w:cs="Arial"/>
          <w:sz w:val="20"/>
          <w:szCs w:val="20"/>
        </w:rPr>
        <w:t>This paper addresses this gap by presenting a unified framework for cost- and energy-efficient inference in enterprise-scale contract analysis systems. It formalizes a multi-objective optimization problem that defines inference cost and energy as explicit functions of model choice, runtime configuration, hardware allocation, and workload characteristics, subject to accuracy, latency, throughput, and compliance constraints. Building on this formulation, it introduces a four-layer optimization framework spanning model efficiency, inference serving and runtime design, hardware and infrastructure strategy, and workflow-level optimization tailored to contract analysis tasks. The framework is instantiated in a contract review case study, demonstrating that appropriate combinations of compression, serving-layer optimizations, intelligent routing, and deployment strategies can reduce cost and energy per contract by multi-fold while maintaining near-baseline clause extraction and risk classification accuracy. Finally, the paper derives practical deployment guidelines for legal and enterprise AI teams, highlighting strategies for balancing efficiency with legal risk, confidentiality, and auditability.</w:t>
      </w:r>
    </w:p>
    <w:p w14:paraId="5D021852" w14:textId="77777777" w:rsidR="00A8525E" w:rsidRPr="00A8525E" w:rsidRDefault="00A8525E" w:rsidP="00A8525E">
      <w:pPr>
        <w:spacing w:after="210" w:line="360" w:lineRule="auto"/>
        <w:rPr>
          <w:rFonts w:ascii="Helvetica" w:hAnsi="Helvetica" w:cs="Arial"/>
          <w:sz w:val="20"/>
          <w:szCs w:val="20"/>
        </w:rPr>
      </w:pPr>
      <w:r w:rsidRPr="00A8525E">
        <w:rPr>
          <w:rFonts w:ascii="Helvetica" w:hAnsi="Helvetica" w:cs="Arial"/>
          <w:b/>
          <w:bCs/>
          <w:sz w:val="20"/>
          <w:szCs w:val="20"/>
        </w:rPr>
        <w:t>Contributions</w:t>
      </w:r>
    </w:p>
    <w:p w14:paraId="346BF9AD" w14:textId="77777777" w:rsidR="00A8525E" w:rsidRPr="00A8525E" w:rsidRDefault="00A8525E" w:rsidP="00A8525E">
      <w:pPr>
        <w:numPr>
          <w:ilvl w:val="0"/>
          <w:numId w:val="61"/>
        </w:numPr>
        <w:spacing w:after="210" w:line="360" w:lineRule="auto"/>
        <w:rPr>
          <w:rFonts w:ascii="Helvetica" w:hAnsi="Helvetica" w:cs="Arial"/>
          <w:sz w:val="20"/>
          <w:szCs w:val="20"/>
        </w:rPr>
      </w:pPr>
      <w:r w:rsidRPr="00A8525E">
        <w:rPr>
          <w:rFonts w:ascii="Helvetica" w:hAnsi="Helvetica" w:cs="Arial"/>
          <w:sz w:val="20"/>
          <w:szCs w:val="20"/>
        </w:rPr>
        <w:t>A training-agnostic, inference-centric optimization formulation for enterprise contract analysis under legal constraints.</w:t>
      </w:r>
    </w:p>
    <w:p w14:paraId="2D562D4D" w14:textId="77777777" w:rsidR="00A8525E" w:rsidRPr="00A8525E" w:rsidRDefault="00A8525E" w:rsidP="00A8525E">
      <w:pPr>
        <w:numPr>
          <w:ilvl w:val="0"/>
          <w:numId w:val="61"/>
        </w:numPr>
        <w:spacing w:after="210" w:line="360" w:lineRule="auto"/>
        <w:rPr>
          <w:rFonts w:ascii="Helvetica" w:hAnsi="Helvetica" w:cs="Arial"/>
          <w:sz w:val="20"/>
          <w:szCs w:val="20"/>
        </w:rPr>
      </w:pPr>
      <w:r w:rsidRPr="00A8525E">
        <w:rPr>
          <w:rFonts w:ascii="Helvetica" w:hAnsi="Helvetica" w:cs="Arial"/>
          <w:sz w:val="20"/>
          <w:szCs w:val="20"/>
        </w:rPr>
        <w:t>A unified four-layer framework spanning models, serving, hardware, and workflow design.</w:t>
      </w:r>
    </w:p>
    <w:p w14:paraId="012FDAE2" w14:textId="7DCF9AC8" w:rsidR="00A8525E" w:rsidRPr="00A8525E" w:rsidRDefault="00A8525E" w:rsidP="00DA2CE5">
      <w:pPr>
        <w:numPr>
          <w:ilvl w:val="0"/>
          <w:numId w:val="61"/>
        </w:numPr>
        <w:spacing w:after="210" w:line="360" w:lineRule="auto"/>
        <w:rPr>
          <w:rFonts w:ascii="Helvetica" w:hAnsi="Helvetica" w:cs="Arial"/>
          <w:sz w:val="20"/>
          <w:szCs w:val="20"/>
        </w:rPr>
      </w:pPr>
      <w:r w:rsidRPr="00A8525E">
        <w:rPr>
          <w:rFonts w:ascii="Helvetica" w:hAnsi="Helvetica" w:cs="Arial"/>
          <w:sz w:val="20"/>
          <w:szCs w:val="20"/>
        </w:rPr>
        <w:t>A production-anchored, model-based evaluation demonstrating 12–26× reductions in Wh/contract for representative legal workloads</w:t>
      </w:r>
      <w:r>
        <w:rPr>
          <w:rFonts w:ascii="Helvetica" w:hAnsi="Helvetica" w:cs="Arial"/>
          <w:sz w:val="20"/>
          <w:szCs w:val="20"/>
        </w:rPr>
        <w:t>.</w:t>
      </w:r>
    </w:p>
    <w:p w14:paraId="7B877D3E" w14:textId="24506B41" w:rsidR="00502315" w:rsidRDefault="00B92865" w:rsidP="00502315">
      <w:pPr>
        <w:spacing w:after="210" w:line="360" w:lineRule="auto"/>
        <w:rPr>
          <w:rFonts w:ascii="Helvetica" w:hAnsi="Helvetica" w:cs="Arial"/>
          <w:sz w:val="20"/>
          <w:szCs w:val="20"/>
        </w:rPr>
      </w:pPr>
      <w:r>
        <w:rPr>
          <w:rFonts w:ascii="Helvetica" w:hAnsi="Helvetica" w:cs="Arial"/>
          <w:noProof/>
          <w:sz w:val="20"/>
          <w:szCs w:val="20"/>
        </w:rPr>
        <w:pict w14:anchorId="5FE752E6">
          <v:rect id="_x0000_i1029" alt="" style="width:451.3pt;height:.05pt;mso-width-percent:0;mso-height-percent:0;mso-width-percent:0;mso-height-percent:0" o:hralign="center" o:hrstd="t" o:hr="t" fillcolor="#a0a0a0" stroked="f"/>
        </w:pict>
      </w:r>
    </w:p>
    <w:p w14:paraId="6699C78E" w14:textId="77777777" w:rsidR="00906620" w:rsidRPr="00906620" w:rsidRDefault="00906620" w:rsidP="00906620">
      <w:pPr>
        <w:spacing w:after="210" w:line="360" w:lineRule="auto"/>
        <w:rPr>
          <w:rFonts w:ascii="Helvetica" w:hAnsi="Helvetica" w:cs="Arial"/>
          <w:b/>
          <w:bCs/>
          <w:sz w:val="20"/>
          <w:szCs w:val="20"/>
        </w:rPr>
      </w:pPr>
      <w:r w:rsidRPr="00906620">
        <w:rPr>
          <w:rFonts w:ascii="Helvetica" w:hAnsi="Helvetica" w:cs="Arial"/>
          <w:b/>
          <w:bCs/>
          <w:sz w:val="20"/>
          <w:szCs w:val="20"/>
        </w:rPr>
        <w:lastRenderedPageBreak/>
        <w:t>II. Background and Motivation</w:t>
      </w:r>
    </w:p>
    <w:p w14:paraId="34897079" w14:textId="77777777" w:rsidR="00906620" w:rsidRPr="00906620" w:rsidRDefault="00906620" w:rsidP="00906620">
      <w:pPr>
        <w:spacing w:after="210" w:line="360" w:lineRule="auto"/>
        <w:rPr>
          <w:rFonts w:ascii="Helvetica" w:hAnsi="Helvetica" w:cs="Arial"/>
          <w:b/>
          <w:bCs/>
          <w:sz w:val="20"/>
          <w:szCs w:val="20"/>
        </w:rPr>
      </w:pPr>
      <w:r w:rsidRPr="00906620">
        <w:rPr>
          <w:rFonts w:ascii="Helvetica" w:hAnsi="Helvetica" w:cs="Arial"/>
          <w:b/>
          <w:bCs/>
          <w:sz w:val="20"/>
          <w:szCs w:val="20"/>
        </w:rPr>
        <w:t>A. Contract Analysis Workloads and Pipelines</w:t>
      </w:r>
    </w:p>
    <w:p w14:paraId="17AC9C4A" w14:textId="77777777" w:rsidR="00906620" w:rsidRPr="00906620" w:rsidRDefault="00906620" w:rsidP="00906620">
      <w:pPr>
        <w:spacing w:after="210" w:line="360" w:lineRule="auto"/>
        <w:rPr>
          <w:rFonts w:ascii="Helvetica" w:hAnsi="Helvetica" w:cs="Arial"/>
          <w:sz w:val="20"/>
          <w:szCs w:val="20"/>
        </w:rPr>
      </w:pPr>
      <w:r w:rsidRPr="00906620">
        <w:rPr>
          <w:rFonts w:ascii="Helvetica" w:hAnsi="Helvetica" w:cs="Arial"/>
          <w:sz w:val="20"/>
          <w:szCs w:val="20"/>
        </w:rPr>
        <w:t>Enterprise contract analysis systems are typically embedded within broader contract lifecycle management (CLM) and matter management ecosystems rather than operating as stand-alone tools. These systems ingest agreements from heterogeneous sources—CLM repositories, document management systems, e-billing platforms, shared drives, and email workflows—and normalize them through OCR, text extraction, segmentation, and metadata enrichment. Core workloads include agreement intake and classification, extraction of key terms and obligations, deviation and risk detection relative to playbooks, and portfolio-level analytics for repapering, due diligence, and compliance reporting. The outputs of these pipelines feed directly back into CLM systems, driving approval workflows, negotiation strategies, renewal decisions, and policy updates.</w:t>
      </w:r>
    </w:p>
    <w:p w14:paraId="53F47D8D" w14:textId="77777777" w:rsidR="00906620" w:rsidRPr="00906620" w:rsidRDefault="00906620" w:rsidP="00906620">
      <w:pPr>
        <w:spacing w:after="210" w:line="360" w:lineRule="auto"/>
        <w:rPr>
          <w:rFonts w:ascii="Helvetica" w:hAnsi="Helvetica" w:cs="Arial"/>
          <w:sz w:val="20"/>
          <w:szCs w:val="20"/>
        </w:rPr>
      </w:pPr>
      <w:r w:rsidRPr="00906620">
        <w:rPr>
          <w:rFonts w:ascii="Helvetica" w:hAnsi="Helvetica" w:cs="Arial"/>
          <w:sz w:val="20"/>
          <w:szCs w:val="20"/>
        </w:rPr>
        <w:t>This bidirectional integration—with heterogeneous document formats (scanned PDFs, digitally native agreements, negotiated drafts) and event-driven triggers—creates persistent inference demand that scales with both document volume and contract lifecycle complexity.</w:t>
      </w:r>
    </w:p>
    <w:p w14:paraId="65816CAD" w14:textId="77777777" w:rsidR="00906620" w:rsidRPr="00906620" w:rsidRDefault="00906620" w:rsidP="00906620">
      <w:pPr>
        <w:spacing w:after="210" w:line="360" w:lineRule="auto"/>
        <w:rPr>
          <w:rFonts w:ascii="Helvetica" w:hAnsi="Helvetica" w:cs="Arial"/>
          <w:b/>
          <w:bCs/>
          <w:sz w:val="20"/>
          <w:szCs w:val="20"/>
        </w:rPr>
      </w:pPr>
      <w:r w:rsidRPr="00906620">
        <w:rPr>
          <w:rFonts w:ascii="Helvetica" w:hAnsi="Helvetica" w:cs="Arial"/>
          <w:b/>
          <w:bCs/>
          <w:sz w:val="20"/>
          <w:szCs w:val="20"/>
        </w:rPr>
        <w:t>B. Computational Drivers of Cost in Contract AI</w:t>
      </w:r>
    </w:p>
    <w:p w14:paraId="31331C9D" w14:textId="77777777" w:rsidR="00906620" w:rsidRPr="00906620" w:rsidRDefault="00906620" w:rsidP="00906620">
      <w:pPr>
        <w:spacing w:after="210" w:line="360" w:lineRule="auto"/>
        <w:rPr>
          <w:rFonts w:ascii="Helvetica" w:hAnsi="Helvetica" w:cs="Arial"/>
          <w:sz w:val="20"/>
          <w:szCs w:val="20"/>
        </w:rPr>
      </w:pPr>
      <w:r w:rsidRPr="00906620">
        <w:rPr>
          <w:rFonts w:ascii="Helvetica" w:hAnsi="Helvetica" w:cs="Arial"/>
          <w:sz w:val="20"/>
          <w:szCs w:val="20"/>
        </w:rPr>
        <w:t>Several structural properties make contract analysis workloads significantly more computationally demanding than generic conversational LLM applications. First, contracts frequently require long-context processing: agreements may span dozens of pages with multiple sections, annexes, tables, exhibits, and cross-references, leading to high token counts and substantial attention and decoding cost per inference call. These demands vary across agreement types—short NDAs differ markedly from long-form MSAs, DPAs, or commercial leases—creating inconsistent and often adversarial context lengths for inference.</w:t>
      </w:r>
    </w:p>
    <w:p w14:paraId="10DD7EDE" w14:textId="77777777" w:rsidR="00906620" w:rsidRPr="00906620" w:rsidRDefault="00906620" w:rsidP="00906620">
      <w:pPr>
        <w:spacing w:after="210" w:line="360" w:lineRule="auto"/>
        <w:rPr>
          <w:rFonts w:ascii="Helvetica" w:hAnsi="Helvetica" w:cs="Arial"/>
          <w:sz w:val="20"/>
          <w:szCs w:val="20"/>
        </w:rPr>
      </w:pPr>
      <w:r w:rsidRPr="00906620">
        <w:rPr>
          <w:rFonts w:ascii="Helvetica" w:hAnsi="Helvetica" w:cs="Arial"/>
          <w:sz w:val="20"/>
          <w:szCs w:val="20"/>
        </w:rPr>
        <w:t>Second, downstream enterprise systems rarely accept free-form natural language outputs. Contract AI must produce structured outputs—clause labels, obligations, and risk attributes in schema-conformant formats for CLM workflows—requiring constrained decoding, validation, normalization, and multi-pass extraction that substantially exceed simple text generation costs.</w:t>
      </w:r>
    </w:p>
    <w:p w14:paraId="1C58B73C" w14:textId="77777777" w:rsidR="00906620" w:rsidRPr="00906620" w:rsidRDefault="00906620" w:rsidP="00906620">
      <w:pPr>
        <w:spacing w:after="210" w:line="360" w:lineRule="auto"/>
        <w:rPr>
          <w:rFonts w:ascii="Helvetica" w:hAnsi="Helvetica" w:cs="Arial"/>
          <w:sz w:val="20"/>
          <w:szCs w:val="20"/>
        </w:rPr>
      </w:pPr>
      <w:r w:rsidRPr="00906620">
        <w:rPr>
          <w:rFonts w:ascii="Helvetica" w:hAnsi="Helvetica" w:cs="Arial"/>
          <w:sz w:val="20"/>
          <w:szCs w:val="20"/>
        </w:rPr>
        <w:t>Third, contract workflows typically invoke multiple inference passes per document—such as sequential extraction, risk classification or deviation detection, summarization, and recommendation—each using different models, prompts, or decoding strategies. This multiplies cumulative compute cost even if individual tasks appear lightweight.</w:t>
      </w:r>
    </w:p>
    <w:p w14:paraId="127A2F33" w14:textId="77777777" w:rsidR="00906620" w:rsidRPr="00906620" w:rsidRDefault="00906620" w:rsidP="00906620">
      <w:pPr>
        <w:spacing w:after="210" w:line="360" w:lineRule="auto"/>
        <w:rPr>
          <w:rFonts w:ascii="Helvetica" w:hAnsi="Helvetica" w:cs="Arial"/>
          <w:sz w:val="20"/>
          <w:szCs w:val="20"/>
        </w:rPr>
      </w:pPr>
      <w:r w:rsidRPr="00906620">
        <w:rPr>
          <w:rFonts w:ascii="Helvetica" w:hAnsi="Helvetica" w:cs="Arial"/>
          <w:sz w:val="20"/>
          <w:szCs w:val="20"/>
        </w:rPr>
        <w:t xml:space="preserve">Finally, the high-stakes nature of legal decision-making imposes strict accuracy and recall requirements, especially for critical clauses (e.g., indemnity, limitation of liability, confidentiality, data protection). False negatives may carry significant business or regulatory risk, constraining the use of aggressive compression </w:t>
      </w:r>
      <w:r w:rsidRPr="00906620">
        <w:rPr>
          <w:rFonts w:ascii="Helvetica" w:hAnsi="Helvetica" w:cs="Arial"/>
          <w:sz w:val="20"/>
          <w:szCs w:val="20"/>
        </w:rPr>
        <w:lastRenderedPageBreak/>
        <w:t>or approximation techniques and further contributing to the cost and energy footprint of contract AI systems.</w:t>
      </w:r>
    </w:p>
    <w:p w14:paraId="7471660E" w14:textId="77777777" w:rsidR="00906620" w:rsidRPr="00906620" w:rsidRDefault="00906620" w:rsidP="00906620">
      <w:pPr>
        <w:spacing w:after="210" w:line="360" w:lineRule="auto"/>
        <w:rPr>
          <w:rFonts w:ascii="Helvetica" w:hAnsi="Helvetica" w:cs="Arial"/>
          <w:b/>
          <w:bCs/>
          <w:sz w:val="20"/>
          <w:szCs w:val="20"/>
        </w:rPr>
      </w:pPr>
      <w:r w:rsidRPr="00906620">
        <w:rPr>
          <w:rFonts w:ascii="Helvetica" w:hAnsi="Helvetica" w:cs="Arial"/>
          <w:b/>
          <w:bCs/>
          <w:sz w:val="20"/>
          <w:szCs w:val="20"/>
        </w:rPr>
        <w:t>C. Energy and Infrastructure Challenges</w:t>
      </w:r>
    </w:p>
    <w:p w14:paraId="3D651F92" w14:textId="77777777" w:rsidR="00906620" w:rsidRPr="00906620" w:rsidRDefault="00906620" w:rsidP="00906620">
      <w:pPr>
        <w:spacing w:after="210" w:line="360" w:lineRule="auto"/>
        <w:rPr>
          <w:rFonts w:ascii="Helvetica" w:hAnsi="Helvetica" w:cs="Arial"/>
          <w:sz w:val="20"/>
          <w:szCs w:val="20"/>
        </w:rPr>
      </w:pPr>
      <w:r w:rsidRPr="00906620">
        <w:rPr>
          <w:rFonts w:ascii="Helvetica" w:hAnsi="Helvetica" w:cs="Arial"/>
          <w:sz w:val="20"/>
          <w:szCs w:val="20"/>
        </w:rPr>
        <w:t>The energy and infrastructure demands of enterprise contract analysis systems stem directly from their computational characteristics and deployment patterns. Recent AI inference modeling establishes watt-hours per query (Wh/query) and watt-hours per contract (Wh/contract) as standard metrics, with energy consumption scaling primarily with token count, model size, batch configuration, and hardware efficiency. For contract workloads, a single agreement may incur 5–20 Wh across multiple inference passes, while naive deployments can consume an order of magnitude more due to poor GPU utilization, suboptimal batching, and redundant processing.</w:t>
      </w:r>
    </w:p>
    <w:p w14:paraId="6B7900DF" w14:textId="77777777" w:rsidR="00906620" w:rsidRPr="00906620" w:rsidRDefault="00906620" w:rsidP="00906620">
      <w:pPr>
        <w:spacing w:after="210" w:line="360" w:lineRule="auto"/>
        <w:rPr>
          <w:rFonts w:ascii="Helvetica" w:hAnsi="Helvetica" w:cs="Arial"/>
          <w:sz w:val="20"/>
          <w:szCs w:val="20"/>
        </w:rPr>
      </w:pPr>
      <w:r w:rsidRPr="00906620">
        <w:rPr>
          <w:rFonts w:ascii="Helvetica" w:hAnsi="Helvetica" w:cs="Arial"/>
          <w:sz w:val="20"/>
          <w:szCs w:val="20"/>
        </w:rPr>
        <w:t>Contract inference traffic exhibits mixed temporal and structural patterns that complicate traditional scheduling strategies. Portfolio-scale workloads such as due diligence and large repapering initiatives generate bursty, high-throughput demand, whereas interactive scenarios—live redlining, negotiation support, or clause-by-clause exploration—require low-latency responses under strict service-level agreements (SLAs). Combined with the continuous, event-driven baseline triggered by CLM updates, these patterns frequently lead to chronically underutilized GPU clusters during off-peak periods and capacity bottlenecks during spikes, inflating both cost per GPU-hour and total energy footprint.</w:t>
      </w:r>
    </w:p>
    <w:p w14:paraId="1C236D3D" w14:textId="77777777" w:rsidR="00906620" w:rsidRPr="00906620" w:rsidRDefault="00906620" w:rsidP="00906620">
      <w:pPr>
        <w:spacing w:after="210" w:line="360" w:lineRule="auto"/>
        <w:rPr>
          <w:rFonts w:ascii="Helvetica" w:hAnsi="Helvetica" w:cs="Arial"/>
          <w:sz w:val="20"/>
          <w:szCs w:val="20"/>
        </w:rPr>
      </w:pPr>
      <w:r w:rsidRPr="00906620">
        <w:rPr>
          <w:rFonts w:ascii="Helvetica" w:hAnsi="Helvetica" w:cs="Arial"/>
          <w:sz w:val="20"/>
          <w:szCs w:val="20"/>
        </w:rPr>
        <w:t>Infrastructure economics further contribute to variability in total cost of ownership. Cloud deployments incur charges based on provisioned GPU-hours, memory allocation, and associated data transfer, storage, and orchestration overhead. On-premises deployments must amortize hardware costs and account for power and cooling requirements, often under stricter data residency and confidentiality constraints in regulated industries. Additionally, enterprises face increasing ESG mandates to measure and report AI-related carbon emissions, with legal technology workloads joining other compute-intensive systems under sustainability scrutiny.</w:t>
      </w:r>
    </w:p>
    <w:p w14:paraId="16228B2A" w14:textId="77777777" w:rsidR="00906620" w:rsidRPr="00906620" w:rsidRDefault="00906620" w:rsidP="00906620">
      <w:pPr>
        <w:spacing w:after="210" w:line="360" w:lineRule="auto"/>
        <w:rPr>
          <w:rFonts w:ascii="Helvetica" w:hAnsi="Helvetica" w:cs="Arial"/>
          <w:sz w:val="20"/>
          <w:szCs w:val="20"/>
        </w:rPr>
      </w:pPr>
      <w:r w:rsidRPr="00906620">
        <w:rPr>
          <w:rFonts w:ascii="Helvetica" w:hAnsi="Helvetica" w:cs="Arial"/>
          <w:sz w:val="20"/>
          <w:szCs w:val="20"/>
        </w:rPr>
        <w:t>These energy and infrastructure challenges motivate the need for a formal multi-objective optimization framework that jointly minimizes cost and energy while satisfying contract-specific accuracy, latency, throughput, and compliance requirements.</w:t>
      </w:r>
    </w:p>
    <w:p w14:paraId="1DD4BFD2" w14:textId="77777777" w:rsidR="00502315" w:rsidRPr="00502315" w:rsidRDefault="00B92865" w:rsidP="00502315">
      <w:pPr>
        <w:spacing w:after="210" w:line="360" w:lineRule="auto"/>
        <w:rPr>
          <w:rFonts w:ascii="Helvetica" w:hAnsi="Helvetica" w:cs="Arial"/>
          <w:sz w:val="20"/>
          <w:szCs w:val="20"/>
        </w:rPr>
      </w:pPr>
      <w:r>
        <w:rPr>
          <w:rFonts w:ascii="Helvetica" w:hAnsi="Helvetica" w:cs="Arial"/>
          <w:noProof/>
          <w:sz w:val="20"/>
          <w:szCs w:val="20"/>
        </w:rPr>
        <w:pict w14:anchorId="45639467">
          <v:rect id="_x0000_i1028" alt="" style="width:451.3pt;height:.05pt;mso-width-percent:0;mso-height-percent:0;mso-width-percent:0;mso-height-percent:0" o:hralign="center" o:hrstd="t" o:hr="t" fillcolor="#a0a0a0" stroked="f"/>
        </w:pict>
      </w:r>
    </w:p>
    <w:p w14:paraId="05CFABFE" w14:textId="77777777" w:rsidR="00502315" w:rsidRPr="00502315" w:rsidRDefault="00502315" w:rsidP="00502315">
      <w:pPr>
        <w:spacing w:after="210" w:line="360" w:lineRule="auto"/>
        <w:rPr>
          <w:rFonts w:ascii="Helvetica" w:hAnsi="Helvetica" w:cs="Arial"/>
          <w:b/>
          <w:bCs/>
          <w:sz w:val="20"/>
          <w:szCs w:val="20"/>
        </w:rPr>
      </w:pPr>
      <w:r w:rsidRPr="00502315">
        <w:rPr>
          <w:rFonts w:ascii="Helvetica" w:hAnsi="Helvetica" w:cs="Arial"/>
          <w:b/>
          <w:bCs/>
          <w:sz w:val="20"/>
          <w:szCs w:val="20"/>
        </w:rPr>
        <w:t>III. Problem Formulation</w:t>
      </w:r>
    </w:p>
    <w:p w14:paraId="3E19D947" w14:textId="77777777" w:rsidR="00204B22" w:rsidRPr="00204B22" w:rsidRDefault="00204B22" w:rsidP="00204B22">
      <w:pPr>
        <w:spacing w:after="210" w:line="360" w:lineRule="auto"/>
        <w:rPr>
          <w:rFonts w:ascii="Helvetica" w:hAnsi="Helvetica" w:cs="Arial"/>
          <w:b/>
          <w:bCs/>
          <w:sz w:val="20"/>
          <w:szCs w:val="20"/>
        </w:rPr>
      </w:pPr>
      <w:r w:rsidRPr="00204B22">
        <w:rPr>
          <w:rFonts w:ascii="Helvetica" w:hAnsi="Helvetica" w:cs="Arial"/>
          <w:b/>
          <w:bCs/>
          <w:sz w:val="20"/>
          <w:szCs w:val="20"/>
        </w:rPr>
        <w:t>A. Objective Function</w:t>
      </w:r>
    </w:p>
    <w:p w14:paraId="00B159C1" w14:textId="77777777" w:rsidR="00204B22" w:rsidRPr="00204B22" w:rsidRDefault="00204B22" w:rsidP="00204B22">
      <w:pPr>
        <w:spacing w:after="210" w:line="360" w:lineRule="auto"/>
        <w:rPr>
          <w:rFonts w:ascii="Helvetica" w:hAnsi="Helvetica" w:cs="Arial"/>
          <w:sz w:val="20"/>
          <w:szCs w:val="20"/>
        </w:rPr>
      </w:pPr>
      <w:r w:rsidRPr="00204B22">
        <w:rPr>
          <w:rFonts w:ascii="Helvetica" w:hAnsi="Helvetica" w:cs="Arial"/>
          <w:sz w:val="20"/>
          <w:szCs w:val="20"/>
        </w:rPr>
        <w:t>Consider a contract workload</w:t>
      </w:r>
    </w:p>
    <w:p w14:paraId="2ECCF63D" w14:textId="13FF8B88" w:rsidR="00204B22" w:rsidRPr="00204B22" w:rsidRDefault="00204B22" w:rsidP="00204B22">
      <w:pPr>
        <w:spacing w:after="210" w:line="360" w:lineRule="auto"/>
        <w:rPr>
          <w:rFonts w:ascii="Helvetica" w:hAnsi="Helvetica" w:cs="Arial"/>
          <w:sz w:val="20"/>
          <w:szCs w:val="20"/>
        </w:rPr>
      </w:pPr>
      <m:oMathPara>
        <m:oMath>
          <m:r>
            <m:rPr>
              <m:scr m:val="script"/>
            </m:rPr>
            <w:rPr>
              <w:rFonts w:ascii="Cambria Math" w:hAnsi="Cambria Math" w:cs="Arial"/>
              <w:sz w:val="20"/>
              <w:szCs w:val="20"/>
            </w:rPr>
            <w:lastRenderedPageBreak/>
            <m:t>D={</m:t>
          </m:r>
          <m:sSub>
            <m:sSubPr>
              <m:ctrlPr>
                <w:rPr>
                  <w:rFonts w:ascii="Cambria Math" w:hAnsi="Cambria Math" w:cs="Arial"/>
                  <w:sz w:val="20"/>
                  <w:szCs w:val="20"/>
                </w:rPr>
              </m:ctrlPr>
            </m:sSubPr>
            <m:e>
              <m:r>
                <w:rPr>
                  <w:rFonts w:ascii="Cambria Math" w:hAnsi="Cambria Math" w:cs="Arial"/>
                  <w:sz w:val="20"/>
                  <w:szCs w:val="20"/>
                </w:rPr>
                <m:t>d</m:t>
              </m:r>
            </m:e>
            <m:sub>
              <m:r>
                <w:rPr>
                  <w:rFonts w:ascii="Cambria Math" w:hAnsi="Cambria Math" w:cs="Arial"/>
                  <w:sz w:val="20"/>
                  <w:szCs w:val="20"/>
                </w:rPr>
                <m:t>1</m:t>
              </m:r>
            </m:sub>
          </m:sSub>
          <m:r>
            <w:rPr>
              <w:rFonts w:ascii="Cambria Math" w:hAnsi="Cambria Math" w:cs="Arial"/>
              <w:sz w:val="20"/>
              <w:szCs w:val="20"/>
            </w:rPr>
            <m:t>,…,</m:t>
          </m:r>
          <m:sSub>
            <m:sSubPr>
              <m:ctrlPr>
                <w:rPr>
                  <w:rFonts w:ascii="Cambria Math" w:hAnsi="Cambria Math" w:cs="Arial"/>
                  <w:sz w:val="20"/>
                  <w:szCs w:val="20"/>
                </w:rPr>
              </m:ctrlPr>
            </m:sSubPr>
            <m:e>
              <m:r>
                <w:rPr>
                  <w:rFonts w:ascii="Cambria Math" w:hAnsi="Cambria Math" w:cs="Arial"/>
                  <w:sz w:val="20"/>
                  <w:szCs w:val="20"/>
                </w:rPr>
                <m:t>d</m:t>
              </m:r>
            </m:e>
            <m:sub>
              <m:r>
                <w:rPr>
                  <w:rFonts w:ascii="Cambria Math" w:hAnsi="Cambria Math" w:cs="Arial"/>
                  <w:sz w:val="20"/>
                  <w:szCs w:val="20"/>
                </w:rPr>
                <m:t>N</m:t>
              </m:r>
            </m:sub>
          </m:sSub>
          <m:r>
            <w:rPr>
              <w:rFonts w:ascii="Cambria Math" w:hAnsi="Cambria Math" w:cs="Arial"/>
              <w:sz w:val="20"/>
              <w:szCs w:val="20"/>
            </w:rPr>
            <m:t>},</m:t>
          </m:r>
          <m:r>
            <w:rPr>
              <w:rFonts w:ascii="Helvetica" w:hAnsi="Helvetica" w:cs="Arial"/>
              <w:sz w:val="20"/>
              <w:szCs w:val="20"/>
            </w:rPr>
            <w:br/>
          </m:r>
        </m:oMath>
      </m:oMathPara>
    </w:p>
    <w:p w14:paraId="080F53B0" w14:textId="5077D761" w:rsidR="00204B22" w:rsidRPr="00204B22" w:rsidRDefault="00204B22" w:rsidP="00204B22">
      <w:pPr>
        <w:spacing w:after="210" w:line="360" w:lineRule="auto"/>
        <w:rPr>
          <w:rFonts w:ascii="Helvetica" w:hAnsi="Helvetica" w:cs="Arial"/>
          <w:sz w:val="20"/>
          <w:szCs w:val="20"/>
        </w:rPr>
      </w:pPr>
      <w:r w:rsidRPr="00204B22">
        <w:rPr>
          <w:rFonts w:ascii="Helvetica" w:hAnsi="Helvetica" w:cs="Arial"/>
          <w:sz w:val="20"/>
          <w:szCs w:val="20"/>
        </w:rPr>
        <w:t>comprising </w:t>
      </w:r>
      <m:oMath>
        <m:r>
          <w:rPr>
            <w:rFonts w:ascii="Cambria Math" w:hAnsi="Cambria Math" w:cs="Arial"/>
            <w:sz w:val="20"/>
            <w:szCs w:val="20"/>
          </w:rPr>
          <m:t>N</m:t>
        </m:r>
      </m:oMath>
      <w:r w:rsidRPr="00204B22">
        <w:rPr>
          <w:rFonts w:ascii="Helvetica" w:hAnsi="Helvetica" w:cs="Arial"/>
          <w:sz w:val="20"/>
          <w:szCs w:val="20"/>
        </w:rPr>
        <w:t> agreements. Each contract </w:t>
      </w:r>
      <m:oMath>
        <m:sSub>
          <m:sSubPr>
            <m:ctrlPr>
              <w:rPr>
                <w:rFonts w:ascii="Cambria Math" w:hAnsi="Cambria Math" w:cs="Arial"/>
                <w:sz w:val="20"/>
                <w:szCs w:val="20"/>
              </w:rPr>
            </m:ctrlPr>
          </m:sSubPr>
          <m:e>
            <m:r>
              <w:rPr>
                <w:rFonts w:ascii="Cambria Math" w:hAnsi="Cambria Math" w:cs="Arial"/>
                <w:sz w:val="20"/>
                <w:szCs w:val="20"/>
              </w:rPr>
              <m:t>d</m:t>
            </m:r>
          </m:e>
          <m:sub>
            <m:r>
              <w:rPr>
                <w:rFonts w:ascii="Cambria Math" w:hAnsi="Cambria Math" w:cs="Arial"/>
                <w:sz w:val="20"/>
                <w:szCs w:val="20"/>
              </w:rPr>
              <m:t>i</m:t>
            </m:r>
          </m:sub>
        </m:sSub>
      </m:oMath>
      <w:r w:rsidRPr="00204B22">
        <w:rPr>
          <w:rFonts w:ascii="Helvetica" w:hAnsi="Helvetica" w:cs="Arial"/>
          <w:sz w:val="20"/>
          <w:szCs w:val="20"/>
        </w:rPr>
        <w:t> induces a sequence of inference calls for tasks such as clause extraction, risk scoring, deviation detection, and summarization. Let</w:t>
      </w:r>
    </w:p>
    <w:p w14:paraId="4F0A3787" w14:textId="41B65585" w:rsidR="00204B22" w:rsidRPr="00204B22" w:rsidRDefault="00000000" w:rsidP="00204B22">
      <w:pPr>
        <w:spacing w:after="210" w:line="360" w:lineRule="auto"/>
        <w:rPr>
          <w:rFonts w:ascii="Helvetica" w:hAnsi="Helvetica" w:cs="Arial"/>
          <w:sz w:val="20"/>
          <w:szCs w:val="20"/>
        </w:rPr>
      </w:pPr>
      <m:oMathPara>
        <m:oMath>
          <m:sSub>
            <m:sSubPr>
              <m:ctrlPr>
                <w:rPr>
                  <w:rFonts w:ascii="Cambria Math" w:hAnsi="Cambria Math" w:cs="Arial"/>
                  <w:sz w:val="20"/>
                  <w:szCs w:val="20"/>
                </w:rPr>
              </m:ctrlPr>
            </m:sSubPr>
            <m:e>
              <m:r>
                <w:rPr>
                  <w:rFonts w:ascii="Cambria Math" w:hAnsi="Cambria Math" w:cs="Arial"/>
                  <w:sz w:val="20"/>
                  <w:szCs w:val="20"/>
                </w:rPr>
                <m:t>C</m:t>
              </m:r>
            </m:e>
            <m:sub>
              <m:r>
                <w:rPr>
                  <w:rFonts w:ascii="Cambria Math" w:hAnsi="Cambria Math" w:cs="Arial"/>
                  <w:sz w:val="20"/>
                  <w:szCs w:val="20"/>
                </w:rPr>
                <m:t>i</m:t>
              </m:r>
            </m:sub>
          </m:sSub>
          <m:r>
            <w:rPr>
              <w:rFonts w:ascii="Cambria Math" w:hAnsi="Cambria Math" w:cs="Arial"/>
              <w:sz w:val="20"/>
              <w:szCs w:val="20"/>
            </w:rPr>
            <m:t>={</m:t>
          </m:r>
          <m:sSub>
            <m:sSubPr>
              <m:ctrlPr>
                <w:rPr>
                  <w:rFonts w:ascii="Cambria Math" w:hAnsi="Cambria Math" w:cs="Arial"/>
                  <w:sz w:val="20"/>
                  <w:szCs w:val="20"/>
                </w:rPr>
              </m:ctrlPr>
            </m:sSubPr>
            <m:e>
              <m:r>
                <w:rPr>
                  <w:rFonts w:ascii="Cambria Math" w:hAnsi="Cambria Math" w:cs="Arial"/>
                  <w:sz w:val="20"/>
                  <w:szCs w:val="20"/>
                </w:rPr>
                <m:t>c</m:t>
              </m:r>
            </m:e>
            <m:sub>
              <m:r>
                <w:rPr>
                  <w:rFonts w:ascii="Cambria Math" w:hAnsi="Cambria Math" w:cs="Arial"/>
                  <w:sz w:val="20"/>
                  <w:szCs w:val="20"/>
                </w:rPr>
                <m:t>i1</m:t>
              </m:r>
            </m:sub>
          </m:sSub>
          <m:r>
            <w:rPr>
              <w:rFonts w:ascii="Cambria Math" w:hAnsi="Cambria Math" w:cs="Arial"/>
              <w:sz w:val="20"/>
              <w:szCs w:val="20"/>
            </w:rPr>
            <m:t>,…,</m:t>
          </m:r>
          <m:sSub>
            <m:sSubPr>
              <m:ctrlPr>
                <w:rPr>
                  <w:rFonts w:ascii="Cambria Math" w:hAnsi="Cambria Math" w:cs="Arial"/>
                  <w:sz w:val="20"/>
                  <w:szCs w:val="20"/>
                </w:rPr>
              </m:ctrlPr>
            </m:sSubPr>
            <m:e>
              <m:r>
                <w:rPr>
                  <w:rFonts w:ascii="Cambria Math" w:hAnsi="Cambria Math" w:cs="Arial"/>
                  <w:sz w:val="20"/>
                  <w:szCs w:val="20"/>
                </w:rPr>
                <m:t>c</m:t>
              </m:r>
            </m:e>
            <m:sub>
              <m:r>
                <w:rPr>
                  <w:rFonts w:ascii="Cambria Math" w:hAnsi="Cambria Math" w:cs="Arial"/>
                  <w:sz w:val="20"/>
                  <w:szCs w:val="20"/>
                </w:rPr>
                <m:t>i</m:t>
              </m:r>
              <m:sSub>
                <m:sSubPr>
                  <m:ctrlPr>
                    <w:rPr>
                      <w:rFonts w:ascii="Cambria Math" w:hAnsi="Cambria Math" w:cs="Arial"/>
                      <w:sz w:val="20"/>
                      <w:szCs w:val="20"/>
                    </w:rPr>
                  </m:ctrlPr>
                </m:sSubPr>
                <m:e>
                  <m:r>
                    <w:rPr>
                      <w:rFonts w:ascii="Cambria Math" w:hAnsi="Cambria Math" w:cs="Arial"/>
                      <w:sz w:val="20"/>
                      <w:szCs w:val="20"/>
                    </w:rPr>
                    <m:t>K</m:t>
                  </m:r>
                </m:e>
                <m:sub>
                  <m:r>
                    <w:rPr>
                      <w:rFonts w:ascii="Cambria Math" w:hAnsi="Cambria Math" w:cs="Arial"/>
                      <w:sz w:val="20"/>
                      <w:szCs w:val="20"/>
                    </w:rPr>
                    <m:t>i</m:t>
                  </m:r>
                </m:sub>
              </m:sSub>
            </m:sub>
          </m:sSub>
          <m:r>
            <w:rPr>
              <w:rFonts w:ascii="Cambria Math" w:hAnsi="Cambria Math" w:cs="Arial"/>
              <w:sz w:val="20"/>
              <w:szCs w:val="20"/>
            </w:rPr>
            <m:t>}</m:t>
          </m:r>
          <m:r>
            <w:rPr>
              <w:rFonts w:ascii="Helvetica" w:hAnsi="Helvetica" w:cs="Arial"/>
              <w:sz w:val="20"/>
              <w:szCs w:val="20"/>
            </w:rPr>
            <w:br/>
          </m:r>
        </m:oMath>
      </m:oMathPara>
    </w:p>
    <w:p w14:paraId="56011B28" w14:textId="5D19A62C" w:rsidR="00204B22" w:rsidRPr="00204B22" w:rsidRDefault="00204B22" w:rsidP="00204B22">
      <w:pPr>
        <w:spacing w:after="210" w:line="360" w:lineRule="auto"/>
        <w:rPr>
          <w:rFonts w:ascii="Helvetica" w:hAnsi="Helvetica" w:cs="Arial"/>
          <w:sz w:val="20"/>
          <w:szCs w:val="20"/>
        </w:rPr>
      </w:pPr>
      <w:r w:rsidRPr="00204B22">
        <w:rPr>
          <w:rFonts w:ascii="Helvetica" w:hAnsi="Helvetica" w:cs="Arial"/>
          <w:sz w:val="20"/>
          <w:szCs w:val="20"/>
        </w:rPr>
        <w:t>denote the inference calls associated with </w:t>
      </w:r>
      <m:oMath>
        <m:sSub>
          <m:sSubPr>
            <m:ctrlPr>
              <w:rPr>
                <w:rFonts w:ascii="Cambria Math" w:hAnsi="Cambria Math" w:cs="Arial"/>
                <w:sz w:val="20"/>
                <w:szCs w:val="20"/>
              </w:rPr>
            </m:ctrlPr>
          </m:sSubPr>
          <m:e>
            <m:r>
              <w:rPr>
                <w:rFonts w:ascii="Cambria Math" w:hAnsi="Cambria Math" w:cs="Arial"/>
                <w:sz w:val="20"/>
                <w:szCs w:val="20"/>
              </w:rPr>
              <m:t>d</m:t>
            </m:r>
          </m:e>
          <m:sub>
            <m:r>
              <w:rPr>
                <w:rFonts w:ascii="Cambria Math" w:hAnsi="Cambria Math" w:cs="Arial"/>
                <w:sz w:val="20"/>
                <w:szCs w:val="20"/>
              </w:rPr>
              <m:t>i</m:t>
            </m:r>
          </m:sub>
        </m:sSub>
      </m:oMath>
      <w:r w:rsidRPr="00204B22">
        <w:rPr>
          <w:rFonts w:ascii="Helvetica" w:hAnsi="Helvetica" w:cs="Arial"/>
          <w:sz w:val="20"/>
          <w:szCs w:val="20"/>
        </w:rPr>
        <w:t>, where </w:t>
      </w:r>
      <m:oMath>
        <m:sSub>
          <m:sSubPr>
            <m:ctrlPr>
              <w:rPr>
                <w:rFonts w:ascii="Cambria Math" w:hAnsi="Cambria Math" w:cs="Arial"/>
                <w:sz w:val="20"/>
                <w:szCs w:val="20"/>
              </w:rPr>
            </m:ctrlPr>
          </m:sSubPr>
          <m:e>
            <m:r>
              <w:rPr>
                <w:rFonts w:ascii="Cambria Math" w:hAnsi="Cambria Math" w:cs="Arial"/>
                <w:sz w:val="20"/>
                <w:szCs w:val="20"/>
              </w:rPr>
              <m:t>K</m:t>
            </m:r>
          </m:e>
          <m:sub>
            <m:r>
              <w:rPr>
                <w:rFonts w:ascii="Cambria Math" w:hAnsi="Cambria Math" w:cs="Arial"/>
                <w:sz w:val="20"/>
                <w:szCs w:val="20"/>
              </w:rPr>
              <m:t>i</m:t>
            </m:r>
          </m:sub>
        </m:sSub>
      </m:oMath>
      <w:r w:rsidRPr="00204B22">
        <w:rPr>
          <w:rFonts w:ascii="Helvetica" w:hAnsi="Helvetica" w:cs="Arial"/>
          <w:sz w:val="20"/>
          <w:szCs w:val="20"/>
        </w:rPr>
        <w:t> varies across agreements depending on length, structure, and workflow configuration.</w:t>
      </w:r>
    </w:p>
    <w:p w14:paraId="037BBF5A" w14:textId="33ECC735" w:rsidR="00204B22" w:rsidRPr="00204B22" w:rsidRDefault="00204B22" w:rsidP="00204B22">
      <w:pPr>
        <w:spacing w:after="210" w:line="360" w:lineRule="auto"/>
        <w:rPr>
          <w:rFonts w:ascii="Helvetica" w:hAnsi="Helvetica" w:cs="Arial"/>
          <w:sz w:val="20"/>
          <w:szCs w:val="20"/>
        </w:rPr>
      </w:pPr>
      <w:r w:rsidRPr="00204B22">
        <w:rPr>
          <w:rFonts w:ascii="Helvetica" w:hAnsi="Helvetica" w:cs="Arial"/>
          <w:sz w:val="20"/>
          <w:szCs w:val="20"/>
        </w:rPr>
        <w:t>For each inference call </w:t>
      </w:r>
      <m:oMath>
        <m:sSub>
          <m:sSubPr>
            <m:ctrlPr>
              <w:rPr>
                <w:rFonts w:ascii="Cambria Math" w:hAnsi="Cambria Math" w:cs="Arial"/>
                <w:sz w:val="20"/>
                <w:szCs w:val="20"/>
              </w:rPr>
            </m:ctrlPr>
          </m:sSubPr>
          <m:e>
            <m:r>
              <w:rPr>
                <w:rFonts w:ascii="Cambria Math" w:hAnsi="Cambria Math" w:cs="Arial"/>
                <w:sz w:val="20"/>
                <w:szCs w:val="20"/>
              </w:rPr>
              <m:t>c</m:t>
            </m:r>
          </m:e>
          <m:sub>
            <m:r>
              <w:rPr>
                <w:rFonts w:ascii="Cambria Math" w:hAnsi="Cambria Math" w:cs="Arial"/>
                <w:sz w:val="20"/>
                <w:szCs w:val="20"/>
              </w:rPr>
              <m:t>ij</m:t>
            </m:r>
          </m:sub>
        </m:sSub>
      </m:oMath>
      <w:r w:rsidRPr="00204B22">
        <w:rPr>
          <w:rFonts w:ascii="Helvetica" w:hAnsi="Helvetica" w:cs="Arial"/>
          <w:sz w:val="20"/>
          <w:szCs w:val="20"/>
        </w:rPr>
        <w:t>, define a monetary cost term </w:t>
      </w:r>
      <m:oMath>
        <m:sSub>
          <m:sSubPr>
            <m:ctrlPr>
              <w:rPr>
                <w:rFonts w:ascii="Cambria Math" w:hAnsi="Cambria Math" w:cs="Arial"/>
                <w:sz w:val="20"/>
                <w:szCs w:val="20"/>
              </w:rPr>
            </m:ctrlPr>
          </m:sSubPr>
          <m:e>
            <m:r>
              <w:rPr>
                <w:rFonts w:ascii="Cambria Math" w:hAnsi="Cambria Math" w:cs="Arial"/>
                <w:sz w:val="20"/>
                <w:szCs w:val="20"/>
              </w:rPr>
              <m:t>C</m:t>
            </m:r>
          </m:e>
          <m:sub>
            <m:r>
              <w:rPr>
                <w:rFonts w:ascii="Cambria Math" w:hAnsi="Cambria Math" w:cs="Arial"/>
                <w:sz w:val="20"/>
                <w:szCs w:val="20"/>
              </w:rPr>
              <m:t>ij</m:t>
            </m:r>
          </m:sub>
        </m:sSub>
      </m:oMath>
      <w:r w:rsidRPr="00204B22">
        <w:rPr>
          <w:rFonts w:ascii="Helvetica" w:hAnsi="Helvetica" w:cs="Arial"/>
          <w:sz w:val="20"/>
          <w:szCs w:val="20"/>
        </w:rPr>
        <w:t> and an energy term </w:t>
      </w:r>
      <m:oMath>
        <m:sSub>
          <m:sSubPr>
            <m:ctrlPr>
              <w:rPr>
                <w:rFonts w:ascii="Cambria Math" w:hAnsi="Cambria Math" w:cs="Arial"/>
                <w:sz w:val="20"/>
                <w:szCs w:val="20"/>
              </w:rPr>
            </m:ctrlPr>
          </m:sSubPr>
          <m:e>
            <m:r>
              <w:rPr>
                <w:rFonts w:ascii="Cambria Math" w:hAnsi="Cambria Math" w:cs="Arial"/>
                <w:sz w:val="20"/>
                <w:szCs w:val="20"/>
              </w:rPr>
              <m:t>E</m:t>
            </m:r>
          </m:e>
          <m:sub>
            <m:r>
              <w:rPr>
                <w:rFonts w:ascii="Cambria Math" w:hAnsi="Cambria Math" w:cs="Arial"/>
                <w:sz w:val="20"/>
                <w:szCs w:val="20"/>
              </w:rPr>
              <m:t>ij</m:t>
            </m:r>
          </m:sub>
        </m:sSub>
      </m:oMath>
      <w:r w:rsidRPr="00204B22">
        <w:rPr>
          <w:rFonts w:ascii="Helvetica" w:hAnsi="Helvetica" w:cs="Arial"/>
          <w:sz w:val="20"/>
          <w:szCs w:val="20"/>
        </w:rPr>
        <w:t>. The cost </w:t>
      </w:r>
      <m:oMath>
        <m:sSub>
          <m:sSubPr>
            <m:ctrlPr>
              <w:rPr>
                <w:rFonts w:ascii="Cambria Math" w:hAnsi="Cambria Math" w:cs="Arial"/>
                <w:sz w:val="20"/>
                <w:szCs w:val="20"/>
              </w:rPr>
            </m:ctrlPr>
          </m:sSubPr>
          <m:e>
            <m:r>
              <w:rPr>
                <w:rFonts w:ascii="Cambria Math" w:hAnsi="Cambria Math" w:cs="Arial"/>
                <w:sz w:val="20"/>
                <w:szCs w:val="20"/>
              </w:rPr>
              <m:t>C</m:t>
            </m:r>
          </m:e>
          <m:sub>
            <m:r>
              <w:rPr>
                <w:rFonts w:ascii="Cambria Math" w:hAnsi="Cambria Math" w:cs="Arial"/>
                <w:sz w:val="20"/>
                <w:szCs w:val="20"/>
              </w:rPr>
              <m:t>ij</m:t>
            </m:r>
          </m:sub>
        </m:sSub>
      </m:oMath>
      <w:r w:rsidRPr="00204B22">
        <w:rPr>
          <w:rFonts w:ascii="Helvetica" w:hAnsi="Helvetica" w:cs="Arial"/>
          <w:sz w:val="20"/>
          <w:szCs w:val="20"/>
        </w:rPr>
        <w:t> aggregates GPU/CPU time, memory usage, and infrastructure-level charges (e.g., per–GPU-hour pricing, storage, networking, orchestration), while the energy term </w:t>
      </w:r>
      <m:oMath>
        <m:sSub>
          <m:sSubPr>
            <m:ctrlPr>
              <w:rPr>
                <w:rFonts w:ascii="Cambria Math" w:hAnsi="Cambria Math" w:cs="Arial"/>
                <w:sz w:val="20"/>
                <w:szCs w:val="20"/>
              </w:rPr>
            </m:ctrlPr>
          </m:sSubPr>
          <m:e>
            <m:r>
              <w:rPr>
                <w:rFonts w:ascii="Cambria Math" w:hAnsi="Cambria Math" w:cs="Arial"/>
                <w:sz w:val="20"/>
                <w:szCs w:val="20"/>
              </w:rPr>
              <m:t>E</m:t>
            </m:r>
          </m:e>
          <m:sub>
            <m:r>
              <w:rPr>
                <w:rFonts w:ascii="Cambria Math" w:hAnsi="Cambria Math" w:cs="Arial"/>
                <w:sz w:val="20"/>
                <w:szCs w:val="20"/>
              </w:rPr>
              <m:t>ij</m:t>
            </m:r>
          </m:sub>
        </m:sSub>
      </m:oMath>
      <w:r w:rsidRPr="00204B22">
        <w:rPr>
          <w:rFonts w:ascii="Helvetica" w:hAnsi="Helvetica" w:cs="Arial"/>
          <w:sz w:val="20"/>
          <w:szCs w:val="20"/>
        </w:rPr>
        <w:t> accounts for device power draw and runtime duration under the chosen hardware and software stack. The total cost and energy over the workload are:</w:t>
      </w:r>
    </w:p>
    <w:p w14:paraId="3D688FCD" w14:textId="34C43131" w:rsidR="00204B22" w:rsidRPr="00204B22" w:rsidRDefault="00204B22" w:rsidP="00204B22">
      <w:pPr>
        <w:spacing w:after="210" w:line="360" w:lineRule="auto"/>
        <w:rPr>
          <w:rFonts w:ascii="Helvetica" w:hAnsi="Helvetica" w:cs="Arial"/>
          <w:sz w:val="20"/>
          <w:szCs w:val="20"/>
        </w:rPr>
      </w:pPr>
      <m:oMathPara>
        <m:oMath>
          <m:r>
            <m:rPr>
              <m:nor/>
            </m:rPr>
            <w:rPr>
              <w:rFonts w:ascii="Helvetica" w:hAnsi="Helvetica" w:cs="Arial"/>
              <w:sz w:val="20"/>
              <w:szCs w:val="20"/>
            </w:rPr>
            <m:t>Cost</m:t>
          </m:r>
          <m:r>
            <w:rPr>
              <w:rFonts w:ascii="Cambria Math" w:hAnsi="Cambria Math" w:cs="Arial"/>
              <w:sz w:val="20"/>
              <w:szCs w:val="20"/>
            </w:rPr>
            <m:t>(θ)=</m:t>
          </m:r>
          <m:nary>
            <m:naryPr>
              <m:chr m:val="∑"/>
              <m:limLoc m:val="undOvr"/>
              <m:grow m:val="1"/>
              <m:ctrlPr>
                <w:rPr>
                  <w:rFonts w:ascii="Cambria Math" w:hAnsi="Cambria Math" w:cs="Arial"/>
                  <w:sz w:val="20"/>
                  <w:szCs w:val="20"/>
                </w:rPr>
              </m:ctrlPr>
            </m:naryPr>
            <m:sub>
              <m:r>
                <w:rPr>
                  <w:rFonts w:ascii="Cambria Math" w:hAnsi="Cambria Math" w:cs="Arial"/>
                  <w:sz w:val="20"/>
                  <w:szCs w:val="20"/>
                </w:rPr>
                <m:t>i=1</m:t>
              </m:r>
            </m:sub>
            <m:sup>
              <m:r>
                <w:rPr>
                  <w:rFonts w:ascii="Cambria Math" w:hAnsi="Cambria Math" w:cs="Arial"/>
                  <w:sz w:val="20"/>
                  <w:szCs w:val="20"/>
                </w:rPr>
                <m:t>N</m:t>
              </m:r>
            </m:sup>
            <m:e>
              <m:nary>
                <m:naryPr>
                  <m:chr m:val="∑"/>
                  <m:limLoc m:val="undOvr"/>
                  <m:grow m:val="1"/>
                  <m:ctrlPr>
                    <w:rPr>
                      <w:rFonts w:ascii="Cambria Math" w:hAnsi="Cambria Math" w:cs="Arial"/>
                      <w:sz w:val="20"/>
                      <w:szCs w:val="20"/>
                    </w:rPr>
                  </m:ctrlPr>
                </m:naryPr>
                <m:sub>
                  <m:r>
                    <w:rPr>
                      <w:rFonts w:ascii="Cambria Math" w:hAnsi="Cambria Math" w:cs="Arial"/>
                      <w:sz w:val="20"/>
                      <w:szCs w:val="20"/>
                    </w:rPr>
                    <m:t>j=1</m:t>
                  </m:r>
                </m:sub>
                <m:sup>
                  <m:sSub>
                    <m:sSubPr>
                      <m:ctrlPr>
                        <w:rPr>
                          <w:rFonts w:ascii="Cambria Math" w:hAnsi="Cambria Math" w:cs="Arial"/>
                          <w:sz w:val="20"/>
                          <w:szCs w:val="20"/>
                        </w:rPr>
                      </m:ctrlPr>
                    </m:sSubPr>
                    <m:e>
                      <m:r>
                        <w:rPr>
                          <w:rFonts w:ascii="Cambria Math" w:hAnsi="Cambria Math" w:cs="Arial"/>
                          <w:sz w:val="20"/>
                          <w:szCs w:val="20"/>
                        </w:rPr>
                        <m:t>K</m:t>
                      </m:r>
                    </m:e>
                    <m:sub>
                      <m:r>
                        <w:rPr>
                          <w:rFonts w:ascii="Cambria Math" w:hAnsi="Cambria Math" w:cs="Arial"/>
                          <w:sz w:val="20"/>
                          <w:szCs w:val="20"/>
                        </w:rPr>
                        <m:t>i</m:t>
                      </m:r>
                    </m:sub>
                  </m:sSub>
                </m:sup>
                <m:e>
                  <m:sSub>
                    <m:sSubPr>
                      <m:ctrlPr>
                        <w:rPr>
                          <w:rFonts w:ascii="Cambria Math" w:hAnsi="Cambria Math" w:cs="Arial"/>
                          <w:sz w:val="20"/>
                          <w:szCs w:val="20"/>
                        </w:rPr>
                      </m:ctrlPr>
                    </m:sSubPr>
                    <m:e>
                      <m:r>
                        <w:rPr>
                          <w:rFonts w:ascii="Cambria Math" w:hAnsi="Cambria Math" w:cs="Arial"/>
                          <w:sz w:val="20"/>
                          <w:szCs w:val="20"/>
                        </w:rPr>
                        <m:t>C</m:t>
                      </m:r>
                    </m:e>
                    <m:sub>
                      <m:r>
                        <w:rPr>
                          <w:rFonts w:ascii="Cambria Math" w:hAnsi="Cambria Math" w:cs="Arial"/>
                          <w:sz w:val="20"/>
                          <w:szCs w:val="20"/>
                        </w:rPr>
                        <m:t>ij</m:t>
                      </m:r>
                    </m:sub>
                  </m:sSub>
                </m:e>
              </m:nary>
            </m:e>
          </m:nary>
          <m:r>
            <w:rPr>
              <w:rFonts w:ascii="Cambria Math" w:hAnsi="Cambria Math" w:cs="Arial"/>
              <w:sz w:val="20"/>
              <w:szCs w:val="20"/>
            </w:rPr>
            <m:t>(θ),</m:t>
          </m:r>
          <m:r>
            <w:rPr>
              <w:rFonts w:ascii="Helvetica" w:hAnsi="Helvetica" w:cs="Arial"/>
              <w:sz w:val="20"/>
              <w:szCs w:val="20"/>
            </w:rPr>
            <w:br/>
          </m:r>
        </m:oMath>
        <m:oMath>
          <m:r>
            <m:rPr>
              <m:nor/>
            </m:rPr>
            <w:rPr>
              <w:rFonts w:ascii="Helvetica" w:hAnsi="Helvetica" w:cs="Arial"/>
              <w:sz w:val="20"/>
              <w:szCs w:val="20"/>
            </w:rPr>
            <m:t>Energy</m:t>
          </m:r>
          <m:r>
            <w:rPr>
              <w:rFonts w:ascii="Cambria Math" w:hAnsi="Cambria Math" w:cs="Arial"/>
              <w:sz w:val="20"/>
              <w:szCs w:val="20"/>
            </w:rPr>
            <m:t>(θ)=</m:t>
          </m:r>
          <m:nary>
            <m:naryPr>
              <m:chr m:val="∑"/>
              <m:limLoc m:val="undOvr"/>
              <m:grow m:val="1"/>
              <m:ctrlPr>
                <w:rPr>
                  <w:rFonts w:ascii="Cambria Math" w:hAnsi="Cambria Math" w:cs="Arial"/>
                  <w:sz w:val="20"/>
                  <w:szCs w:val="20"/>
                </w:rPr>
              </m:ctrlPr>
            </m:naryPr>
            <m:sub>
              <m:r>
                <w:rPr>
                  <w:rFonts w:ascii="Cambria Math" w:hAnsi="Cambria Math" w:cs="Arial"/>
                  <w:sz w:val="20"/>
                  <w:szCs w:val="20"/>
                </w:rPr>
                <m:t>i=1</m:t>
              </m:r>
            </m:sub>
            <m:sup>
              <m:r>
                <w:rPr>
                  <w:rFonts w:ascii="Cambria Math" w:hAnsi="Cambria Math" w:cs="Arial"/>
                  <w:sz w:val="20"/>
                  <w:szCs w:val="20"/>
                </w:rPr>
                <m:t>N</m:t>
              </m:r>
            </m:sup>
            <m:e>
              <m:nary>
                <m:naryPr>
                  <m:chr m:val="∑"/>
                  <m:limLoc m:val="undOvr"/>
                  <m:grow m:val="1"/>
                  <m:ctrlPr>
                    <w:rPr>
                      <w:rFonts w:ascii="Cambria Math" w:hAnsi="Cambria Math" w:cs="Arial"/>
                      <w:sz w:val="20"/>
                      <w:szCs w:val="20"/>
                    </w:rPr>
                  </m:ctrlPr>
                </m:naryPr>
                <m:sub>
                  <m:r>
                    <w:rPr>
                      <w:rFonts w:ascii="Cambria Math" w:hAnsi="Cambria Math" w:cs="Arial"/>
                      <w:sz w:val="20"/>
                      <w:szCs w:val="20"/>
                    </w:rPr>
                    <m:t>j=1</m:t>
                  </m:r>
                </m:sub>
                <m:sup>
                  <m:sSub>
                    <m:sSubPr>
                      <m:ctrlPr>
                        <w:rPr>
                          <w:rFonts w:ascii="Cambria Math" w:hAnsi="Cambria Math" w:cs="Arial"/>
                          <w:sz w:val="20"/>
                          <w:szCs w:val="20"/>
                        </w:rPr>
                      </m:ctrlPr>
                    </m:sSubPr>
                    <m:e>
                      <m:r>
                        <w:rPr>
                          <w:rFonts w:ascii="Cambria Math" w:hAnsi="Cambria Math" w:cs="Arial"/>
                          <w:sz w:val="20"/>
                          <w:szCs w:val="20"/>
                        </w:rPr>
                        <m:t>K</m:t>
                      </m:r>
                    </m:e>
                    <m:sub>
                      <m:r>
                        <w:rPr>
                          <w:rFonts w:ascii="Cambria Math" w:hAnsi="Cambria Math" w:cs="Arial"/>
                          <w:sz w:val="20"/>
                          <w:szCs w:val="20"/>
                        </w:rPr>
                        <m:t>i</m:t>
                      </m:r>
                    </m:sub>
                  </m:sSub>
                </m:sup>
                <m:e>
                  <m:sSub>
                    <m:sSubPr>
                      <m:ctrlPr>
                        <w:rPr>
                          <w:rFonts w:ascii="Cambria Math" w:hAnsi="Cambria Math" w:cs="Arial"/>
                          <w:sz w:val="20"/>
                          <w:szCs w:val="20"/>
                        </w:rPr>
                      </m:ctrlPr>
                    </m:sSubPr>
                    <m:e>
                      <m:r>
                        <w:rPr>
                          <w:rFonts w:ascii="Cambria Math" w:hAnsi="Cambria Math" w:cs="Arial"/>
                          <w:sz w:val="20"/>
                          <w:szCs w:val="20"/>
                        </w:rPr>
                        <m:t>E</m:t>
                      </m:r>
                    </m:e>
                    <m:sub>
                      <m:r>
                        <w:rPr>
                          <w:rFonts w:ascii="Cambria Math" w:hAnsi="Cambria Math" w:cs="Arial"/>
                          <w:sz w:val="20"/>
                          <w:szCs w:val="20"/>
                        </w:rPr>
                        <m:t>ij</m:t>
                      </m:r>
                    </m:sub>
                  </m:sSub>
                </m:e>
              </m:nary>
            </m:e>
          </m:nary>
          <m:r>
            <w:rPr>
              <w:rFonts w:ascii="Cambria Math" w:hAnsi="Cambria Math" w:cs="Arial"/>
              <w:sz w:val="20"/>
              <w:szCs w:val="20"/>
            </w:rPr>
            <m:t>(θ),</m:t>
          </m:r>
          <m:r>
            <w:rPr>
              <w:rFonts w:ascii="Helvetica" w:hAnsi="Helvetica" w:cs="Arial"/>
              <w:sz w:val="20"/>
              <w:szCs w:val="20"/>
            </w:rPr>
            <w:br/>
          </m:r>
        </m:oMath>
      </m:oMathPara>
    </w:p>
    <w:p w14:paraId="6F617679" w14:textId="43ED82CA" w:rsidR="00204B22" w:rsidRPr="00204B22" w:rsidRDefault="00204B22" w:rsidP="00204B22">
      <w:pPr>
        <w:spacing w:after="210" w:line="360" w:lineRule="auto"/>
        <w:rPr>
          <w:rFonts w:ascii="Helvetica" w:hAnsi="Helvetica" w:cs="Arial"/>
          <w:sz w:val="20"/>
          <w:szCs w:val="20"/>
        </w:rPr>
      </w:pPr>
      <w:r w:rsidRPr="00204B22">
        <w:rPr>
          <w:rFonts w:ascii="Helvetica" w:hAnsi="Helvetica" w:cs="Arial"/>
          <w:sz w:val="20"/>
          <w:szCs w:val="20"/>
        </w:rPr>
        <w:t>where </w:t>
      </w:r>
      <m:oMath>
        <m:r>
          <w:rPr>
            <w:rFonts w:ascii="Cambria Math" w:hAnsi="Cambria Math" w:cs="Arial"/>
            <w:sz w:val="20"/>
            <w:szCs w:val="20"/>
          </w:rPr>
          <m:t>θ</m:t>
        </m:r>
      </m:oMath>
      <w:r w:rsidRPr="00204B22">
        <w:rPr>
          <w:rFonts w:ascii="Helvetica" w:hAnsi="Helvetica" w:cs="Arial"/>
          <w:sz w:val="20"/>
          <w:szCs w:val="20"/>
        </w:rPr>
        <w:t> collects the controllable system configuration choices, including model family and size, quantization level, routing policy, batch configuration, runtime engine, hardware allocation, and workflow-level design.</w:t>
      </w:r>
    </w:p>
    <w:p w14:paraId="090AF958" w14:textId="77777777" w:rsidR="00204B22" w:rsidRPr="00204B22" w:rsidRDefault="00204B22" w:rsidP="00204B22">
      <w:pPr>
        <w:spacing w:after="210" w:line="360" w:lineRule="auto"/>
        <w:rPr>
          <w:rFonts w:ascii="Helvetica" w:hAnsi="Helvetica" w:cs="Arial"/>
          <w:sz w:val="20"/>
          <w:szCs w:val="20"/>
        </w:rPr>
      </w:pPr>
      <w:r w:rsidRPr="00204B22">
        <w:rPr>
          <w:rFonts w:ascii="Helvetica" w:hAnsi="Helvetica" w:cs="Arial"/>
          <w:sz w:val="20"/>
          <w:szCs w:val="20"/>
        </w:rPr>
        <w:t>The goal is to jointly minimize monetary cost and energy consumption subject to accuracy, latency, throughput, and legal-compliance constraints. Using scalarization, we obtain the following optimization problem:</w:t>
      </w:r>
    </w:p>
    <w:p w14:paraId="050C6257" w14:textId="7D7D1420" w:rsidR="00204B22" w:rsidRPr="00204B22" w:rsidRDefault="00000000" w:rsidP="00204B22">
      <w:pPr>
        <w:spacing w:after="210" w:line="360" w:lineRule="auto"/>
        <w:rPr>
          <w:rFonts w:ascii="Helvetica" w:hAnsi="Helvetica" w:cs="Arial"/>
          <w:sz w:val="20"/>
          <w:szCs w:val="20"/>
        </w:rPr>
      </w:pPr>
      <m:oMathPara>
        <m:oMath>
          <m:limLow>
            <m:limLowPr>
              <m:ctrlPr>
                <w:rPr>
                  <w:rFonts w:ascii="Cambria Math" w:hAnsi="Cambria Math" w:cs="Arial"/>
                  <w:sz w:val="20"/>
                  <w:szCs w:val="20"/>
                </w:rPr>
              </m:ctrlPr>
            </m:limLowPr>
            <m:e>
              <m:r>
                <m:rPr>
                  <m:sty m:val="p"/>
                </m:rPr>
                <w:rPr>
                  <w:rFonts w:ascii="Cambria Math" w:hAnsi="Cambria Math" w:cs="Arial"/>
                  <w:sz w:val="20"/>
                  <w:szCs w:val="20"/>
                </w:rPr>
                <m:t>min</m:t>
              </m:r>
              <m:r>
                <w:rPr>
                  <w:rFonts w:ascii="Cambria Math" w:hAnsi="Cambria Math" w:cs="Arial"/>
                  <w:sz w:val="20"/>
                  <w:szCs w:val="20"/>
                </w:rPr>
                <m:t>⁡</m:t>
              </m:r>
            </m:e>
            <m:lim>
              <m:r>
                <w:rPr>
                  <w:rFonts w:ascii="Cambria Math" w:hAnsi="Cambria Math" w:cs="Arial"/>
                  <w:sz w:val="20"/>
                  <w:szCs w:val="20"/>
                </w:rPr>
                <m:t>θ</m:t>
              </m:r>
            </m:lim>
          </m:limLow>
          <m:r>
            <m:rPr>
              <m:nor/>
            </m:rPr>
            <w:rPr>
              <w:rFonts w:ascii="Helvetica" w:hAnsi="Helvetica" w:cs="Arial"/>
              <w:sz w:val="20"/>
              <w:szCs w:val="20"/>
            </w:rPr>
            <m:t>  </m:t>
          </m:r>
          <m:r>
            <w:rPr>
              <w:rFonts w:ascii="Cambria Math" w:hAnsi="Cambria Math" w:cs="Arial"/>
              <w:sz w:val="20"/>
              <w:szCs w:val="20"/>
            </w:rPr>
            <m:t>J(θ)=α⋅</m:t>
          </m:r>
          <m:r>
            <m:rPr>
              <m:nor/>
            </m:rPr>
            <w:rPr>
              <w:rFonts w:ascii="Helvetica" w:hAnsi="Helvetica" w:cs="Arial"/>
              <w:sz w:val="20"/>
              <w:szCs w:val="20"/>
            </w:rPr>
            <m:t>Cost</m:t>
          </m:r>
          <m:r>
            <w:rPr>
              <w:rFonts w:ascii="Cambria Math" w:hAnsi="Cambria Math" w:cs="Arial"/>
              <w:sz w:val="20"/>
              <w:szCs w:val="20"/>
            </w:rPr>
            <m:t>(θ)+β⋅</m:t>
          </m:r>
          <m:r>
            <m:rPr>
              <m:nor/>
            </m:rPr>
            <w:rPr>
              <w:rFonts w:ascii="Helvetica" w:hAnsi="Helvetica" w:cs="Arial"/>
              <w:sz w:val="20"/>
              <w:szCs w:val="20"/>
            </w:rPr>
            <m:t>Energy</m:t>
          </m:r>
          <m:r>
            <w:rPr>
              <w:rFonts w:ascii="Cambria Math" w:hAnsi="Cambria Math" w:cs="Arial"/>
              <w:sz w:val="20"/>
              <w:szCs w:val="20"/>
            </w:rPr>
            <m:t>(θ),</m:t>
          </m:r>
          <m:r>
            <w:rPr>
              <w:rFonts w:ascii="Helvetica" w:hAnsi="Helvetica" w:cs="Arial"/>
              <w:sz w:val="20"/>
              <w:szCs w:val="20"/>
            </w:rPr>
            <w:br/>
          </m:r>
        </m:oMath>
      </m:oMathPara>
    </w:p>
    <w:p w14:paraId="47254E04" w14:textId="6928E03F" w:rsidR="00204B22" w:rsidRPr="00204B22" w:rsidRDefault="00204B22" w:rsidP="00204B22">
      <w:pPr>
        <w:spacing w:after="210" w:line="360" w:lineRule="auto"/>
        <w:rPr>
          <w:rFonts w:ascii="Helvetica" w:hAnsi="Helvetica" w:cs="Arial"/>
          <w:sz w:val="20"/>
          <w:szCs w:val="20"/>
        </w:rPr>
      </w:pPr>
      <w:r w:rsidRPr="00204B22">
        <w:rPr>
          <w:rFonts w:ascii="Helvetica" w:hAnsi="Helvetica" w:cs="Arial"/>
          <w:sz w:val="20"/>
          <w:szCs w:val="20"/>
        </w:rPr>
        <w:t>where </w:t>
      </w:r>
      <m:oMath>
        <m:r>
          <w:rPr>
            <w:rFonts w:ascii="Cambria Math" w:hAnsi="Cambria Math" w:cs="Arial"/>
            <w:sz w:val="20"/>
            <w:szCs w:val="20"/>
          </w:rPr>
          <m:t>α,β≥0</m:t>
        </m:r>
      </m:oMath>
      <w:r w:rsidRPr="00204B22">
        <w:rPr>
          <w:rFonts w:ascii="Helvetica" w:hAnsi="Helvetica" w:cs="Arial"/>
          <w:sz w:val="20"/>
          <w:szCs w:val="20"/>
        </w:rPr>
        <w:t> encode the enterprise preference trade-off between monetary and energy objectives.</w:t>
      </w:r>
    </w:p>
    <w:p w14:paraId="7D2EC1F2" w14:textId="255B5231" w:rsidR="00204B22" w:rsidRPr="00204B22" w:rsidRDefault="00204B22" w:rsidP="00204B22">
      <w:pPr>
        <w:spacing w:after="210" w:line="360" w:lineRule="auto"/>
        <w:rPr>
          <w:rFonts w:ascii="Helvetica" w:hAnsi="Helvetica" w:cs="Arial"/>
          <w:sz w:val="20"/>
          <w:szCs w:val="20"/>
        </w:rPr>
      </w:pPr>
      <w:r w:rsidRPr="00204B22">
        <w:rPr>
          <w:rFonts w:ascii="Helvetica" w:hAnsi="Helvetica" w:cs="Arial"/>
          <w:sz w:val="20"/>
          <w:szCs w:val="20"/>
        </w:rPr>
        <w:t>The decision variables </w:t>
      </w:r>
      <m:oMath>
        <m:r>
          <w:rPr>
            <w:rFonts w:ascii="Cambria Math" w:hAnsi="Cambria Math" w:cs="Arial"/>
            <w:sz w:val="20"/>
            <w:szCs w:val="20"/>
          </w:rPr>
          <m:t>θ</m:t>
        </m:r>
      </m:oMath>
      <w:r w:rsidRPr="00204B22">
        <w:rPr>
          <w:rFonts w:ascii="Helvetica" w:hAnsi="Helvetica" w:cs="Arial"/>
          <w:sz w:val="20"/>
          <w:szCs w:val="20"/>
        </w:rPr>
        <w:t> must satisfy the following constraints:</w:t>
      </w:r>
    </w:p>
    <w:p w14:paraId="05D36099" w14:textId="77777777" w:rsidR="00204B22" w:rsidRPr="00204B22" w:rsidRDefault="00204B22" w:rsidP="00204B22">
      <w:pPr>
        <w:spacing w:after="210" w:line="360" w:lineRule="auto"/>
        <w:rPr>
          <w:rFonts w:ascii="Helvetica" w:hAnsi="Helvetica" w:cs="Arial"/>
          <w:b/>
          <w:bCs/>
          <w:sz w:val="20"/>
          <w:szCs w:val="20"/>
        </w:rPr>
      </w:pPr>
      <w:r w:rsidRPr="00204B22">
        <w:rPr>
          <w:rFonts w:ascii="Helvetica" w:hAnsi="Helvetica" w:cs="Arial"/>
          <w:b/>
          <w:bCs/>
          <w:sz w:val="20"/>
          <w:szCs w:val="20"/>
        </w:rPr>
        <w:lastRenderedPageBreak/>
        <w:t>Accuracy constraints.</w:t>
      </w:r>
    </w:p>
    <w:p w14:paraId="192D6E7A" w14:textId="5EBC7739" w:rsidR="00204B22" w:rsidRPr="00204B22" w:rsidRDefault="00204B22" w:rsidP="00204B22">
      <w:pPr>
        <w:spacing w:after="210" w:line="360" w:lineRule="auto"/>
        <w:rPr>
          <w:rFonts w:ascii="Helvetica" w:hAnsi="Helvetica" w:cs="Arial"/>
          <w:sz w:val="20"/>
          <w:szCs w:val="20"/>
        </w:rPr>
      </w:pPr>
      <w:r w:rsidRPr="00204B22">
        <w:rPr>
          <w:rFonts w:ascii="Helvetica" w:hAnsi="Helvetica" w:cs="Arial"/>
          <w:sz w:val="20"/>
          <w:szCs w:val="20"/>
        </w:rPr>
        <w:t>For each task </w:t>
      </w:r>
      <m:oMath>
        <m:r>
          <w:rPr>
            <w:rFonts w:ascii="Cambria Math" w:hAnsi="Cambria Math" w:cs="Arial"/>
            <w:sz w:val="20"/>
            <w:szCs w:val="20"/>
          </w:rPr>
          <m:t>t</m:t>
        </m:r>
      </m:oMath>
      <w:r w:rsidRPr="00204B22">
        <w:rPr>
          <w:rFonts w:ascii="Helvetica" w:hAnsi="Helvetica" w:cs="Arial"/>
          <w:sz w:val="20"/>
          <w:szCs w:val="20"/>
        </w:rPr>
        <w:t> in the pipeline (e.g., clause extraction, risk classification),</w:t>
      </w:r>
    </w:p>
    <w:p w14:paraId="7EF40E31" w14:textId="6D02AE30" w:rsidR="00204B22" w:rsidRPr="00204B22" w:rsidRDefault="00000000" w:rsidP="00204B22">
      <w:pPr>
        <w:spacing w:after="210" w:line="360" w:lineRule="auto"/>
        <w:rPr>
          <w:rFonts w:ascii="Helvetica" w:hAnsi="Helvetica" w:cs="Arial"/>
          <w:sz w:val="20"/>
          <w:szCs w:val="20"/>
        </w:rPr>
      </w:pPr>
      <m:oMathPara>
        <m:oMath>
          <m:sSub>
            <m:sSubPr>
              <m:ctrlPr>
                <w:rPr>
                  <w:rFonts w:ascii="Cambria Math" w:hAnsi="Cambria Math" w:cs="Arial"/>
                  <w:sz w:val="20"/>
                  <w:szCs w:val="20"/>
                </w:rPr>
              </m:ctrlPr>
            </m:sSubPr>
            <m:e>
              <m:r>
                <m:rPr>
                  <m:nor/>
                </m:rPr>
                <w:rPr>
                  <w:rFonts w:ascii="Helvetica" w:hAnsi="Helvetica" w:cs="Arial"/>
                  <w:sz w:val="20"/>
                  <w:szCs w:val="20"/>
                </w:rPr>
                <m:t>Acc</m:t>
              </m:r>
            </m:e>
            <m:sub>
              <m:r>
                <w:rPr>
                  <w:rFonts w:ascii="Cambria Math" w:hAnsi="Cambria Math" w:cs="Arial"/>
                  <w:sz w:val="20"/>
                  <w:szCs w:val="20"/>
                </w:rPr>
                <m:t>t</m:t>
              </m:r>
            </m:sub>
          </m:sSub>
          <m:r>
            <w:rPr>
              <w:rFonts w:ascii="Cambria Math" w:hAnsi="Cambria Math" w:cs="Arial"/>
              <w:sz w:val="20"/>
              <w:szCs w:val="20"/>
            </w:rPr>
            <m:t>(θ)≥</m:t>
          </m:r>
          <m:sSubSup>
            <m:sSubSupPr>
              <m:ctrlPr>
                <w:rPr>
                  <w:rFonts w:ascii="Cambria Math" w:hAnsi="Cambria Math" w:cs="Arial"/>
                  <w:sz w:val="20"/>
                  <w:szCs w:val="20"/>
                </w:rPr>
              </m:ctrlPr>
            </m:sSubSupPr>
            <m:e>
              <m:r>
                <w:rPr>
                  <w:rFonts w:ascii="Cambria Math" w:hAnsi="Cambria Math" w:cs="Arial"/>
                  <w:sz w:val="20"/>
                  <w:szCs w:val="20"/>
                </w:rPr>
                <m:t>A</m:t>
              </m:r>
            </m:e>
            <m:sub>
              <m:r>
                <w:rPr>
                  <w:rFonts w:ascii="Cambria Math" w:hAnsi="Cambria Math" w:cs="Arial"/>
                  <w:sz w:val="20"/>
                  <w:szCs w:val="20"/>
                </w:rPr>
                <m:t>t</m:t>
              </m:r>
            </m:sub>
            <m:sup>
              <m:r>
                <m:rPr>
                  <m:sty m:val="p"/>
                </m:rPr>
                <w:rPr>
                  <w:rFonts w:ascii="Cambria Math" w:hAnsi="Cambria Math" w:cs="Arial"/>
                  <w:sz w:val="20"/>
                  <w:szCs w:val="20"/>
                </w:rPr>
                <m:t>min</m:t>
              </m:r>
            </m:sup>
          </m:sSubSup>
          <m:r>
            <w:rPr>
              <w:rFonts w:ascii="Cambria Math" w:hAnsi="Cambria Math" w:cs="Arial"/>
              <w:sz w:val="20"/>
              <w:szCs w:val="20"/>
            </w:rPr>
            <m:t>,</m:t>
          </m:r>
          <m:r>
            <m:rPr>
              <m:sty m:val="p"/>
            </m:rPr>
            <w:rPr>
              <w:rFonts w:ascii="Cambria Math" w:hAnsi="Cambria Math" w:cs="Arial"/>
              <w:sz w:val="20"/>
              <w:szCs w:val="20"/>
            </w:rPr>
            <m:t>∀</m:t>
          </m:r>
          <m:r>
            <w:rPr>
              <w:rFonts w:ascii="Cambria Math" w:hAnsi="Cambria Math" w:cs="Arial"/>
              <w:sz w:val="20"/>
              <w:szCs w:val="20"/>
            </w:rPr>
            <m:t>t</m:t>
          </m:r>
          <m:r>
            <m:rPr>
              <m:sty m:val="p"/>
            </m:rPr>
            <w:rPr>
              <w:rFonts w:ascii="Cambria Math" w:hAnsi="Cambria Math" w:cs="Arial"/>
              <w:sz w:val="20"/>
              <w:szCs w:val="20"/>
            </w:rPr>
            <m:t>.</m:t>
          </m:r>
          <m:r>
            <m:rPr>
              <m:sty m:val="p"/>
            </m:rPr>
            <w:rPr>
              <w:rFonts w:ascii="Helvetica" w:hAnsi="Helvetica" w:cs="Arial"/>
              <w:sz w:val="20"/>
              <w:szCs w:val="20"/>
            </w:rPr>
            <w:br/>
          </m:r>
        </m:oMath>
      </m:oMathPara>
    </w:p>
    <w:p w14:paraId="73D15FC4" w14:textId="77777777" w:rsidR="00204B22" w:rsidRPr="00204B22" w:rsidRDefault="00204B22" w:rsidP="00204B22">
      <w:pPr>
        <w:spacing w:after="210" w:line="360" w:lineRule="auto"/>
        <w:rPr>
          <w:rFonts w:ascii="Helvetica" w:hAnsi="Helvetica" w:cs="Arial"/>
          <w:b/>
          <w:bCs/>
          <w:sz w:val="20"/>
          <w:szCs w:val="20"/>
        </w:rPr>
      </w:pPr>
      <w:r w:rsidRPr="00204B22">
        <w:rPr>
          <w:rFonts w:ascii="Helvetica" w:hAnsi="Helvetica" w:cs="Arial"/>
          <w:b/>
          <w:bCs/>
          <w:sz w:val="20"/>
          <w:szCs w:val="20"/>
        </w:rPr>
        <w:t>Latency and throughput constraints.</w:t>
      </w:r>
    </w:p>
    <w:p w14:paraId="4253C6AF" w14:textId="77777777" w:rsidR="00204B22" w:rsidRPr="00204B22" w:rsidRDefault="00204B22" w:rsidP="00204B22">
      <w:pPr>
        <w:spacing w:after="210" w:line="360" w:lineRule="auto"/>
        <w:rPr>
          <w:rFonts w:ascii="Helvetica" w:hAnsi="Helvetica" w:cs="Arial"/>
          <w:sz w:val="20"/>
          <w:szCs w:val="20"/>
        </w:rPr>
      </w:pPr>
      <w:r w:rsidRPr="00204B22">
        <w:rPr>
          <w:rFonts w:ascii="Helvetica" w:hAnsi="Helvetica" w:cs="Arial"/>
          <w:sz w:val="20"/>
          <w:szCs w:val="20"/>
        </w:rPr>
        <w:t>Interactive workflows (e.g., live redlining) impose an end-to-end p95 latency requirement, while batch workflows (e.g., portfolio due diligence) require minimum throughput:</w:t>
      </w:r>
    </w:p>
    <w:p w14:paraId="22F9F161" w14:textId="6840E7C5" w:rsidR="00204B22" w:rsidRPr="00204B22" w:rsidRDefault="00204B22" w:rsidP="00204B22">
      <w:pPr>
        <w:spacing w:after="210" w:line="360" w:lineRule="auto"/>
        <w:rPr>
          <w:rFonts w:ascii="Helvetica" w:hAnsi="Helvetica" w:cs="Arial"/>
          <w:sz w:val="20"/>
          <w:szCs w:val="20"/>
        </w:rPr>
      </w:pPr>
      <m:oMathPara>
        <m:oMath>
          <m:r>
            <m:rPr>
              <m:nor/>
            </m:rPr>
            <w:rPr>
              <w:rFonts w:ascii="Helvetica" w:hAnsi="Helvetica" w:cs="Arial"/>
              <w:sz w:val="20"/>
              <w:szCs w:val="20"/>
            </w:rPr>
            <m:t>p95Latency</m:t>
          </m:r>
          <m:r>
            <w:rPr>
              <w:rFonts w:ascii="Cambria Math" w:hAnsi="Cambria Math" w:cs="Arial"/>
              <w:sz w:val="20"/>
              <w:szCs w:val="20"/>
            </w:rPr>
            <m:t>(θ)≤</m:t>
          </m:r>
          <m:sSub>
            <m:sSubPr>
              <m:ctrlPr>
                <w:rPr>
                  <w:rFonts w:ascii="Cambria Math" w:hAnsi="Cambria Math" w:cs="Arial"/>
                  <w:sz w:val="20"/>
                  <w:szCs w:val="20"/>
                </w:rPr>
              </m:ctrlPr>
            </m:sSubPr>
            <m:e>
              <m:r>
                <w:rPr>
                  <w:rFonts w:ascii="Cambria Math" w:hAnsi="Cambria Math" w:cs="Arial"/>
                  <w:sz w:val="20"/>
                  <w:szCs w:val="20"/>
                </w:rPr>
                <m:t>L</m:t>
              </m:r>
            </m:e>
            <m:sub>
              <m:r>
                <m:rPr>
                  <m:sty m:val="p"/>
                </m:rPr>
                <w:rPr>
                  <w:rFonts w:ascii="Cambria Math" w:hAnsi="Cambria Math" w:cs="Arial"/>
                  <w:sz w:val="20"/>
                  <w:szCs w:val="20"/>
                </w:rPr>
                <m:t>max</m:t>
              </m:r>
            </m:sub>
          </m:sSub>
          <m:r>
            <w:rPr>
              <w:rFonts w:ascii="Cambria Math" w:hAnsi="Cambria Math" w:cs="Arial"/>
              <w:sz w:val="20"/>
              <w:szCs w:val="20"/>
            </w:rPr>
            <m:t>,</m:t>
          </m:r>
          <m:r>
            <m:rPr>
              <m:nor/>
            </m:rPr>
            <w:rPr>
              <w:rFonts w:ascii="Helvetica" w:hAnsi="Helvetica" w:cs="Arial"/>
              <w:sz w:val="20"/>
              <w:szCs w:val="20"/>
            </w:rPr>
            <m:t>Throughput</m:t>
          </m:r>
          <m:r>
            <w:rPr>
              <w:rFonts w:ascii="Cambria Math" w:hAnsi="Cambria Math" w:cs="Arial"/>
              <w:sz w:val="20"/>
              <w:szCs w:val="20"/>
            </w:rPr>
            <m:t>(θ)≥</m:t>
          </m:r>
          <m:sSub>
            <m:sSubPr>
              <m:ctrlPr>
                <w:rPr>
                  <w:rFonts w:ascii="Cambria Math" w:hAnsi="Cambria Math" w:cs="Arial"/>
                  <w:sz w:val="20"/>
                  <w:szCs w:val="20"/>
                </w:rPr>
              </m:ctrlPr>
            </m:sSubPr>
            <m:e>
              <m:r>
                <w:rPr>
                  <w:rFonts w:ascii="Cambria Math" w:hAnsi="Cambria Math" w:cs="Arial"/>
                  <w:sz w:val="20"/>
                  <w:szCs w:val="20"/>
                </w:rPr>
                <m:t>T</m:t>
              </m:r>
            </m:e>
            <m:sub>
              <m:r>
                <m:rPr>
                  <m:sty m:val="p"/>
                </m:rPr>
                <w:rPr>
                  <w:rFonts w:ascii="Cambria Math" w:hAnsi="Cambria Math" w:cs="Arial"/>
                  <w:sz w:val="20"/>
                  <w:szCs w:val="20"/>
                </w:rPr>
                <m:t>min</m:t>
              </m:r>
            </m:sub>
          </m:sSub>
          <m:r>
            <m:rPr>
              <m:sty m:val="p"/>
            </m:rPr>
            <w:rPr>
              <w:rFonts w:ascii="Cambria Math" w:hAnsi="Cambria Math" w:cs="Arial"/>
              <w:sz w:val="20"/>
              <w:szCs w:val="20"/>
            </w:rPr>
            <m:t>.</m:t>
          </m:r>
          <m:r>
            <m:rPr>
              <m:sty m:val="p"/>
            </m:rPr>
            <w:rPr>
              <w:rFonts w:ascii="Helvetica" w:hAnsi="Helvetica" w:cs="Arial"/>
              <w:sz w:val="20"/>
              <w:szCs w:val="20"/>
            </w:rPr>
            <w:br/>
          </m:r>
        </m:oMath>
      </m:oMathPara>
    </w:p>
    <w:p w14:paraId="69ADECDA" w14:textId="77777777" w:rsidR="00204B22" w:rsidRPr="00204B22" w:rsidRDefault="00204B22" w:rsidP="00204B22">
      <w:pPr>
        <w:spacing w:after="210" w:line="360" w:lineRule="auto"/>
        <w:rPr>
          <w:rFonts w:ascii="Helvetica" w:hAnsi="Helvetica" w:cs="Arial"/>
          <w:b/>
          <w:bCs/>
          <w:sz w:val="20"/>
          <w:szCs w:val="20"/>
        </w:rPr>
      </w:pPr>
      <w:r w:rsidRPr="00204B22">
        <w:rPr>
          <w:rFonts w:ascii="Helvetica" w:hAnsi="Helvetica" w:cs="Arial"/>
          <w:b/>
          <w:bCs/>
          <w:sz w:val="20"/>
          <w:szCs w:val="20"/>
        </w:rPr>
        <w:t>Compliance and governance constraints.</w:t>
      </w:r>
    </w:p>
    <w:p w14:paraId="5064667F" w14:textId="77777777" w:rsidR="00204B22" w:rsidRPr="00204B22" w:rsidRDefault="00204B22" w:rsidP="00204B22">
      <w:pPr>
        <w:spacing w:after="210" w:line="360" w:lineRule="auto"/>
        <w:rPr>
          <w:rFonts w:ascii="Helvetica" w:hAnsi="Helvetica" w:cs="Arial"/>
          <w:sz w:val="20"/>
          <w:szCs w:val="20"/>
        </w:rPr>
      </w:pPr>
      <w:r w:rsidRPr="00204B22">
        <w:rPr>
          <w:rFonts w:ascii="Helvetica" w:hAnsi="Helvetica" w:cs="Arial"/>
          <w:sz w:val="20"/>
          <w:szCs w:val="20"/>
        </w:rPr>
        <w:t>Deployed configurations must satisfy jurisdictional data residency rules, attorney–client confidentiality boundaries, and auditability requirements. These are captured by:</w:t>
      </w:r>
    </w:p>
    <w:p w14:paraId="36BD0748" w14:textId="70C8E3A1" w:rsidR="00204B22" w:rsidRPr="00204B22" w:rsidRDefault="00204B22" w:rsidP="00204B22">
      <w:pPr>
        <w:spacing w:after="210" w:line="360" w:lineRule="auto"/>
        <w:rPr>
          <w:rFonts w:ascii="Helvetica" w:hAnsi="Helvetica" w:cs="Arial"/>
          <w:sz w:val="20"/>
          <w:szCs w:val="20"/>
        </w:rPr>
      </w:pPr>
      <m:oMathPara>
        <m:oMath>
          <m:r>
            <w:rPr>
              <w:rFonts w:ascii="Cambria Math" w:hAnsi="Cambria Math" w:cs="Arial"/>
              <w:sz w:val="20"/>
              <w:szCs w:val="20"/>
            </w:rPr>
            <m:t>θ∈</m:t>
          </m:r>
          <m:sSub>
            <m:sSubPr>
              <m:ctrlPr>
                <w:rPr>
                  <w:rFonts w:ascii="Cambria Math" w:hAnsi="Cambria Math" w:cs="Arial"/>
                  <w:sz w:val="20"/>
                  <w:szCs w:val="20"/>
                </w:rPr>
              </m:ctrlPr>
            </m:sSubPr>
            <m:e>
              <m:r>
                <m:rPr>
                  <m:sty m:val="p"/>
                </m:rPr>
                <w:rPr>
                  <w:rFonts w:ascii="Cambria Math" w:hAnsi="Cambria Math" w:cs="Arial"/>
                  <w:sz w:val="20"/>
                  <w:szCs w:val="20"/>
                </w:rPr>
                <m:t>Θ</m:t>
              </m:r>
            </m:e>
            <m:sub>
              <m:r>
                <m:rPr>
                  <m:nor/>
                </m:rPr>
                <w:rPr>
                  <w:rFonts w:ascii="Helvetica" w:hAnsi="Helvetica" w:cs="Arial"/>
                  <w:sz w:val="20"/>
                  <w:szCs w:val="20"/>
                </w:rPr>
                <m:t>legal</m:t>
              </m:r>
            </m:sub>
          </m:sSub>
          <m:r>
            <w:rPr>
              <w:rFonts w:ascii="Cambria Math" w:hAnsi="Cambria Math" w:cs="Arial"/>
              <w:sz w:val="20"/>
              <w:szCs w:val="20"/>
            </w:rPr>
            <m:t>,</m:t>
          </m:r>
          <m:r>
            <w:rPr>
              <w:rFonts w:ascii="Helvetica" w:hAnsi="Helvetica" w:cs="Arial"/>
              <w:sz w:val="20"/>
              <w:szCs w:val="20"/>
            </w:rPr>
            <w:br/>
          </m:r>
        </m:oMath>
      </m:oMathPara>
    </w:p>
    <w:p w14:paraId="0CCD1346" w14:textId="34DD713D" w:rsidR="00204B22" w:rsidRPr="00204B22" w:rsidRDefault="00204B22" w:rsidP="00204B22">
      <w:pPr>
        <w:spacing w:after="210" w:line="360" w:lineRule="auto"/>
        <w:rPr>
          <w:rFonts w:ascii="Helvetica" w:hAnsi="Helvetica" w:cs="Arial"/>
          <w:sz w:val="20"/>
          <w:szCs w:val="20"/>
        </w:rPr>
      </w:pPr>
      <w:r w:rsidRPr="00204B22">
        <w:rPr>
          <w:rFonts w:ascii="Helvetica" w:hAnsi="Helvetica" w:cs="Arial"/>
          <w:sz w:val="20"/>
          <w:szCs w:val="20"/>
        </w:rPr>
        <w:t>where </w:t>
      </w:r>
      <m:oMath>
        <m:sSub>
          <m:sSubPr>
            <m:ctrlPr>
              <w:rPr>
                <w:rFonts w:ascii="Cambria Math" w:hAnsi="Cambria Math" w:cs="Arial"/>
                <w:sz w:val="20"/>
                <w:szCs w:val="20"/>
              </w:rPr>
            </m:ctrlPr>
          </m:sSubPr>
          <m:e>
            <m:r>
              <m:rPr>
                <m:sty m:val="p"/>
              </m:rPr>
              <w:rPr>
                <w:rFonts w:ascii="Cambria Math" w:hAnsi="Cambria Math" w:cs="Arial"/>
                <w:sz w:val="20"/>
                <w:szCs w:val="20"/>
              </w:rPr>
              <m:t>Θ</m:t>
            </m:r>
          </m:e>
          <m:sub>
            <m:r>
              <m:rPr>
                <m:nor/>
              </m:rPr>
              <w:rPr>
                <w:rFonts w:ascii="Helvetica" w:hAnsi="Helvetica" w:cs="Arial"/>
                <w:sz w:val="20"/>
                <w:szCs w:val="20"/>
              </w:rPr>
              <m:t>legal</m:t>
            </m:r>
          </m:sub>
        </m:sSub>
      </m:oMath>
      <w:r w:rsidRPr="00204B22">
        <w:rPr>
          <w:rFonts w:ascii="Helvetica" w:hAnsi="Helvetica" w:cs="Arial"/>
          <w:sz w:val="20"/>
          <w:szCs w:val="20"/>
        </w:rPr>
        <w:t> denotes the feasible set of configurations consistent with applicable regulatory, contractual, and internal governance policies.</w:t>
      </w:r>
    </w:p>
    <w:p w14:paraId="081CAA8C" w14:textId="0FF3F348" w:rsidR="00204B22" w:rsidRPr="00204B22" w:rsidRDefault="00204B22" w:rsidP="00204B22">
      <w:pPr>
        <w:spacing w:after="210" w:line="360" w:lineRule="auto"/>
        <w:rPr>
          <w:rFonts w:ascii="Helvetica" w:hAnsi="Helvetica" w:cs="Arial"/>
          <w:sz w:val="20"/>
          <w:szCs w:val="20"/>
        </w:rPr>
      </w:pPr>
      <w:r w:rsidRPr="00204B22">
        <w:rPr>
          <w:rFonts w:ascii="Helvetica" w:hAnsi="Helvetica" w:cs="Arial"/>
          <w:sz w:val="20"/>
          <w:szCs w:val="20"/>
        </w:rPr>
        <w:t>This formulation explicitly treats inference as the optimization target: training and pretraining costs are assumed fixed, and the design space is restricted to deployment-time choices influencing cost and energy at test time.</w:t>
      </w:r>
    </w:p>
    <w:p w14:paraId="4EC7738E" w14:textId="77777777" w:rsidR="00204B22" w:rsidRPr="00204B22" w:rsidRDefault="00204B22" w:rsidP="00204B22">
      <w:pPr>
        <w:spacing w:after="210" w:line="360" w:lineRule="auto"/>
        <w:rPr>
          <w:rFonts w:ascii="Helvetica" w:hAnsi="Helvetica" w:cs="Arial"/>
          <w:b/>
          <w:bCs/>
          <w:sz w:val="20"/>
          <w:szCs w:val="20"/>
        </w:rPr>
      </w:pPr>
      <w:r w:rsidRPr="00204B22">
        <w:rPr>
          <w:rFonts w:ascii="Helvetica" w:hAnsi="Helvetica" w:cs="Arial"/>
          <w:b/>
          <w:bCs/>
          <w:sz w:val="20"/>
          <w:szCs w:val="20"/>
        </w:rPr>
        <w:t>B. Metrics</w:t>
      </w:r>
    </w:p>
    <w:p w14:paraId="54A8FF5A" w14:textId="77777777" w:rsidR="00204B22" w:rsidRPr="00204B22" w:rsidRDefault="00204B22" w:rsidP="00204B22">
      <w:pPr>
        <w:spacing w:after="210" w:line="360" w:lineRule="auto"/>
        <w:rPr>
          <w:rFonts w:ascii="Helvetica" w:hAnsi="Helvetica" w:cs="Arial"/>
          <w:sz w:val="20"/>
          <w:szCs w:val="20"/>
        </w:rPr>
      </w:pPr>
      <w:r w:rsidRPr="00204B22">
        <w:rPr>
          <w:rFonts w:ascii="Helvetica" w:hAnsi="Helvetica" w:cs="Arial"/>
          <w:sz w:val="20"/>
          <w:szCs w:val="20"/>
        </w:rPr>
        <w:t>To operationalize this objective, we define concrete metrics for cost, energy, performance, and efficiency.</w:t>
      </w:r>
    </w:p>
    <w:p w14:paraId="725907B1" w14:textId="77777777" w:rsidR="00204B22" w:rsidRPr="00204B22" w:rsidRDefault="00204B22" w:rsidP="00204B22">
      <w:pPr>
        <w:spacing w:after="210" w:line="360" w:lineRule="auto"/>
        <w:rPr>
          <w:rFonts w:ascii="Helvetica" w:hAnsi="Helvetica" w:cs="Arial"/>
          <w:b/>
          <w:bCs/>
          <w:sz w:val="20"/>
          <w:szCs w:val="20"/>
        </w:rPr>
      </w:pPr>
      <w:r w:rsidRPr="00204B22">
        <w:rPr>
          <w:rFonts w:ascii="Helvetica" w:hAnsi="Helvetica" w:cs="Arial"/>
          <w:b/>
          <w:bCs/>
          <w:sz w:val="20"/>
          <w:szCs w:val="20"/>
        </w:rPr>
        <w:t>Cost metrics</w:t>
      </w:r>
    </w:p>
    <w:p w14:paraId="5C8915FF" w14:textId="77777777" w:rsidR="00204B22" w:rsidRPr="00204B22" w:rsidRDefault="00204B22" w:rsidP="00204B22">
      <w:pPr>
        <w:numPr>
          <w:ilvl w:val="0"/>
          <w:numId w:val="39"/>
        </w:numPr>
        <w:spacing w:after="210" w:line="360" w:lineRule="auto"/>
        <w:rPr>
          <w:rFonts w:ascii="Helvetica" w:hAnsi="Helvetica" w:cs="Arial"/>
          <w:sz w:val="20"/>
          <w:szCs w:val="20"/>
        </w:rPr>
      </w:pPr>
      <w:r w:rsidRPr="00204B22">
        <w:rPr>
          <w:rFonts w:ascii="Helvetica" w:hAnsi="Helvetica" w:cs="Arial"/>
          <w:b/>
          <w:bCs/>
          <w:sz w:val="20"/>
          <w:szCs w:val="20"/>
        </w:rPr>
        <w:t>$/contract:</w:t>
      </w:r>
      <w:r w:rsidRPr="00204B22">
        <w:rPr>
          <w:rFonts w:ascii="Helvetica" w:hAnsi="Helvetica" w:cs="Arial"/>
          <w:sz w:val="20"/>
          <w:szCs w:val="20"/>
        </w:rPr>
        <w:t> average monetary cost to process a full agreement.</w:t>
      </w:r>
    </w:p>
    <w:p w14:paraId="121DCBDB" w14:textId="77777777" w:rsidR="00204B22" w:rsidRPr="00204B22" w:rsidRDefault="00204B22" w:rsidP="00204B22">
      <w:pPr>
        <w:numPr>
          <w:ilvl w:val="0"/>
          <w:numId w:val="39"/>
        </w:numPr>
        <w:spacing w:after="210" w:line="360" w:lineRule="auto"/>
        <w:rPr>
          <w:rFonts w:ascii="Helvetica" w:hAnsi="Helvetica" w:cs="Arial"/>
          <w:sz w:val="20"/>
          <w:szCs w:val="20"/>
        </w:rPr>
      </w:pPr>
      <w:r w:rsidRPr="00204B22">
        <w:rPr>
          <w:rFonts w:ascii="Helvetica" w:hAnsi="Helvetica" w:cs="Arial"/>
          <w:b/>
          <w:bCs/>
          <w:sz w:val="20"/>
          <w:szCs w:val="20"/>
        </w:rPr>
        <w:t>$/1k tokens:</w:t>
      </w:r>
      <w:r w:rsidRPr="00204B22">
        <w:rPr>
          <w:rFonts w:ascii="Helvetica" w:hAnsi="Helvetica" w:cs="Arial"/>
          <w:sz w:val="20"/>
          <w:szCs w:val="20"/>
        </w:rPr>
        <w:t> normalized cost per thousand input or generated tokens.</w:t>
      </w:r>
    </w:p>
    <w:p w14:paraId="1C223979" w14:textId="77777777" w:rsidR="00204B22" w:rsidRPr="00204B22" w:rsidRDefault="00204B22" w:rsidP="00204B22">
      <w:pPr>
        <w:numPr>
          <w:ilvl w:val="0"/>
          <w:numId w:val="39"/>
        </w:numPr>
        <w:spacing w:after="210" w:line="360" w:lineRule="auto"/>
        <w:rPr>
          <w:rFonts w:ascii="Helvetica" w:hAnsi="Helvetica" w:cs="Arial"/>
          <w:sz w:val="20"/>
          <w:szCs w:val="20"/>
        </w:rPr>
      </w:pPr>
      <w:r w:rsidRPr="00204B22">
        <w:rPr>
          <w:rFonts w:ascii="Helvetica" w:hAnsi="Helvetica" w:cs="Arial"/>
          <w:b/>
          <w:bCs/>
          <w:sz w:val="20"/>
          <w:szCs w:val="20"/>
        </w:rPr>
        <w:t>Monthly TCO:</w:t>
      </w:r>
      <w:r w:rsidRPr="00204B22">
        <w:rPr>
          <w:rFonts w:ascii="Helvetica" w:hAnsi="Helvetica" w:cs="Arial"/>
          <w:sz w:val="20"/>
          <w:szCs w:val="20"/>
        </w:rPr>
        <w:t> aggregate cost of compute, storage, networking, and orchestration.</w:t>
      </w:r>
    </w:p>
    <w:p w14:paraId="6803912D" w14:textId="77777777" w:rsidR="00204B22" w:rsidRPr="00204B22" w:rsidRDefault="00204B22" w:rsidP="00204B22">
      <w:pPr>
        <w:spacing w:after="210" w:line="360" w:lineRule="auto"/>
        <w:rPr>
          <w:rFonts w:ascii="Helvetica" w:hAnsi="Helvetica" w:cs="Arial"/>
          <w:b/>
          <w:bCs/>
          <w:sz w:val="20"/>
          <w:szCs w:val="20"/>
        </w:rPr>
      </w:pPr>
      <w:r w:rsidRPr="00204B22">
        <w:rPr>
          <w:rFonts w:ascii="Helvetica" w:hAnsi="Helvetica" w:cs="Arial"/>
          <w:b/>
          <w:bCs/>
          <w:sz w:val="20"/>
          <w:szCs w:val="20"/>
        </w:rPr>
        <w:t>Energy metrics</w:t>
      </w:r>
    </w:p>
    <w:p w14:paraId="6BE54A5B" w14:textId="77777777" w:rsidR="00204B22" w:rsidRPr="00204B22" w:rsidRDefault="00204B22" w:rsidP="00204B22">
      <w:pPr>
        <w:numPr>
          <w:ilvl w:val="0"/>
          <w:numId w:val="40"/>
        </w:numPr>
        <w:spacing w:after="210" w:line="360" w:lineRule="auto"/>
        <w:rPr>
          <w:rFonts w:ascii="Helvetica" w:hAnsi="Helvetica" w:cs="Arial"/>
          <w:sz w:val="20"/>
          <w:szCs w:val="20"/>
        </w:rPr>
      </w:pPr>
      <w:r w:rsidRPr="00204B22">
        <w:rPr>
          <w:rFonts w:ascii="Helvetica" w:hAnsi="Helvetica" w:cs="Arial"/>
          <w:b/>
          <w:bCs/>
          <w:sz w:val="20"/>
          <w:szCs w:val="20"/>
        </w:rPr>
        <w:lastRenderedPageBreak/>
        <w:t>Wh/query:</w:t>
      </w:r>
      <w:r w:rsidRPr="00204B22">
        <w:rPr>
          <w:rFonts w:ascii="Helvetica" w:hAnsi="Helvetica" w:cs="Arial"/>
          <w:sz w:val="20"/>
          <w:szCs w:val="20"/>
        </w:rPr>
        <w:t> energy per individual inference call.</w:t>
      </w:r>
    </w:p>
    <w:p w14:paraId="56626B2F" w14:textId="77777777" w:rsidR="00204B22" w:rsidRPr="00204B22" w:rsidRDefault="00204B22" w:rsidP="00204B22">
      <w:pPr>
        <w:numPr>
          <w:ilvl w:val="0"/>
          <w:numId w:val="40"/>
        </w:numPr>
        <w:spacing w:after="210" w:line="360" w:lineRule="auto"/>
        <w:rPr>
          <w:rFonts w:ascii="Helvetica" w:hAnsi="Helvetica" w:cs="Arial"/>
          <w:sz w:val="20"/>
          <w:szCs w:val="20"/>
        </w:rPr>
      </w:pPr>
      <w:r w:rsidRPr="00204B22">
        <w:rPr>
          <w:rFonts w:ascii="Helvetica" w:hAnsi="Helvetica" w:cs="Arial"/>
          <w:b/>
          <w:bCs/>
          <w:sz w:val="20"/>
          <w:szCs w:val="20"/>
        </w:rPr>
        <w:t>Wh/contract:</w:t>
      </w:r>
      <w:r w:rsidRPr="00204B22">
        <w:rPr>
          <w:rFonts w:ascii="Helvetica" w:hAnsi="Helvetica" w:cs="Arial"/>
          <w:sz w:val="20"/>
          <w:szCs w:val="20"/>
        </w:rPr>
        <w:t> total energy per agreement including pre- and post-processing.</w:t>
      </w:r>
    </w:p>
    <w:p w14:paraId="18B6DA18" w14:textId="77777777" w:rsidR="00204B22" w:rsidRPr="00204B22" w:rsidRDefault="00204B22" w:rsidP="00204B22">
      <w:pPr>
        <w:numPr>
          <w:ilvl w:val="0"/>
          <w:numId w:val="40"/>
        </w:numPr>
        <w:spacing w:after="210" w:line="360" w:lineRule="auto"/>
        <w:rPr>
          <w:rFonts w:ascii="Helvetica" w:hAnsi="Helvetica" w:cs="Arial"/>
          <w:sz w:val="20"/>
          <w:szCs w:val="20"/>
        </w:rPr>
      </w:pPr>
      <w:r w:rsidRPr="00204B22">
        <w:rPr>
          <w:rFonts w:ascii="Helvetica" w:hAnsi="Helvetica" w:cs="Arial"/>
          <w:b/>
          <w:bCs/>
          <w:sz w:val="20"/>
          <w:szCs w:val="20"/>
        </w:rPr>
        <w:t>kgCO₂/contract (optional):</w:t>
      </w:r>
      <w:r w:rsidRPr="00204B22">
        <w:rPr>
          <w:rFonts w:ascii="Helvetica" w:hAnsi="Helvetica" w:cs="Arial"/>
          <w:sz w:val="20"/>
          <w:szCs w:val="20"/>
        </w:rPr>
        <w:t> derived from Wh/contract and region-specific carbon intensity.</w:t>
      </w:r>
    </w:p>
    <w:p w14:paraId="39D99366" w14:textId="77777777" w:rsidR="00204B22" w:rsidRPr="00204B22" w:rsidRDefault="00204B22" w:rsidP="00204B22">
      <w:pPr>
        <w:spacing w:after="210" w:line="360" w:lineRule="auto"/>
        <w:rPr>
          <w:rFonts w:ascii="Helvetica" w:hAnsi="Helvetica" w:cs="Arial"/>
          <w:b/>
          <w:bCs/>
          <w:sz w:val="20"/>
          <w:szCs w:val="20"/>
        </w:rPr>
      </w:pPr>
      <w:r w:rsidRPr="00204B22">
        <w:rPr>
          <w:rFonts w:ascii="Helvetica" w:hAnsi="Helvetica" w:cs="Arial"/>
          <w:b/>
          <w:bCs/>
          <w:sz w:val="20"/>
          <w:szCs w:val="20"/>
        </w:rPr>
        <w:t>Performance metrics</w:t>
      </w:r>
    </w:p>
    <w:p w14:paraId="6AF8913C" w14:textId="77777777" w:rsidR="00204B22" w:rsidRPr="00204B22" w:rsidRDefault="00204B22" w:rsidP="00204B22">
      <w:pPr>
        <w:numPr>
          <w:ilvl w:val="0"/>
          <w:numId w:val="41"/>
        </w:numPr>
        <w:spacing w:after="210" w:line="360" w:lineRule="auto"/>
        <w:rPr>
          <w:rFonts w:ascii="Helvetica" w:hAnsi="Helvetica" w:cs="Arial"/>
          <w:sz w:val="20"/>
          <w:szCs w:val="20"/>
        </w:rPr>
      </w:pPr>
      <w:r w:rsidRPr="00204B22">
        <w:rPr>
          <w:rFonts w:ascii="Helvetica" w:hAnsi="Helvetica" w:cs="Arial"/>
          <w:b/>
          <w:bCs/>
          <w:sz w:val="20"/>
          <w:szCs w:val="20"/>
        </w:rPr>
        <w:t>Clause-level F1 / recall:</w:t>
      </w:r>
      <w:r w:rsidRPr="00204B22">
        <w:rPr>
          <w:rFonts w:ascii="Helvetica" w:hAnsi="Helvetica" w:cs="Arial"/>
          <w:sz w:val="20"/>
          <w:szCs w:val="20"/>
        </w:rPr>
        <w:t> for critical clauses (indemnity, limitation of liability, confidentiality, data protection).</w:t>
      </w:r>
    </w:p>
    <w:p w14:paraId="5CE89B30" w14:textId="77777777" w:rsidR="00204B22" w:rsidRPr="00204B22" w:rsidRDefault="00204B22" w:rsidP="00204B22">
      <w:pPr>
        <w:numPr>
          <w:ilvl w:val="0"/>
          <w:numId w:val="41"/>
        </w:numPr>
        <w:spacing w:after="210" w:line="360" w:lineRule="auto"/>
        <w:rPr>
          <w:rFonts w:ascii="Helvetica" w:hAnsi="Helvetica" w:cs="Arial"/>
          <w:sz w:val="20"/>
          <w:szCs w:val="20"/>
        </w:rPr>
      </w:pPr>
      <w:r w:rsidRPr="00204B22">
        <w:rPr>
          <w:rFonts w:ascii="Helvetica" w:hAnsi="Helvetica" w:cs="Arial"/>
          <w:b/>
          <w:bCs/>
          <w:sz w:val="20"/>
          <w:szCs w:val="20"/>
        </w:rPr>
        <w:t>Contract-level accuracy:</w:t>
      </w:r>
      <w:r w:rsidRPr="00204B22">
        <w:rPr>
          <w:rFonts w:ascii="Helvetica" w:hAnsi="Helvetica" w:cs="Arial"/>
          <w:sz w:val="20"/>
          <w:szCs w:val="20"/>
        </w:rPr>
        <w:t> risk tiers, deviation flags, approval recommendations.</w:t>
      </w:r>
    </w:p>
    <w:p w14:paraId="62966BF5" w14:textId="77777777" w:rsidR="00204B22" w:rsidRPr="00204B22" w:rsidRDefault="00204B22" w:rsidP="00204B22">
      <w:pPr>
        <w:numPr>
          <w:ilvl w:val="0"/>
          <w:numId w:val="41"/>
        </w:numPr>
        <w:spacing w:after="210" w:line="360" w:lineRule="auto"/>
        <w:rPr>
          <w:rFonts w:ascii="Helvetica" w:hAnsi="Helvetica" w:cs="Arial"/>
          <w:sz w:val="20"/>
          <w:szCs w:val="20"/>
        </w:rPr>
      </w:pPr>
      <w:r w:rsidRPr="00204B22">
        <w:rPr>
          <w:rFonts w:ascii="Helvetica" w:hAnsi="Helvetica" w:cs="Arial"/>
          <w:b/>
          <w:bCs/>
          <w:sz w:val="20"/>
          <w:szCs w:val="20"/>
        </w:rPr>
        <w:t>Latency:</w:t>
      </w:r>
      <w:r w:rsidRPr="00204B22">
        <w:rPr>
          <w:rFonts w:ascii="Helvetica" w:hAnsi="Helvetica" w:cs="Arial"/>
          <w:sz w:val="20"/>
          <w:szCs w:val="20"/>
        </w:rPr>
        <w:t> p50/p95/p99 statistics.</w:t>
      </w:r>
    </w:p>
    <w:p w14:paraId="3FB888F2" w14:textId="77777777" w:rsidR="00204B22" w:rsidRPr="00204B22" w:rsidRDefault="00204B22" w:rsidP="00204B22">
      <w:pPr>
        <w:numPr>
          <w:ilvl w:val="0"/>
          <w:numId w:val="41"/>
        </w:numPr>
        <w:spacing w:after="210" w:line="360" w:lineRule="auto"/>
        <w:rPr>
          <w:rFonts w:ascii="Helvetica" w:hAnsi="Helvetica" w:cs="Arial"/>
          <w:sz w:val="20"/>
          <w:szCs w:val="20"/>
        </w:rPr>
      </w:pPr>
      <w:r w:rsidRPr="00204B22">
        <w:rPr>
          <w:rFonts w:ascii="Helvetica" w:hAnsi="Helvetica" w:cs="Arial"/>
          <w:b/>
          <w:bCs/>
          <w:sz w:val="20"/>
          <w:szCs w:val="20"/>
        </w:rPr>
        <w:t>Throughput:</w:t>
      </w:r>
      <w:r w:rsidRPr="00204B22">
        <w:rPr>
          <w:rFonts w:ascii="Helvetica" w:hAnsi="Helvetica" w:cs="Arial"/>
          <w:sz w:val="20"/>
          <w:szCs w:val="20"/>
        </w:rPr>
        <w:t> contracts/sec or queries/sec under representative loads.</w:t>
      </w:r>
    </w:p>
    <w:p w14:paraId="256A77D2" w14:textId="77777777" w:rsidR="00204B22" w:rsidRPr="00204B22" w:rsidRDefault="00204B22" w:rsidP="00204B22">
      <w:pPr>
        <w:spacing w:after="210" w:line="360" w:lineRule="auto"/>
        <w:rPr>
          <w:rFonts w:ascii="Helvetica" w:hAnsi="Helvetica" w:cs="Arial"/>
          <w:b/>
          <w:bCs/>
          <w:sz w:val="20"/>
          <w:szCs w:val="20"/>
        </w:rPr>
      </w:pPr>
      <w:r w:rsidRPr="00204B22">
        <w:rPr>
          <w:rFonts w:ascii="Helvetica" w:hAnsi="Helvetica" w:cs="Arial"/>
          <w:b/>
          <w:bCs/>
          <w:sz w:val="20"/>
          <w:szCs w:val="20"/>
        </w:rPr>
        <w:t>Efficiency metrics</w:t>
      </w:r>
    </w:p>
    <w:p w14:paraId="008366D8" w14:textId="77777777" w:rsidR="00204B22" w:rsidRPr="00204B22" w:rsidRDefault="00204B22" w:rsidP="00204B22">
      <w:pPr>
        <w:numPr>
          <w:ilvl w:val="0"/>
          <w:numId w:val="42"/>
        </w:numPr>
        <w:spacing w:after="210" w:line="360" w:lineRule="auto"/>
        <w:rPr>
          <w:rFonts w:ascii="Helvetica" w:hAnsi="Helvetica" w:cs="Arial"/>
          <w:sz w:val="20"/>
          <w:szCs w:val="20"/>
        </w:rPr>
      </w:pPr>
      <w:r w:rsidRPr="00204B22">
        <w:rPr>
          <w:rFonts w:ascii="Helvetica" w:hAnsi="Helvetica" w:cs="Arial"/>
          <w:b/>
          <w:bCs/>
          <w:sz w:val="20"/>
          <w:szCs w:val="20"/>
        </w:rPr>
        <w:t>Tokens/sec/W:</w:t>
      </w:r>
      <w:r w:rsidRPr="00204B22">
        <w:rPr>
          <w:rFonts w:ascii="Helvetica" w:hAnsi="Helvetica" w:cs="Arial"/>
          <w:sz w:val="20"/>
          <w:szCs w:val="20"/>
        </w:rPr>
        <w:t> token processing rate normalized by power draw.</w:t>
      </w:r>
    </w:p>
    <w:p w14:paraId="4C0D1EBF" w14:textId="77777777" w:rsidR="00204B22" w:rsidRPr="00204B22" w:rsidRDefault="00204B22" w:rsidP="00204B22">
      <w:pPr>
        <w:numPr>
          <w:ilvl w:val="0"/>
          <w:numId w:val="42"/>
        </w:numPr>
        <w:spacing w:after="210" w:line="360" w:lineRule="auto"/>
        <w:rPr>
          <w:rFonts w:ascii="Helvetica" w:hAnsi="Helvetica" w:cs="Arial"/>
          <w:sz w:val="20"/>
          <w:szCs w:val="20"/>
        </w:rPr>
      </w:pPr>
      <w:r w:rsidRPr="00204B22">
        <w:rPr>
          <w:rFonts w:ascii="Helvetica" w:hAnsi="Helvetica" w:cs="Arial"/>
          <w:b/>
          <w:bCs/>
          <w:sz w:val="20"/>
          <w:szCs w:val="20"/>
        </w:rPr>
        <w:t>Contracts/sec/GPU:</w:t>
      </w:r>
      <w:r w:rsidRPr="00204B22">
        <w:rPr>
          <w:rFonts w:ascii="Helvetica" w:hAnsi="Helvetica" w:cs="Arial"/>
          <w:sz w:val="20"/>
          <w:szCs w:val="20"/>
        </w:rPr>
        <w:t> full-pipeline throughput per accelerator.</w:t>
      </w:r>
    </w:p>
    <w:p w14:paraId="2E615AA8" w14:textId="77777777" w:rsidR="00204B22" w:rsidRPr="00204B22" w:rsidRDefault="00204B22" w:rsidP="00204B22">
      <w:pPr>
        <w:numPr>
          <w:ilvl w:val="0"/>
          <w:numId w:val="42"/>
        </w:numPr>
        <w:spacing w:after="210" w:line="360" w:lineRule="auto"/>
        <w:rPr>
          <w:rFonts w:ascii="Helvetica" w:hAnsi="Helvetica" w:cs="Arial"/>
          <w:sz w:val="20"/>
          <w:szCs w:val="20"/>
        </w:rPr>
      </w:pPr>
      <w:r w:rsidRPr="00204B22">
        <w:rPr>
          <w:rFonts w:ascii="Helvetica" w:hAnsi="Helvetica" w:cs="Arial"/>
          <w:b/>
          <w:bCs/>
          <w:sz w:val="20"/>
          <w:szCs w:val="20"/>
        </w:rPr>
        <w:t>Cost per 1% F1:</w:t>
      </w:r>
      <w:r w:rsidRPr="00204B22">
        <w:rPr>
          <w:rFonts w:ascii="Helvetica" w:hAnsi="Helvetica" w:cs="Arial"/>
          <w:sz w:val="20"/>
          <w:szCs w:val="20"/>
        </w:rPr>
        <w:t> marginal monetary cost per unit accuracy improvement.</w:t>
      </w:r>
    </w:p>
    <w:p w14:paraId="4D8D7076" w14:textId="53BAC6D0" w:rsidR="00502315" w:rsidRPr="00502315" w:rsidRDefault="00204B22" w:rsidP="00502315">
      <w:pPr>
        <w:spacing w:after="210" w:line="360" w:lineRule="auto"/>
        <w:rPr>
          <w:rFonts w:ascii="Helvetica" w:hAnsi="Helvetica" w:cs="Arial"/>
          <w:sz w:val="20"/>
          <w:szCs w:val="20"/>
        </w:rPr>
      </w:pPr>
      <w:r w:rsidRPr="00204B22">
        <w:rPr>
          <w:rFonts w:ascii="Helvetica" w:hAnsi="Helvetica" w:cs="Arial"/>
          <w:sz w:val="20"/>
          <w:szCs w:val="20"/>
        </w:rPr>
        <w:t>These metrics provide a quantitative basis for evaluating different configurations of </w:t>
      </w:r>
      <m:oMath>
        <m:r>
          <w:rPr>
            <w:rFonts w:ascii="Cambria Math" w:hAnsi="Cambria Math" w:cs="Arial"/>
            <w:sz w:val="20"/>
            <w:szCs w:val="20"/>
          </w:rPr>
          <m:t>θ</m:t>
        </m:r>
      </m:oMath>
      <w:r w:rsidRPr="00204B22">
        <w:rPr>
          <w:rFonts w:ascii="Helvetica" w:hAnsi="Helvetica" w:cs="Arial"/>
          <w:sz w:val="20"/>
          <w:szCs w:val="20"/>
        </w:rPr>
        <w:t> and comparing baseline and optimized systems in subsequent sections.</w:t>
      </w:r>
      <w:r w:rsidR="00136899">
        <w:rPr>
          <w:rFonts w:ascii="Helvetica" w:hAnsi="Helvetica" w:cs="Arial"/>
          <w:sz w:val="20"/>
          <w:szCs w:val="20"/>
        </w:rPr>
        <w:br/>
      </w:r>
      <w:r w:rsidR="00B92865">
        <w:rPr>
          <w:rFonts w:ascii="Helvetica" w:hAnsi="Helvetica" w:cs="Arial"/>
          <w:noProof/>
          <w:sz w:val="20"/>
          <w:szCs w:val="20"/>
        </w:rPr>
        <w:pict w14:anchorId="0E8BCF05">
          <v:rect id="_x0000_i1027" alt="" style="width:451.3pt;height:.05pt;mso-width-percent:0;mso-height-percent:0;mso-width-percent:0;mso-height-percent:0" o:hralign="center" o:hrstd="t" o:hr="t" fillcolor="#a0a0a0" stroked="f"/>
        </w:pict>
      </w:r>
    </w:p>
    <w:p w14:paraId="462030C4" w14:textId="77777777" w:rsidR="00502315" w:rsidRPr="00502315" w:rsidRDefault="00502315" w:rsidP="00502315">
      <w:pPr>
        <w:spacing w:after="210" w:line="360" w:lineRule="auto"/>
        <w:rPr>
          <w:rFonts w:ascii="Helvetica" w:hAnsi="Helvetica" w:cs="Arial"/>
          <w:b/>
          <w:bCs/>
          <w:sz w:val="20"/>
          <w:szCs w:val="20"/>
        </w:rPr>
      </w:pPr>
      <w:r w:rsidRPr="00502315">
        <w:rPr>
          <w:rFonts w:ascii="Helvetica" w:hAnsi="Helvetica" w:cs="Arial"/>
          <w:b/>
          <w:bCs/>
          <w:sz w:val="20"/>
          <w:szCs w:val="20"/>
        </w:rPr>
        <w:t>IV. Unified Optimization Framework for Contract Analysis Systems</w:t>
      </w:r>
    </w:p>
    <w:p w14:paraId="54966C75" w14:textId="10A02394" w:rsidR="00906620" w:rsidRPr="00906620" w:rsidRDefault="00906620" w:rsidP="00906620">
      <w:pPr>
        <w:spacing w:after="210" w:line="360" w:lineRule="auto"/>
        <w:rPr>
          <w:rFonts w:ascii="Helvetica" w:hAnsi="Helvetica" w:cs="Arial"/>
          <w:b/>
          <w:bCs/>
          <w:sz w:val="20"/>
          <w:szCs w:val="20"/>
        </w:rPr>
      </w:pPr>
      <w:r w:rsidRPr="00906620">
        <w:rPr>
          <w:rFonts w:ascii="Helvetica" w:hAnsi="Helvetica" w:cs="Arial"/>
          <w:b/>
          <w:bCs/>
          <w:sz w:val="20"/>
          <w:szCs w:val="20"/>
        </w:rPr>
        <w:t>A. Layer 1 — Model Optimization</w:t>
      </w:r>
    </w:p>
    <w:p w14:paraId="32CD0343" w14:textId="08AC1F87" w:rsidR="00136899" w:rsidRPr="00136899" w:rsidRDefault="00136899" w:rsidP="00136899">
      <w:pPr>
        <w:spacing w:after="210" w:line="360" w:lineRule="auto"/>
        <w:rPr>
          <w:rFonts w:ascii="Helvetica" w:hAnsi="Helvetica" w:cs="Arial"/>
          <w:sz w:val="20"/>
          <w:szCs w:val="20"/>
        </w:rPr>
      </w:pPr>
      <w:r w:rsidRPr="00136899">
        <w:rPr>
          <w:rFonts w:ascii="Helvetica" w:hAnsi="Helvetica" w:cs="Arial"/>
          <w:sz w:val="20"/>
          <w:szCs w:val="20"/>
        </w:rPr>
        <w:t>Model-level choices exert a first-order influence on both monetary cost and energy consumption in contract analysis systems, as they directly determine the number of parameters activated per inference call, the computational intensity per token, and the total token volume processed. In the formulation of Section III, these effects are captured through the dependence of </w:t>
      </w:r>
      <m:oMath>
        <m:sSub>
          <m:sSubPr>
            <m:ctrlPr>
              <w:rPr>
                <w:rFonts w:ascii="Cambria Math" w:hAnsi="Cambria Math" w:cs="Arial"/>
                <w:sz w:val="20"/>
                <w:szCs w:val="20"/>
              </w:rPr>
            </m:ctrlPr>
          </m:sSubPr>
          <m:e>
            <m:r>
              <w:rPr>
                <w:rFonts w:ascii="Cambria Math" w:hAnsi="Cambria Math" w:cs="Arial"/>
                <w:sz w:val="20"/>
                <w:szCs w:val="20"/>
              </w:rPr>
              <m:t>C</m:t>
            </m:r>
          </m:e>
          <m:sub>
            <m:r>
              <w:rPr>
                <w:rFonts w:ascii="Cambria Math" w:hAnsi="Cambria Math" w:cs="Arial"/>
                <w:sz w:val="20"/>
                <w:szCs w:val="20"/>
              </w:rPr>
              <m:t>ij</m:t>
            </m:r>
          </m:sub>
        </m:sSub>
        <m:r>
          <w:rPr>
            <w:rFonts w:ascii="Cambria Math" w:hAnsi="Cambria Math" w:cs="Arial"/>
            <w:sz w:val="20"/>
            <w:szCs w:val="20"/>
          </w:rPr>
          <m:t>(θ)</m:t>
        </m:r>
      </m:oMath>
      <w:r w:rsidRPr="00136899">
        <w:rPr>
          <w:rFonts w:ascii="Helvetica" w:hAnsi="Helvetica" w:cs="Arial"/>
          <w:sz w:val="20"/>
          <w:szCs w:val="20"/>
        </w:rPr>
        <w:t> and </w:t>
      </w:r>
      <m:oMath>
        <m:sSub>
          <m:sSubPr>
            <m:ctrlPr>
              <w:rPr>
                <w:rFonts w:ascii="Cambria Math" w:hAnsi="Cambria Math" w:cs="Arial"/>
                <w:sz w:val="20"/>
                <w:szCs w:val="20"/>
              </w:rPr>
            </m:ctrlPr>
          </m:sSubPr>
          <m:e>
            <m:r>
              <w:rPr>
                <w:rFonts w:ascii="Cambria Math" w:hAnsi="Cambria Math" w:cs="Arial"/>
                <w:sz w:val="20"/>
                <w:szCs w:val="20"/>
              </w:rPr>
              <m:t>E</m:t>
            </m:r>
          </m:e>
          <m:sub>
            <m:r>
              <w:rPr>
                <w:rFonts w:ascii="Cambria Math" w:hAnsi="Cambria Math" w:cs="Arial"/>
                <w:sz w:val="20"/>
                <w:szCs w:val="20"/>
              </w:rPr>
              <m:t>ij</m:t>
            </m:r>
          </m:sub>
        </m:sSub>
        <m:r>
          <w:rPr>
            <w:rFonts w:ascii="Cambria Math" w:hAnsi="Cambria Math" w:cs="Arial"/>
            <w:sz w:val="20"/>
            <w:szCs w:val="20"/>
          </w:rPr>
          <m:t>(θ)</m:t>
        </m:r>
      </m:oMath>
      <w:r w:rsidRPr="00136899">
        <w:rPr>
          <w:rFonts w:ascii="Helvetica" w:hAnsi="Helvetica" w:cs="Arial"/>
          <w:sz w:val="20"/>
          <w:szCs w:val="20"/>
        </w:rPr>
        <w:t> on model family, size, and specialization. However, unlike generic conversational workloads, contract analysis imposes stringent accuracy and recall constraints on legally material clauses, limiting the applicability of naive model compression strategies. This layer therefore focuses on </w:t>
      </w:r>
      <w:r w:rsidRPr="00136899">
        <w:rPr>
          <w:rFonts w:ascii="Helvetica" w:hAnsi="Helvetica" w:cs="Arial"/>
          <w:b/>
          <w:bCs/>
          <w:sz w:val="20"/>
          <w:szCs w:val="20"/>
        </w:rPr>
        <w:t>contract-aware model optimization techniques</w:t>
      </w:r>
      <w:r w:rsidRPr="00136899">
        <w:rPr>
          <w:rFonts w:ascii="Helvetica" w:hAnsi="Helvetica" w:cs="Arial"/>
          <w:sz w:val="20"/>
          <w:szCs w:val="20"/>
        </w:rPr>
        <w:t> that reduce inference cost and energy while preserving legally acceptable performance.</w:t>
      </w:r>
    </w:p>
    <w:p w14:paraId="7E02F8ED" w14:textId="77777777" w:rsidR="00136899" w:rsidRPr="00136899" w:rsidRDefault="00136899" w:rsidP="00136899">
      <w:pPr>
        <w:spacing w:after="210" w:line="360" w:lineRule="auto"/>
        <w:rPr>
          <w:rFonts w:ascii="Helvetica" w:hAnsi="Helvetica" w:cs="Arial"/>
          <w:b/>
          <w:bCs/>
          <w:sz w:val="20"/>
          <w:szCs w:val="20"/>
        </w:rPr>
      </w:pPr>
      <w:r w:rsidRPr="00136899">
        <w:rPr>
          <w:rFonts w:ascii="Helvetica" w:hAnsi="Helvetica" w:cs="Arial"/>
          <w:b/>
          <w:bCs/>
          <w:sz w:val="20"/>
          <w:szCs w:val="20"/>
        </w:rPr>
        <w:t>1) Domain-Specialized Contract Models vs. Generic LLMs</w:t>
      </w:r>
    </w:p>
    <w:p w14:paraId="5314A943" w14:textId="77777777" w:rsidR="00136899" w:rsidRPr="00136899" w:rsidRDefault="00136899" w:rsidP="00136899">
      <w:pPr>
        <w:spacing w:after="210" w:line="360" w:lineRule="auto"/>
        <w:rPr>
          <w:rFonts w:ascii="Helvetica" w:hAnsi="Helvetica" w:cs="Arial"/>
          <w:sz w:val="20"/>
          <w:szCs w:val="20"/>
        </w:rPr>
      </w:pPr>
      <w:r w:rsidRPr="00136899">
        <w:rPr>
          <w:rFonts w:ascii="Helvetica" w:hAnsi="Helvetica" w:cs="Arial"/>
          <w:sz w:val="20"/>
          <w:szCs w:val="20"/>
        </w:rPr>
        <w:lastRenderedPageBreak/>
        <w:t>A primary source of inefficiency in enterprise deployments arises from the use of large, general-purpose LLMs for narrowly scoped contract tasks. Clause extraction, obligation identification, and risk classification exhibit strong domain regularities in vocabulary, structure, and semantics that generic LLMs are not optimized for. Empirically, domain-specialized legal or contract-focused models achieve comparable or superior clause-level performance at substantially smaller parameter counts by leveraging inductive biases aligned with legal text.</w:t>
      </w:r>
    </w:p>
    <w:p w14:paraId="5AAE5145" w14:textId="7285FE37" w:rsidR="00136899" w:rsidRPr="00136899" w:rsidRDefault="00136899" w:rsidP="00136899">
      <w:pPr>
        <w:spacing w:after="210" w:line="360" w:lineRule="auto"/>
        <w:rPr>
          <w:rFonts w:ascii="Helvetica" w:hAnsi="Helvetica" w:cs="Arial"/>
          <w:sz w:val="20"/>
          <w:szCs w:val="20"/>
        </w:rPr>
      </w:pPr>
      <w:r w:rsidRPr="00136899">
        <w:rPr>
          <w:rFonts w:ascii="Helvetica" w:hAnsi="Helvetica" w:cs="Arial"/>
          <w:sz w:val="20"/>
          <w:szCs w:val="20"/>
        </w:rPr>
        <w:t>From an optimization perspective, replacing a generic model with a domain-specialized alternative reduces both FLOPs per token and memory footprint, lowering </w:t>
      </w:r>
      <m:oMath>
        <m:sSub>
          <m:sSubPr>
            <m:ctrlPr>
              <w:rPr>
                <w:rFonts w:ascii="Cambria Math" w:hAnsi="Cambria Math" w:cs="Arial"/>
                <w:sz w:val="20"/>
                <w:szCs w:val="20"/>
              </w:rPr>
            </m:ctrlPr>
          </m:sSubPr>
          <m:e>
            <m:r>
              <w:rPr>
                <w:rFonts w:ascii="Cambria Math" w:hAnsi="Cambria Math" w:cs="Arial"/>
                <w:sz w:val="20"/>
                <w:szCs w:val="20"/>
              </w:rPr>
              <m:t>E</m:t>
            </m:r>
          </m:e>
          <m:sub>
            <m:r>
              <w:rPr>
                <w:rFonts w:ascii="Cambria Math" w:hAnsi="Cambria Math" w:cs="Arial"/>
                <w:sz w:val="20"/>
                <w:szCs w:val="20"/>
              </w:rPr>
              <m:t>ij</m:t>
            </m:r>
          </m:sub>
        </m:sSub>
        <m:r>
          <w:rPr>
            <w:rFonts w:ascii="Cambria Math" w:hAnsi="Cambria Math" w:cs="Arial"/>
            <w:sz w:val="20"/>
            <w:szCs w:val="20"/>
          </w:rPr>
          <m:t>(θ)</m:t>
        </m:r>
      </m:oMath>
      <w:r w:rsidRPr="00136899">
        <w:rPr>
          <w:rFonts w:ascii="Helvetica" w:hAnsi="Helvetica" w:cs="Arial"/>
          <w:sz w:val="20"/>
          <w:szCs w:val="20"/>
        </w:rPr>
        <w:t> through reduced power draw and shortening inference runtimes. Importantly, this substitution does not uniformly apply across all tasks: complex reasoning over atypical agreements may still require larger models. Consequently, domain specialization in this layer is designed to complement, rather than replace, downstream routing mechanisms introduced in Layer 4.</w:t>
      </w:r>
    </w:p>
    <w:p w14:paraId="6C70AD6A" w14:textId="77777777" w:rsidR="00136899" w:rsidRPr="00136899" w:rsidRDefault="00136899" w:rsidP="00136899">
      <w:pPr>
        <w:spacing w:after="210" w:line="360" w:lineRule="auto"/>
        <w:rPr>
          <w:rFonts w:ascii="Helvetica" w:hAnsi="Helvetica" w:cs="Arial"/>
          <w:b/>
          <w:bCs/>
          <w:sz w:val="20"/>
          <w:szCs w:val="20"/>
        </w:rPr>
      </w:pPr>
      <w:r w:rsidRPr="00136899">
        <w:rPr>
          <w:rFonts w:ascii="Helvetica" w:hAnsi="Helvetica" w:cs="Arial"/>
          <w:b/>
          <w:bCs/>
          <w:sz w:val="20"/>
          <w:szCs w:val="20"/>
        </w:rPr>
        <w:t>2) Task-Specific Distillation for Contract Pipelines</w:t>
      </w:r>
    </w:p>
    <w:p w14:paraId="39B9A42F" w14:textId="77777777" w:rsidR="00136899" w:rsidRPr="00136899" w:rsidRDefault="00136899" w:rsidP="00136899">
      <w:pPr>
        <w:spacing w:after="210" w:line="360" w:lineRule="auto"/>
        <w:rPr>
          <w:rFonts w:ascii="Helvetica" w:hAnsi="Helvetica" w:cs="Arial"/>
          <w:sz w:val="20"/>
          <w:szCs w:val="20"/>
        </w:rPr>
      </w:pPr>
      <w:r w:rsidRPr="00136899">
        <w:rPr>
          <w:rFonts w:ascii="Helvetica" w:hAnsi="Helvetica" w:cs="Arial"/>
          <w:sz w:val="20"/>
          <w:szCs w:val="20"/>
        </w:rPr>
        <w:t>Knowledge distillation provides a principled mechanism for transferring capabilities from large teacher models to smaller student models tailored to contract tasks. Unlike generic distillation, contract-specific pipelines permit </w:t>
      </w:r>
      <w:r w:rsidRPr="00136899">
        <w:rPr>
          <w:rFonts w:ascii="Helvetica" w:hAnsi="Helvetica" w:cs="Arial"/>
          <w:b/>
          <w:bCs/>
          <w:sz w:val="20"/>
          <w:szCs w:val="20"/>
        </w:rPr>
        <w:t>task-scoped distillation</w:t>
      </w:r>
      <w:r w:rsidRPr="00136899">
        <w:rPr>
          <w:rFonts w:ascii="Helvetica" w:hAnsi="Helvetica" w:cs="Arial"/>
          <w:sz w:val="20"/>
          <w:szCs w:val="20"/>
        </w:rPr>
        <w:t>, where students are optimized for narrowly defined outputs such as clause boundary detection, normalized field extraction, or binary risk flags.</w:t>
      </w:r>
    </w:p>
    <w:p w14:paraId="21DC6F79" w14:textId="20C2F383" w:rsidR="00136899" w:rsidRPr="00136899" w:rsidRDefault="00136899" w:rsidP="00136899">
      <w:pPr>
        <w:spacing w:after="210" w:line="360" w:lineRule="auto"/>
        <w:rPr>
          <w:rFonts w:ascii="Helvetica" w:hAnsi="Helvetica" w:cs="Arial"/>
          <w:sz w:val="20"/>
          <w:szCs w:val="20"/>
        </w:rPr>
      </w:pPr>
      <w:r w:rsidRPr="00136899">
        <w:rPr>
          <w:rFonts w:ascii="Helvetica" w:hAnsi="Helvetica" w:cs="Arial"/>
          <w:sz w:val="20"/>
          <w:szCs w:val="20"/>
        </w:rPr>
        <w:t>Distillation reduces active parameter counts and inference FLOPs while preserving task-level accuracy constraints </w:t>
      </w:r>
      <m:oMath>
        <m:sSub>
          <m:sSubPr>
            <m:ctrlPr>
              <w:rPr>
                <w:rFonts w:ascii="Cambria Math" w:hAnsi="Cambria Math" w:cs="Arial"/>
                <w:sz w:val="20"/>
                <w:szCs w:val="20"/>
              </w:rPr>
            </m:ctrlPr>
          </m:sSubPr>
          <m:e>
            <m:r>
              <m:rPr>
                <m:nor/>
              </m:rPr>
              <w:rPr>
                <w:rFonts w:ascii="Helvetica" w:hAnsi="Helvetica" w:cs="Arial"/>
                <w:sz w:val="20"/>
                <w:szCs w:val="20"/>
              </w:rPr>
              <m:t>Acc</m:t>
            </m:r>
          </m:e>
          <m:sub>
            <m:r>
              <w:rPr>
                <w:rFonts w:ascii="Cambria Math" w:hAnsi="Cambria Math" w:cs="Arial"/>
                <w:sz w:val="20"/>
                <w:szCs w:val="20"/>
              </w:rPr>
              <m:t>t</m:t>
            </m:r>
          </m:sub>
        </m:sSub>
        <m:r>
          <w:rPr>
            <w:rFonts w:ascii="Cambria Math" w:hAnsi="Cambria Math" w:cs="Arial"/>
            <w:sz w:val="20"/>
            <w:szCs w:val="20"/>
          </w:rPr>
          <m:t>(θ)≥</m:t>
        </m:r>
        <m:sSubSup>
          <m:sSubSupPr>
            <m:ctrlPr>
              <w:rPr>
                <w:rFonts w:ascii="Cambria Math" w:hAnsi="Cambria Math" w:cs="Arial"/>
                <w:sz w:val="20"/>
                <w:szCs w:val="20"/>
              </w:rPr>
            </m:ctrlPr>
          </m:sSubSupPr>
          <m:e>
            <m:r>
              <w:rPr>
                <w:rFonts w:ascii="Cambria Math" w:hAnsi="Cambria Math" w:cs="Arial"/>
                <w:sz w:val="20"/>
                <w:szCs w:val="20"/>
              </w:rPr>
              <m:t>A</m:t>
            </m:r>
          </m:e>
          <m:sub>
            <m:r>
              <w:rPr>
                <w:rFonts w:ascii="Cambria Math" w:hAnsi="Cambria Math" w:cs="Arial"/>
                <w:sz w:val="20"/>
                <w:szCs w:val="20"/>
              </w:rPr>
              <m:t>t</m:t>
            </m:r>
          </m:sub>
          <m:sup>
            <m:r>
              <m:rPr>
                <m:sty m:val="p"/>
              </m:rPr>
              <w:rPr>
                <w:rFonts w:ascii="Cambria Math" w:hAnsi="Cambria Math" w:cs="Arial"/>
                <w:sz w:val="20"/>
                <w:szCs w:val="20"/>
              </w:rPr>
              <m:t>min</m:t>
            </m:r>
          </m:sup>
        </m:sSubSup>
      </m:oMath>
      <w:r w:rsidRPr="00136899">
        <w:rPr>
          <w:rFonts w:ascii="Helvetica" w:hAnsi="Helvetica" w:cs="Arial"/>
          <w:sz w:val="20"/>
          <w:szCs w:val="20"/>
        </w:rPr>
        <w:t>. In practice, separate student models may be distilled for different pipeline stages, enabling fine-grained control over cost–accuracy trade-offs. This modularity is particularly valuable in multi-pass workflows, where early-stage extraction tasks can tolerate smaller models, reserving larger capacity for later reasoning steps only when required.</w:t>
      </w:r>
    </w:p>
    <w:p w14:paraId="20AD4AFA" w14:textId="77777777" w:rsidR="00136899" w:rsidRPr="00136899" w:rsidRDefault="00136899" w:rsidP="00136899">
      <w:pPr>
        <w:spacing w:after="210" w:line="360" w:lineRule="auto"/>
        <w:rPr>
          <w:rFonts w:ascii="Helvetica" w:hAnsi="Helvetica" w:cs="Arial"/>
          <w:b/>
          <w:bCs/>
          <w:sz w:val="20"/>
          <w:szCs w:val="20"/>
        </w:rPr>
      </w:pPr>
      <w:r w:rsidRPr="00136899">
        <w:rPr>
          <w:rFonts w:ascii="Helvetica" w:hAnsi="Helvetica" w:cs="Arial"/>
          <w:b/>
          <w:bCs/>
          <w:sz w:val="20"/>
          <w:szCs w:val="20"/>
        </w:rPr>
        <w:t>3) Quantization Under Legal Accuracy Constraints</w:t>
      </w:r>
    </w:p>
    <w:p w14:paraId="33222061" w14:textId="77777777" w:rsidR="00136899" w:rsidRPr="00136899" w:rsidRDefault="00136899" w:rsidP="00136899">
      <w:pPr>
        <w:spacing w:after="210" w:line="360" w:lineRule="auto"/>
        <w:rPr>
          <w:rFonts w:ascii="Helvetica" w:hAnsi="Helvetica" w:cs="Arial"/>
          <w:sz w:val="20"/>
          <w:szCs w:val="20"/>
        </w:rPr>
      </w:pPr>
      <w:r w:rsidRPr="00136899">
        <w:rPr>
          <w:rFonts w:ascii="Helvetica" w:hAnsi="Helvetica" w:cs="Arial"/>
          <w:sz w:val="20"/>
          <w:szCs w:val="20"/>
        </w:rPr>
        <w:t>Quantization is among the most effective levers for reducing inference cost and energy, as lower-precision arithmetic directly decreases memory bandwidth requirements and power consumption. For contract workloads, however, aggressive quantization must be applied selectively. While INT8 quantization is often viable across extraction and classification tasks with negligible accuracy degradation, lower precisions (e.g., INT4) may disproportionately affect rare or legally critical clause categories.</w:t>
      </w:r>
    </w:p>
    <w:p w14:paraId="3F40EE9F" w14:textId="3A557D5C" w:rsidR="00136899" w:rsidRPr="00136899" w:rsidRDefault="00136899" w:rsidP="00136899">
      <w:pPr>
        <w:spacing w:after="210" w:line="360" w:lineRule="auto"/>
        <w:rPr>
          <w:rFonts w:ascii="Helvetica" w:hAnsi="Helvetica" w:cs="Arial"/>
          <w:sz w:val="20"/>
          <w:szCs w:val="20"/>
        </w:rPr>
      </w:pPr>
      <w:r w:rsidRPr="00136899">
        <w:rPr>
          <w:rFonts w:ascii="Helvetica" w:hAnsi="Helvetica" w:cs="Arial"/>
          <w:sz w:val="20"/>
          <w:szCs w:val="20"/>
        </w:rPr>
        <w:t>To address this, quantization strategies in this layer are </w:t>
      </w:r>
      <w:r w:rsidRPr="00136899">
        <w:rPr>
          <w:rFonts w:ascii="Helvetica" w:hAnsi="Helvetica" w:cs="Arial"/>
          <w:b/>
          <w:bCs/>
          <w:sz w:val="20"/>
          <w:szCs w:val="20"/>
        </w:rPr>
        <w:t>accuracy-aware</w:t>
      </w:r>
      <w:r w:rsidRPr="00136899">
        <w:rPr>
          <w:rFonts w:ascii="Helvetica" w:hAnsi="Helvetica" w:cs="Arial"/>
          <w:sz w:val="20"/>
          <w:szCs w:val="20"/>
        </w:rPr>
        <w:t xml:space="preserve">, incorporating per-task validation against legally material clauses. Rather than enforcing uniform precision across the model, mixed-precision schemes are employed, preserving higher precision in attention layers or output heads associated with </w:t>
      </w:r>
      <w:r w:rsidRPr="00136899">
        <w:rPr>
          <w:rFonts w:ascii="Helvetica" w:hAnsi="Helvetica" w:cs="Arial"/>
          <w:sz w:val="20"/>
          <w:szCs w:val="20"/>
        </w:rPr>
        <w:lastRenderedPageBreak/>
        <w:t>high-risk clauses. This selective approach reduces </w:t>
      </w:r>
      <m:oMath>
        <m:sSub>
          <m:sSubPr>
            <m:ctrlPr>
              <w:rPr>
                <w:rFonts w:ascii="Cambria Math" w:hAnsi="Cambria Math" w:cs="Arial"/>
                <w:sz w:val="20"/>
                <w:szCs w:val="20"/>
              </w:rPr>
            </m:ctrlPr>
          </m:sSubPr>
          <m:e>
            <m:r>
              <w:rPr>
                <w:rFonts w:ascii="Cambria Math" w:hAnsi="Cambria Math" w:cs="Arial"/>
                <w:sz w:val="20"/>
                <w:szCs w:val="20"/>
              </w:rPr>
              <m:t>E</m:t>
            </m:r>
          </m:e>
          <m:sub>
            <m:r>
              <w:rPr>
                <w:rFonts w:ascii="Cambria Math" w:hAnsi="Cambria Math" w:cs="Arial"/>
                <w:sz w:val="20"/>
                <w:szCs w:val="20"/>
              </w:rPr>
              <m:t>ij</m:t>
            </m:r>
          </m:sub>
        </m:sSub>
        <m:r>
          <w:rPr>
            <w:rFonts w:ascii="Cambria Math" w:hAnsi="Cambria Math" w:cs="Arial"/>
            <w:sz w:val="20"/>
            <w:szCs w:val="20"/>
          </w:rPr>
          <m:t>(θ)</m:t>
        </m:r>
      </m:oMath>
      <w:r w:rsidRPr="00136899">
        <w:rPr>
          <w:rFonts w:ascii="Helvetica" w:hAnsi="Helvetica" w:cs="Arial"/>
          <w:sz w:val="20"/>
          <w:szCs w:val="20"/>
        </w:rPr>
        <w:t> without violating recall thresholds that would expose enterprises to legal risk.</w:t>
      </w:r>
    </w:p>
    <w:p w14:paraId="390F2B3F" w14:textId="77777777" w:rsidR="00136899" w:rsidRPr="00136899" w:rsidRDefault="00136899" w:rsidP="00136899">
      <w:pPr>
        <w:spacing w:after="210" w:line="360" w:lineRule="auto"/>
        <w:rPr>
          <w:rFonts w:ascii="Helvetica" w:hAnsi="Helvetica" w:cs="Arial"/>
          <w:b/>
          <w:bCs/>
          <w:sz w:val="20"/>
          <w:szCs w:val="20"/>
        </w:rPr>
      </w:pPr>
      <w:r w:rsidRPr="00136899">
        <w:rPr>
          <w:rFonts w:ascii="Helvetica" w:hAnsi="Helvetica" w:cs="Arial"/>
          <w:b/>
          <w:bCs/>
          <w:sz w:val="20"/>
          <w:szCs w:val="20"/>
        </w:rPr>
        <w:t>4) Structured Pruning and Parameter-Efficient Adaptation</w:t>
      </w:r>
    </w:p>
    <w:p w14:paraId="15FACF6E" w14:textId="77777777" w:rsidR="00136899" w:rsidRPr="00136899" w:rsidRDefault="00136899" w:rsidP="00136899">
      <w:pPr>
        <w:spacing w:after="210" w:line="360" w:lineRule="auto"/>
        <w:rPr>
          <w:rFonts w:ascii="Helvetica" w:hAnsi="Helvetica" w:cs="Arial"/>
          <w:sz w:val="20"/>
          <w:szCs w:val="20"/>
        </w:rPr>
      </w:pPr>
      <w:r w:rsidRPr="00136899">
        <w:rPr>
          <w:rFonts w:ascii="Helvetica" w:hAnsi="Helvetica" w:cs="Arial"/>
          <w:sz w:val="20"/>
          <w:szCs w:val="20"/>
        </w:rPr>
        <w:t>Contract analysis models exhibit substantial redundancy due to repetitive legal language and standardized clause structures. Structured pruning techniques exploit this redundancy by removing attention heads, feedforward blocks, or neurons that contribute minimally to contract-specific tasks. Unlike unstructured sparsity, structured pruning preserves compatibility with optimized runtimes and hardware accelerators, ensuring that FLOP reductions translate into realized energy savings.</w:t>
      </w:r>
    </w:p>
    <w:p w14:paraId="51F463A2" w14:textId="77777777" w:rsidR="00136899" w:rsidRPr="00136899" w:rsidRDefault="00136899" w:rsidP="00136899">
      <w:pPr>
        <w:spacing w:after="210" w:line="360" w:lineRule="auto"/>
        <w:rPr>
          <w:rFonts w:ascii="Helvetica" w:hAnsi="Helvetica" w:cs="Arial"/>
          <w:sz w:val="20"/>
          <w:szCs w:val="20"/>
        </w:rPr>
      </w:pPr>
      <w:r w:rsidRPr="00136899">
        <w:rPr>
          <w:rFonts w:ascii="Helvetica" w:hAnsi="Helvetica" w:cs="Arial"/>
          <w:sz w:val="20"/>
          <w:szCs w:val="20"/>
        </w:rPr>
        <w:t>Complementary to pruning, parameter-efficient adaptation methods—such as low-rank adapters or lightweight task-specific modules—enable specialization by contract type or jurisdiction without replicating full model weights. For example, jurisdiction-specific adapters can capture localized legal phrasing while sharing a common backbone. This reduces both memory overhead and deployment complexity, allowing enterprises to support diverse legal regimes within a constrained energy and cost budget.</w:t>
      </w:r>
    </w:p>
    <w:p w14:paraId="279F324B" w14:textId="77777777" w:rsidR="00136899" w:rsidRPr="00136899" w:rsidRDefault="00136899" w:rsidP="00136899">
      <w:pPr>
        <w:spacing w:after="210" w:line="360" w:lineRule="auto"/>
        <w:rPr>
          <w:rFonts w:ascii="Helvetica" w:hAnsi="Helvetica" w:cs="Arial"/>
          <w:b/>
          <w:bCs/>
          <w:sz w:val="20"/>
          <w:szCs w:val="20"/>
        </w:rPr>
      </w:pPr>
      <w:r w:rsidRPr="00136899">
        <w:rPr>
          <w:rFonts w:ascii="Helvetica" w:hAnsi="Helvetica" w:cs="Arial"/>
          <w:b/>
          <w:bCs/>
          <w:sz w:val="20"/>
          <w:szCs w:val="20"/>
        </w:rPr>
        <w:t>5) Token-Efficient Modeling for Long Contracts</w:t>
      </w:r>
    </w:p>
    <w:p w14:paraId="21592510" w14:textId="77777777" w:rsidR="00136899" w:rsidRPr="00136899" w:rsidRDefault="00136899" w:rsidP="00136899">
      <w:pPr>
        <w:spacing w:after="210" w:line="360" w:lineRule="auto"/>
        <w:rPr>
          <w:rFonts w:ascii="Helvetica" w:hAnsi="Helvetica" w:cs="Arial"/>
          <w:sz w:val="20"/>
          <w:szCs w:val="20"/>
        </w:rPr>
      </w:pPr>
      <w:r w:rsidRPr="00136899">
        <w:rPr>
          <w:rFonts w:ascii="Helvetica" w:hAnsi="Helvetica" w:cs="Arial"/>
          <w:sz w:val="20"/>
          <w:szCs w:val="20"/>
        </w:rPr>
        <w:t>Beyond parameter count, token volume is a dominant driver of inference cost in long-form contracts. Model-level strategies therefore prioritize token efficiency, including hierarchical encoding of document structure and selective attention to legally salient sections. By reducing effective sequence length at inference time, these approaches lower both computation and energy consumption per call.</w:t>
      </w:r>
    </w:p>
    <w:p w14:paraId="73EFAB07" w14:textId="77777777" w:rsidR="00136899" w:rsidRDefault="00136899" w:rsidP="00136899">
      <w:pPr>
        <w:spacing w:after="210" w:line="360" w:lineRule="auto"/>
        <w:rPr>
          <w:rFonts w:ascii="Helvetica" w:hAnsi="Helvetica" w:cs="Arial"/>
          <w:sz w:val="20"/>
          <w:szCs w:val="20"/>
        </w:rPr>
      </w:pPr>
      <w:r w:rsidRPr="00136899">
        <w:rPr>
          <w:rFonts w:ascii="Helvetica" w:hAnsi="Helvetica" w:cs="Arial"/>
          <w:sz w:val="20"/>
          <w:szCs w:val="20"/>
        </w:rPr>
        <w:t>Crucially, token reduction is applied conservatively and informed by contract structure (e.g., section headers, clause numbering), ensuring that omission of irrelevant text does not degrade extraction or classification accuracy on critical clauses.</w:t>
      </w:r>
    </w:p>
    <w:p w14:paraId="4FA42ABD" w14:textId="5C6E950F" w:rsidR="00906620" w:rsidRPr="00906620" w:rsidRDefault="003F41FB" w:rsidP="00906620">
      <w:pPr>
        <w:spacing w:after="210" w:line="360" w:lineRule="auto"/>
        <w:rPr>
          <w:rFonts w:ascii="Helvetica" w:hAnsi="Helvetica" w:cs="Arial"/>
          <w:sz w:val="20"/>
          <w:szCs w:val="20"/>
        </w:rPr>
      </w:pPr>
      <w:r w:rsidRPr="003F41FB">
        <w:rPr>
          <w:rFonts w:ascii="Helvetica" w:hAnsi="Helvetica" w:cs="Arial"/>
          <w:b/>
          <w:bCs/>
          <w:sz w:val="20"/>
          <w:szCs w:val="20"/>
          <w:lang w:val="en-US"/>
        </w:rPr>
        <w:t>Implementation Toolbox</w:t>
      </w:r>
      <w:r w:rsidRPr="003F41FB">
        <w:rPr>
          <w:rFonts w:ascii="Helvetica" w:hAnsi="Helvetica" w:cs="Arial"/>
          <w:sz w:val="20"/>
          <w:szCs w:val="20"/>
          <w:lang w:val="en-US"/>
        </w:rPr>
        <w:br/>
        <w:t>The model-level strategies described above can be instantiated using a range of established techniques, including post-training and quantization-aware methods (e.g., GPTQ-, AWQ-, or QLoRA-style setups), structured pruning of attention heads or feedforward blocks, task-specific knowledge distillation from large legal teacher models, compact transformer variants optimized for document understanding, and low-rank adaptation methods (e.g., LoRA or IA³) for jurisdiction- or template-specific specialization. These techniques are complementary and may be combined to satisfy task-level accuracy constraints while minimizing inference cost and energy.</w:t>
      </w:r>
    </w:p>
    <w:p w14:paraId="680877CA" w14:textId="0F90F563" w:rsidR="00906620" w:rsidRPr="00906620" w:rsidRDefault="00906620" w:rsidP="00906620">
      <w:pPr>
        <w:spacing w:after="210" w:line="360" w:lineRule="auto"/>
        <w:rPr>
          <w:rFonts w:ascii="Helvetica" w:hAnsi="Helvetica" w:cs="Arial"/>
          <w:b/>
          <w:bCs/>
          <w:sz w:val="20"/>
          <w:szCs w:val="20"/>
        </w:rPr>
      </w:pPr>
      <w:r w:rsidRPr="00906620">
        <w:rPr>
          <w:rFonts w:ascii="Helvetica" w:hAnsi="Helvetica" w:cs="Arial"/>
          <w:b/>
          <w:bCs/>
          <w:sz w:val="20"/>
          <w:szCs w:val="20"/>
        </w:rPr>
        <w:t>B. Layer 2 — Inference Serving and Runtime</w:t>
      </w:r>
    </w:p>
    <w:p w14:paraId="539A29A5" w14:textId="4E88AE90" w:rsidR="003F41FB" w:rsidRPr="003F41FB" w:rsidRDefault="003F41FB" w:rsidP="003F41FB">
      <w:pPr>
        <w:spacing w:after="210" w:line="360" w:lineRule="auto"/>
        <w:rPr>
          <w:rFonts w:ascii="Helvetica" w:hAnsi="Helvetica" w:cs="Arial"/>
          <w:sz w:val="20"/>
          <w:szCs w:val="20"/>
        </w:rPr>
      </w:pPr>
      <w:r w:rsidRPr="003F41FB">
        <w:rPr>
          <w:rFonts w:ascii="Helvetica" w:hAnsi="Helvetica" w:cs="Arial"/>
          <w:sz w:val="20"/>
          <w:szCs w:val="20"/>
        </w:rPr>
        <w:lastRenderedPageBreak/>
        <w:t>While model-level optimization reduces the computational footprint of individual inference calls, </w:t>
      </w:r>
      <w:r w:rsidRPr="003F41FB">
        <w:rPr>
          <w:rFonts w:ascii="Helvetica" w:hAnsi="Helvetica" w:cs="Arial"/>
          <w:b/>
          <w:bCs/>
          <w:sz w:val="20"/>
          <w:szCs w:val="20"/>
        </w:rPr>
        <w:t>serving and runtime decisions determine whether these theoretical savings translate into realized reductions in cost and energy</w:t>
      </w:r>
      <w:r w:rsidRPr="003F41FB">
        <w:rPr>
          <w:rFonts w:ascii="Helvetica" w:hAnsi="Helvetica" w:cs="Arial"/>
          <w:sz w:val="20"/>
          <w:szCs w:val="20"/>
        </w:rPr>
        <w:t>. In the formulation of Section III, this layer directly affects both </w:t>
      </w:r>
      <m:oMath>
        <m:sSub>
          <m:sSubPr>
            <m:ctrlPr>
              <w:rPr>
                <w:rFonts w:ascii="Cambria Math" w:hAnsi="Cambria Math" w:cs="Arial"/>
                <w:sz w:val="20"/>
                <w:szCs w:val="20"/>
              </w:rPr>
            </m:ctrlPr>
          </m:sSubPr>
          <m:e>
            <m:r>
              <w:rPr>
                <w:rFonts w:ascii="Cambria Math" w:hAnsi="Cambria Math" w:cs="Arial"/>
                <w:sz w:val="20"/>
                <w:szCs w:val="20"/>
              </w:rPr>
              <m:t>C</m:t>
            </m:r>
          </m:e>
          <m:sub>
            <m:r>
              <w:rPr>
                <w:rFonts w:ascii="Cambria Math" w:hAnsi="Cambria Math" w:cs="Arial"/>
                <w:sz w:val="20"/>
                <w:szCs w:val="20"/>
              </w:rPr>
              <m:t>ij</m:t>
            </m:r>
          </m:sub>
        </m:sSub>
        <m:r>
          <w:rPr>
            <w:rFonts w:ascii="Cambria Math" w:hAnsi="Cambria Math" w:cs="Arial"/>
            <w:sz w:val="20"/>
            <w:szCs w:val="20"/>
          </w:rPr>
          <m:t>(θ)</m:t>
        </m:r>
      </m:oMath>
      <w:r w:rsidRPr="003F41FB">
        <w:rPr>
          <w:rFonts w:ascii="Helvetica" w:hAnsi="Helvetica" w:cs="Arial"/>
          <w:sz w:val="20"/>
          <w:szCs w:val="20"/>
        </w:rPr>
        <w:t> and </w:t>
      </w:r>
      <m:oMath>
        <m:sSub>
          <m:sSubPr>
            <m:ctrlPr>
              <w:rPr>
                <w:rFonts w:ascii="Cambria Math" w:hAnsi="Cambria Math" w:cs="Arial"/>
                <w:sz w:val="20"/>
                <w:szCs w:val="20"/>
              </w:rPr>
            </m:ctrlPr>
          </m:sSubPr>
          <m:e>
            <m:r>
              <w:rPr>
                <w:rFonts w:ascii="Cambria Math" w:hAnsi="Cambria Math" w:cs="Arial"/>
                <w:sz w:val="20"/>
                <w:szCs w:val="20"/>
              </w:rPr>
              <m:t>E</m:t>
            </m:r>
          </m:e>
          <m:sub>
            <m:r>
              <w:rPr>
                <w:rFonts w:ascii="Cambria Math" w:hAnsi="Cambria Math" w:cs="Arial"/>
                <w:sz w:val="20"/>
                <w:szCs w:val="20"/>
              </w:rPr>
              <m:t>ij</m:t>
            </m:r>
          </m:sub>
        </m:sSub>
        <m:r>
          <w:rPr>
            <w:rFonts w:ascii="Cambria Math" w:hAnsi="Cambria Math" w:cs="Arial"/>
            <w:sz w:val="20"/>
            <w:szCs w:val="20"/>
          </w:rPr>
          <m:t>(θ)</m:t>
        </m:r>
      </m:oMath>
      <w:r w:rsidRPr="003F41FB">
        <w:rPr>
          <w:rFonts w:ascii="Helvetica" w:hAnsi="Helvetica" w:cs="Arial"/>
          <w:sz w:val="20"/>
          <w:szCs w:val="20"/>
        </w:rPr>
        <w:t> through batch configuration, scheduling policy, decoding strategy, caching behavior, and runtime efficiency. Contract analysis workloads pose distinct challenges for inference serving due to their long context lengths, structured outputs, multi-pass pipelines, and heterogeneous latency requirements. This layer therefore focuses on </w:t>
      </w:r>
      <w:r w:rsidRPr="003F41FB">
        <w:rPr>
          <w:rFonts w:ascii="Helvetica" w:hAnsi="Helvetica" w:cs="Arial"/>
          <w:b/>
          <w:bCs/>
          <w:sz w:val="20"/>
          <w:szCs w:val="20"/>
        </w:rPr>
        <w:t>contract-aware serving strategies</w:t>
      </w:r>
      <w:r w:rsidRPr="003F41FB">
        <w:rPr>
          <w:rFonts w:ascii="Helvetica" w:hAnsi="Helvetica" w:cs="Arial"/>
          <w:sz w:val="20"/>
          <w:szCs w:val="20"/>
        </w:rPr>
        <w:t> that maximize utilization while preserving accuracy and service-level guarantees.</w:t>
      </w:r>
    </w:p>
    <w:p w14:paraId="5C3C8059" w14:textId="77777777" w:rsidR="003F41FB" w:rsidRPr="003F41FB" w:rsidRDefault="003F41FB" w:rsidP="003F41FB">
      <w:pPr>
        <w:spacing w:after="210" w:line="360" w:lineRule="auto"/>
        <w:rPr>
          <w:rFonts w:ascii="Helvetica" w:hAnsi="Helvetica" w:cs="Arial"/>
          <w:b/>
          <w:bCs/>
          <w:sz w:val="20"/>
          <w:szCs w:val="20"/>
        </w:rPr>
      </w:pPr>
      <w:r w:rsidRPr="003F41FB">
        <w:rPr>
          <w:rFonts w:ascii="Helvetica" w:hAnsi="Helvetica" w:cs="Arial"/>
          <w:b/>
          <w:bCs/>
          <w:sz w:val="20"/>
          <w:szCs w:val="20"/>
        </w:rPr>
        <w:t>1) Continuous and Adaptive Batching for Long Documents</w:t>
      </w:r>
    </w:p>
    <w:p w14:paraId="1814B545" w14:textId="77777777" w:rsidR="003F41FB" w:rsidRPr="003F41FB" w:rsidRDefault="003F41FB" w:rsidP="003F41FB">
      <w:pPr>
        <w:spacing w:after="210" w:line="360" w:lineRule="auto"/>
        <w:rPr>
          <w:rFonts w:ascii="Helvetica" w:hAnsi="Helvetica" w:cs="Arial"/>
          <w:sz w:val="20"/>
          <w:szCs w:val="20"/>
        </w:rPr>
      </w:pPr>
      <w:r w:rsidRPr="003F41FB">
        <w:rPr>
          <w:rFonts w:ascii="Helvetica" w:hAnsi="Helvetica" w:cs="Arial"/>
          <w:sz w:val="20"/>
          <w:szCs w:val="20"/>
        </w:rPr>
        <w:t>Batching is a primary lever for improving hardware utilization and energy efficiency; however, naive batching strategies are poorly suited to contract workloads. Agreements vary widely in length and structure, and inference calls within a single contract may differ substantially in token count across pipeline stages. Fixed-size or static batching therefore leads to padding inefficiencies and uneven GPU utilization.</w:t>
      </w:r>
    </w:p>
    <w:p w14:paraId="6D7AD0DC" w14:textId="77777777" w:rsidR="003F41FB" w:rsidRPr="003F41FB" w:rsidRDefault="003F41FB" w:rsidP="003F41FB">
      <w:pPr>
        <w:spacing w:after="210" w:line="360" w:lineRule="auto"/>
        <w:rPr>
          <w:rFonts w:ascii="Helvetica" w:hAnsi="Helvetica" w:cs="Arial"/>
          <w:sz w:val="20"/>
          <w:szCs w:val="20"/>
        </w:rPr>
      </w:pPr>
      <w:r w:rsidRPr="003F41FB">
        <w:rPr>
          <w:rFonts w:ascii="Helvetica" w:hAnsi="Helvetica" w:cs="Arial"/>
          <w:sz w:val="20"/>
          <w:szCs w:val="20"/>
        </w:rPr>
        <w:t>To address this, continuous and adaptive batching mechanisms are employed, dynamically grouping inference requests based on arrival time, sequence length, and decoding phase. By minimizing idle compute and reducing padding overhead, continuous batching increases tokens processed per second and lowers energy per token. Importantly, batching policies are configured to respect task-specific latency constraints, preventing interactive workflows from being delayed by large batch jobs.</w:t>
      </w:r>
    </w:p>
    <w:p w14:paraId="1BAB7BFD" w14:textId="77777777" w:rsidR="003F41FB" w:rsidRPr="003F41FB" w:rsidRDefault="003F41FB" w:rsidP="003F41FB">
      <w:pPr>
        <w:spacing w:after="210" w:line="360" w:lineRule="auto"/>
        <w:rPr>
          <w:rFonts w:ascii="Helvetica" w:hAnsi="Helvetica" w:cs="Arial"/>
          <w:b/>
          <w:bCs/>
          <w:sz w:val="20"/>
          <w:szCs w:val="20"/>
        </w:rPr>
      </w:pPr>
      <w:r w:rsidRPr="003F41FB">
        <w:rPr>
          <w:rFonts w:ascii="Helvetica" w:hAnsi="Helvetica" w:cs="Arial"/>
          <w:b/>
          <w:bCs/>
          <w:sz w:val="20"/>
          <w:szCs w:val="20"/>
        </w:rPr>
        <w:t>2) SLA-Aware Scheduling for Mixed Workloads</w:t>
      </w:r>
    </w:p>
    <w:p w14:paraId="1CC05A53" w14:textId="77777777" w:rsidR="003F41FB" w:rsidRPr="003F41FB" w:rsidRDefault="003F41FB" w:rsidP="003F41FB">
      <w:pPr>
        <w:spacing w:after="210" w:line="360" w:lineRule="auto"/>
        <w:rPr>
          <w:rFonts w:ascii="Helvetica" w:hAnsi="Helvetica" w:cs="Arial"/>
          <w:sz w:val="20"/>
          <w:szCs w:val="20"/>
        </w:rPr>
      </w:pPr>
      <w:r w:rsidRPr="003F41FB">
        <w:rPr>
          <w:rFonts w:ascii="Helvetica" w:hAnsi="Helvetica" w:cs="Arial"/>
          <w:sz w:val="20"/>
          <w:szCs w:val="20"/>
        </w:rPr>
        <w:t>Enterprise contract analysis systems simultaneously support </w:t>
      </w:r>
      <w:r w:rsidRPr="003F41FB">
        <w:rPr>
          <w:rFonts w:ascii="Helvetica" w:hAnsi="Helvetica" w:cs="Arial"/>
          <w:b/>
          <w:bCs/>
          <w:sz w:val="20"/>
          <w:szCs w:val="20"/>
        </w:rPr>
        <w:t>interactive</w:t>
      </w:r>
      <w:r w:rsidRPr="003F41FB">
        <w:rPr>
          <w:rFonts w:ascii="Helvetica" w:hAnsi="Helvetica" w:cs="Arial"/>
          <w:sz w:val="20"/>
          <w:szCs w:val="20"/>
        </w:rPr>
        <w:t> workflows (e.g., live redlining, clause-by-clause exploration) and </w:t>
      </w:r>
      <w:r w:rsidRPr="003F41FB">
        <w:rPr>
          <w:rFonts w:ascii="Helvetica" w:hAnsi="Helvetica" w:cs="Arial"/>
          <w:b/>
          <w:bCs/>
          <w:sz w:val="20"/>
          <w:szCs w:val="20"/>
        </w:rPr>
        <w:t>batch</w:t>
      </w:r>
      <w:r w:rsidRPr="003F41FB">
        <w:rPr>
          <w:rFonts w:ascii="Helvetica" w:hAnsi="Helvetica" w:cs="Arial"/>
          <w:sz w:val="20"/>
          <w:szCs w:val="20"/>
        </w:rPr>
        <w:t> workloads (e.g., portfolio reviews, due diligence). These workloads impose conflicting requirements: interactive tasks demand low tail latency, while batch tasks prioritize throughput and efficiency.</w:t>
      </w:r>
    </w:p>
    <w:p w14:paraId="1A55EB96" w14:textId="77777777" w:rsidR="003F41FB" w:rsidRPr="003F41FB" w:rsidRDefault="003F41FB" w:rsidP="003F41FB">
      <w:pPr>
        <w:spacing w:after="210" w:line="360" w:lineRule="auto"/>
        <w:rPr>
          <w:rFonts w:ascii="Helvetica" w:hAnsi="Helvetica" w:cs="Arial"/>
          <w:sz w:val="20"/>
          <w:szCs w:val="20"/>
        </w:rPr>
      </w:pPr>
      <w:r w:rsidRPr="003F41FB">
        <w:rPr>
          <w:rFonts w:ascii="Helvetica" w:hAnsi="Helvetica" w:cs="Arial"/>
          <w:sz w:val="20"/>
          <w:szCs w:val="20"/>
        </w:rPr>
        <w:t>SLA-aware schedulers explicitly incorporate latency and throughput constraints into request prioritization. Interactive inference calls are routed to low-latency queues with bounded batch sizes and stricter scheduling guarantees, while batch jobs are aggregated aggressively to maximize utilization and energy efficiency. From an optimization standpoint, this separation prevents interactive SLAs from forcing conservative batching policies across the entire system, enabling batch workloads to operate closer to hardware efficiency limits without violating service guarantees.</w:t>
      </w:r>
    </w:p>
    <w:p w14:paraId="6D3B8D44" w14:textId="77777777" w:rsidR="003F41FB" w:rsidRPr="003F41FB" w:rsidRDefault="003F41FB" w:rsidP="003F41FB">
      <w:pPr>
        <w:spacing w:after="210" w:line="360" w:lineRule="auto"/>
        <w:rPr>
          <w:rFonts w:ascii="Helvetica" w:hAnsi="Helvetica" w:cs="Arial"/>
          <w:b/>
          <w:bCs/>
          <w:sz w:val="20"/>
          <w:szCs w:val="20"/>
        </w:rPr>
      </w:pPr>
      <w:r w:rsidRPr="003F41FB">
        <w:rPr>
          <w:rFonts w:ascii="Helvetica" w:hAnsi="Helvetica" w:cs="Arial"/>
          <w:b/>
          <w:bCs/>
          <w:sz w:val="20"/>
          <w:szCs w:val="20"/>
        </w:rPr>
        <w:t>3) Speculative Decoding for Reasoning and Summarization Tasks</w:t>
      </w:r>
    </w:p>
    <w:p w14:paraId="20A75740" w14:textId="77777777" w:rsidR="003F41FB" w:rsidRPr="003F41FB" w:rsidRDefault="003F41FB" w:rsidP="003F41FB">
      <w:pPr>
        <w:spacing w:after="210" w:line="360" w:lineRule="auto"/>
        <w:rPr>
          <w:rFonts w:ascii="Helvetica" w:hAnsi="Helvetica" w:cs="Arial"/>
          <w:sz w:val="20"/>
          <w:szCs w:val="20"/>
        </w:rPr>
      </w:pPr>
      <w:r w:rsidRPr="003F41FB">
        <w:rPr>
          <w:rFonts w:ascii="Helvetica" w:hAnsi="Helvetica" w:cs="Arial"/>
          <w:sz w:val="20"/>
          <w:szCs w:val="20"/>
        </w:rPr>
        <w:t xml:space="preserve">Speculative decoding reduces inference latency and energy by allowing a lightweight draft model to propose candidate token sequences that are selectively verified by a larger model. In contract pipelines, </w:t>
      </w:r>
      <w:r w:rsidRPr="003F41FB">
        <w:rPr>
          <w:rFonts w:ascii="Helvetica" w:hAnsi="Helvetica" w:cs="Arial"/>
          <w:sz w:val="20"/>
          <w:szCs w:val="20"/>
        </w:rPr>
        <w:lastRenderedPageBreak/>
        <w:t>this technique is particularly effective for summarization, explanation generation, and downstream recommendation tasks, where output fluency is important but strict determinism is not required.</w:t>
      </w:r>
    </w:p>
    <w:p w14:paraId="4ECAFB28" w14:textId="3FFFA3AA" w:rsidR="003F41FB" w:rsidRPr="003F41FB" w:rsidRDefault="003F41FB" w:rsidP="003F41FB">
      <w:pPr>
        <w:spacing w:after="210" w:line="360" w:lineRule="auto"/>
        <w:rPr>
          <w:rFonts w:ascii="Helvetica" w:hAnsi="Helvetica" w:cs="Arial"/>
          <w:sz w:val="20"/>
          <w:szCs w:val="20"/>
        </w:rPr>
      </w:pPr>
      <w:r w:rsidRPr="003F41FB">
        <w:rPr>
          <w:rFonts w:ascii="Helvetica" w:hAnsi="Helvetica" w:cs="Arial"/>
          <w:sz w:val="20"/>
          <w:szCs w:val="20"/>
        </w:rPr>
        <w:t>By reducing the number of expensive decoding steps performed by large models, speculative decoding lowers FLOPs per output token and directly reduces </w:t>
      </w:r>
      <m:oMath>
        <m:sSub>
          <m:sSubPr>
            <m:ctrlPr>
              <w:rPr>
                <w:rFonts w:ascii="Cambria Math" w:hAnsi="Cambria Math" w:cs="Arial"/>
                <w:sz w:val="20"/>
                <w:szCs w:val="20"/>
              </w:rPr>
            </m:ctrlPr>
          </m:sSubPr>
          <m:e>
            <m:r>
              <w:rPr>
                <w:rFonts w:ascii="Cambria Math" w:hAnsi="Cambria Math" w:cs="Arial"/>
                <w:sz w:val="20"/>
                <w:szCs w:val="20"/>
              </w:rPr>
              <m:t>E</m:t>
            </m:r>
          </m:e>
          <m:sub>
            <m:r>
              <w:rPr>
                <w:rFonts w:ascii="Cambria Math" w:hAnsi="Cambria Math" w:cs="Arial"/>
                <w:sz w:val="20"/>
                <w:szCs w:val="20"/>
              </w:rPr>
              <m:t>ij</m:t>
            </m:r>
          </m:sub>
        </m:sSub>
        <m:r>
          <w:rPr>
            <w:rFonts w:ascii="Cambria Math" w:hAnsi="Cambria Math" w:cs="Arial"/>
            <w:sz w:val="20"/>
            <w:szCs w:val="20"/>
          </w:rPr>
          <m:t>(θ)</m:t>
        </m:r>
      </m:oMath>
      <w:r w:rsidRPr="003F41FB">
        <w:rPr>
          <w:rFonts w:ascii="Helvetica" w:hAnsi="Helvetica" w:cs="Arial"/>
          <w:sz w:val="20"/>
          <w:szCs w:val="20"/>
        </w:rPr>
        <w:t>. Importantly, speculative execution is applied selectively to tasks where minor variations do not affect legal correctness, while extraction and classification stages remain deterministic and fully verified.</w:t>
      </w:r>
    </w:p>
    <w:p w14:paraId="5C11FD41" w14:textId="77777777" w:rsidR="003F41FB" w:rsidRPr="003F41FB" w:rsidRDefault="003F41FB" w:rsidP="003F41FB">
      <w:pPr>
        <w:spacing w:after="210" w:line="360" w:lineRule="auto"/>
        <w:rPr>
          <w:rFonts w:ascii="Helvetica" w:hAnsi="Helvetica" w:cs="Arial"/>
          <w:b/>
          <w:bCs/>
          <w:sz w:val="20"/>
          <w:szCs w:val="20"/>
        </w:rPr>
      </w:pPr>
      <w:r w:rsidRPr="003F41FB">
        <w:rPr>
          <w:rFonts w:ascii="Helvetica" w:hAnsi="Helvetica" w:cs="Arial"/>
          <w:b/>
          <w:bCs/>
          <w:sz w:val="20"/>
          <w:szCs w:val="20"/>
        </w:rPr>
        <w:t>4) Constrained Decoding for Structured Contract Outputs</w:t>
      </w:r>
    </w:p>
    <w:p w14:paraId="392D8AA5" w14:textId="77777777" w:rsidR="003F41FB" w:rsidRPr="003F41FB" w:rsidRDefault="003F41FB" w:rsidP="003F41FB">
      <w:pPr>
        <w:spacing w:after="210" w:line="360" w:lineRule="auto"/>
        <w:rPr>
          <w:rFonts w:ascii="Helvetica" w:hAnsi="Helvetica" w:cs="Arial"/>
          <w:sz w:val="20"/>
          <w:szCs w:val="20"/>
        </w:rPr>
      </w:pPr>
      <w:r w:rsidRPr="003F41FB">
        <w:rPr>
          <w:rFonts w:ascii="Helvetica" w:hAnsi="Helvetica" w:cs="Arial"/>
          <w:sz w:val="20"/>
          <w:szCs w:val="20"/>
        </w:rPr>
        <w:t>Contract analysis systems must emit </w:t>
      </w:r>
      <w:r w:rsidRPr="003F41FB">
        <w:rPr>
          <w:rFonts w:ascii="Helvetica" w:hAnsi="Helvetica" w:cs="Arial"/>
          <w:b/>
          <w:bCs/>
          <w:sz w:val="20"/>
          <w:szCs w:val="20"/>
        </w:rPr>
        <w:t>schema-conformant structured outputs</w:t>
      </w:r>
      <w:r w:rsidRPr="003F41FB">
        <w:rPr>
          <w:rFonts w:ascii="Helvetica" w:hAnsi="Helvetica" w:cs="Arial"/>
          <w:sz w:val="20"/>
          <w:szCs w:val="20"/>
        </w:rPr>
        <w:t>, such as clause boundaries, normalized fields, obligation records, and risk labels. Unconstrained text generation often produces invalid or inconsistent structures, necessitating costly retries or post hoc correction.</w:t>
      </w:r>
    </w:p>
    <w:p w14:paraId="232CA23A" w14:textId="77777777" w:rsidR="003F41FB" w:rsidRPr="003F41FB" w:rsidRDefault="003F41FB" w:rsidP="003F41FB">
      <w:pPr>
        <w:spacing w:after="210" w:line="360" w:lineRule="auto"/>
        <w:rPr>
          <w:rFonts w:ascii="Helvetica" w:hAnsi="Helvetica" w:cs="Arial"/>
          <w:sz w:val="20"/>
          <w:szCs w:val="20"/>
        </w:rPr>
      </w:pPr>
      <w:r w:rsidRPr="003F41FB">
        <w:rPr>
          <w:rFonts w:ascii="Helvetica" w:hAnsi="Helvetica" w:cs="Arial"/>
          <w:sz w:val="20"/>
          <w:szCs w:val="20"/>
        </w:rPr>
        <w:t>Constrained decoding enforces schema validity at generation time by restricting token choices to those consistent with predefined grammars or JSON schemas. While constrained decoding introduces modest per-token overhead, it significantly reduces the need for repeated inference passes and downstream validation, yielding net reductions in both cost and energy. Moreover, deterministic structured outputs simplify auditability and downstream integration, aligning efficiency gains with governance requirements.</w:t>
      </w:r>
    </w:p>
    <w:p w14:paraId="02584D16" w14:textId="77777777" w:rsidR="003F41FB" w:rsidRPr="003F41FB" w:rsidRDefault="003F41FB" w:rsidP="003F41FB">
      <w:pPr>
        <w:spacing w:after="210" w:line="360" w:lineRule="auto"/>
        <w:rPr>
          <w:rFonts w:ascii="Helvetica" w:hAnsi="Helvetica" w:cs="Arial"/>
          <w:b/>
          <w:bCs/>
          <w:sz w:val="20"/>
          <w:szCs w:val="20"/>
        </w:rPr>
      </w:pPr>
      <w:r w:rsidRPr="003F41FB">
        <w:rPr>
          <w:rFonts w:ascii="Helvetica" w:hAnsi="Helvetica" w:cs="Arial"/>
          <w:b/>
          <w:bCs/>
          <w:sz w:val="20"/>
          <w:szCs w:val="20"/>
        </w:rPr>
        <w:t>5) Caching and Reuse of Repetitive Contract Content</w:t>
      </w:r>
    </w:p>
    <w:p w14:paraId="1091F972" w14:textId="77777777" w:rsidR="003F41FB" w:rsidRPr="003F41FB" w:rsidRDefault="003F41FB" w:rsidP="003F41FB">
      <w:pPr>
        <w:spacing w:after="210" w:line="360" w:lineRule="auto"/>
        <w:rPr>
          <w:rFonts w:ascii="Helvetica" w:hAnsi="Helvetica" w:cs="Arial"/>
          <w:sz w:val="20"/>
          <w:szCs w:val="20"/>
        </w:rPr>
      </w:pPr>
      <w:r w:rsidRPr="003F41FB">
        <w:rPr>
          <w:rFonts w:ascii="Helvetica" w:hAnsi="Helvetica" w:cs="Arial"/>
          <w:sz w:val="20"/>
          <w:szCs w:val="20"/>
        </w:rPr>
        <w:t>Legal documents exhibit substantial repetition, particularly in standard templates (e.g., NDAs) and boilerplate clauses reused across counterparties. Serving-layer caching exploits this redundancy by memoizing intermediate or final inference results for previously processed clauses, sections, or entire agreements.</w:t>
      </w:r>
    </w:p>
    <w:p w14:paraId="4B1B4396" w14:textId="15BEB4D6" w:rsidR="003F41FB" w:rsidRPr="003F41FB" w:rsidRDefault="003F41FB" w:rsidP="003F41FB">
      <w:pPr>
        <w:spacing w:after="210" w:line="360" w:lineRule="auto"/>
        <w:rPr>
          <w:rFonts w:ascii="Helvetica" w:hAnsi="Helvetica" w:cs="Arial"/>
          <w:sz w:val="20"/>
          <w:szCs w:val="20"/>
        </w:rPr>
      </w:pPr>
      <w:r w:rsidRPr="003F41FB">
        <w:rPr>
          <w:rFonts w:ascii="Helvetica" w:hAnsi="Helvetica" w:cs="Arial"/>
          <w:sz w:val="20"/>
          <w:szCs w:val="20"/>
        </w:rPr>
        <w:t>Caching can occur at multiple granularities: full-document summaries, clause-level extractions, or even token-level embeddings. When combined with template detection and near-duplicate identification (introduced in Layer 4), caching eliminates redundant computation and reduces both </w:t>
      </w:r>
      <m:oMath>
        <m:sSub>
          <m:sSubPr>
            <m:ctrlPr>
              <w:rPr>
                <w:rFonts w:ascii="Cambria Math" w:hAnsi="Cambria Math" w:cs="Arial"/>
                <w:sz w:val="20"/>
                <w:szCs w:val="20"/>
              </w:rPr>
            </m:ctrlPr>
          </m:sSubPr>
          <m:e>
            <m:r>
              <w:rPr>
                <w:rFonts w:ascii="Cambria Math" w:hAnsi="Cambria Math" w:cs="Arial"/>
                <w:sz w:val="20"/>
                <w:szCs w:val="20"/>
              </w:rPr>
              <m:t>C</m:t>
            </m:r>
          </m:e>
          <m:sub>
            <m:r>
              <w:rPr>
                <w:rFonts w:ascii="Cambria Math" w:hAnsi="Cambria Math" w:cs="Arial"/>
                <w:sz w:val="20"/>
                <w:szCs w:val="20"/>
              </w:rPr>
              <m:t>ij</m:t>
            </m:r>
          </m:sub>
        </m:sSub>
        <m:r>
          <w:rPr>
            <w:rFonts w:ascii="Cambria Math" w:hAnsi="Cambria Math" w:cs="Arial"/>
            <w:sz w:val="20"/>
            <w:szCs w:val="20"/>
          </w:rPr>
          <m:t>(θ)</m:t>
        </m:r>
      </m:oMath>
      <w:r w:rsidRPr="003F41FB">
        <w:rPr>
          <w:rFonts w:ascii="Helvetica" w:hAnsi="Helvetica" w:cs="Arial"/>
          <w:sz w:val="20"/>
          <w:szCs w:val="20"/>
        </w:rPr>
        <w:t> and </w:t>
      </w:r>
      <m:oMath>
        <m:sSub>
          <m:sSubPr>
            <m:ctrlPr>
              <w:rPr>
                <w:rFonts w:ascii="Cambria Math" w:hAnsi="Cambria Math" w:cs="Arial"/>
                <w:sz w:val="20"/>
                <w:szCs w:val="20"/>
              </w:rPr>
            </m:ctrlPr>
          </m:sSubPr>
          <m:e>
            <m:r>
              <w:rPr>
                <w:rFonts w:ascii="Cambria Math" w:hAnsi="Cambria Math" w:cs="Arial"/>
                <w:sz w:val="20"/>
                <w:szCs w:val="20"/>
              </w:rPr>
              <m:t>E</m:t>
            </m:r>
          </m:e>
          <m:sub>
            <m:r>
              <w:rPr>
                <w:rFonts w:ascii="Cambria Math" w:hAnsi="Cambria Math" w:cs="Arial"/>
                <w:sz w:val="20"/>
                <w:szCs w:val="20"/>
              </w:rPr>
              <m:t>ij</m:t>
            </m:r>
          </m:sub>
        </m:sSub>
        <m:r>
          <w:rPr>
            <w:rFonts w:ascii="Cambria Math" w:hAnsi="Cambria Math" w:cs="Arial"/>
            <w:sz w:val="20"/>
            <w:szCs w:val="20"/>
          </w:rPr>
          <m:t>(θ)</m:t>
        </m:r>
      </m:oMath>
      <w:r w:rsidRPr="003F41FB">
        <w:rPr>
          <w:rFonts w:ascii="Helvetica" w:hAnsi="Helvetica" w:cs="Arial"/>
          <w:sz w:val="20"/>
          <w:szCs w:val="20"/>
        </w:rPr>
        <w:t> for recurring content. Critically, cache design respects data isolation and confidentiality boundaries, ensuring that reuse occurs only within permissible organizational or matter-level scopes.</w:t>
      </w:r>
    </w:p>
    <w:p w14:paraId="6FFCB2AC" w14:textId="77777777" w:rsidR="003F41FB" w:rsidRPr="003F41FB" w:rsidRDefault="003F41FB" w:rsidP="003F41FB">
      <w:pPr>
        <w:spacing w:after="210" w:line="360" w:lineRule="auto"/>
        <w:rPr>
          <w:rFonts w:ascii="Helvetica" w:hAnsi="Helvetica" w:cs="Arial"/>
          <w:b/>
          <w:bCs/>
          <w:sz w:val="20"/>
          <w:szCs w:val="20"/>
        </w:rPr>
      </w:pPr>
      <w:r w:rsidRPr="003F41FB">
        <w:rPr>
          <w:rFonts w:ascii="Helvetica" w:hAnsi="Helvetica" w:cs="Arial"/>
          <w:b/>
          <w:bCs/>
          <w:sz w:val="20"/>
          <w:szCs w:val="20"/>
        </w:rPr>
        <w:t>6) Optimized Runtime Engines and Execution Backends</w:t>
      </w:r>
    </w:p>
    <w:p w14:paraId="4C5F60E0" w14:textId="77777777" w:rsidR="003F41FB" w:rsidRPr="003F41FB" w:rsidRDefault="003F41FB" w:rsidP="003F41FB">
      <w:pPr>
        <w:spacing w:after="210" w:line="360" w:lineRule="auto"/>
        <w:rPr>
          <w:rFonts w:ascii="Helvetica" w:hAnsi="Helvetica" w:cs="Arial"/>
          <w:sz w:val="20"/>
          <w:szCs w:val="20"/>
        </w:rPr>
      </w:pPr>
      <w:r w:rsidRPr="003F41FB">
        <w:rPr>
          <w:rFonts w:ascii="Helvetica" w:hAnsi="Helvetica" w:cs="Arial"/>
          <w:sz w:val="20"/>
          <w:szCs w:val="20"/>
        </w:rPr>
        <w:t>Finally, the choice of runtime engine significantly influences realized efficiency. Optimized inference runtimes—such as those supporting kernel fusion, efficient attention implementations, and memory reuse—can improve tokens/sec/W by a substantial margin relative to default execution stacks. Compatibility with quantized weights, structured sparsity, and mixed-precision arithmetic is essential for translating Layer 1 optimizations into measurable gains.</w:t>
      </w:r>
    </w:p>
    <w:p w14:paraId="02145CE7" w14:textId="4B7DA0C3" w:rsidR="003F41FB" w:rsidRPr="003F41FB" w:rsidRDefault="003F41FB" w:rsidP="003F41FB">
      <w:pPr>
        <w:spacing w:after="210" w:line="360" w:lineRule="auto"/>
        <w:rPr>
          <w:rFonts w:ascii="Helvetica" w:hAnsi="Helvetica" w:cs="Arial"/>
          <w:sz w:val="20"/>
          <w:szCs w:val="20"/>
        </w:rPr>
      </w:pPr>
      <w:r w:rsidRPr="003F41FB">
        <w:rPr>
          <w:rFonts w:ascii="Helvetica" w:hAnsi="Helvetica" w:cs="Arial"/>
          <w:sz w:val="20"/>
          <w:szCs w:val="20"/>
        </w:rPr>
        <w:lastRenderedPageBreak/>
        <w:t>Runtime selection is therefore treated as a first-class decision variable within </w:t>
      </w:r>
      <m:oMath>
        <m:r>
          <w:rPr>
            <w:rFonts w:ascii="Cambria Math" w:hAnsi="Cambria Math" w:cs="Arial"/>
            <w:sz w:val="20"/>
            <w:szCs w:val="20"/>
          </w:rPr>
          <m:t>θ</m:t>
        </m:r>
      </m:oMath>
      <w:r w:rsidRPr="003F41FB">
        <w:rPr>
          <w:rFonts w:ascii="Helvetica" w:hAnsi="Helvetica" w:cs="Arial"/>
          <w:sz w:val="20"/>
          <w:szCs w:val="20"/>
        </w:rPr>
        <w:t>, jointly optimized with batching, scheduling, and decoding strategies. In enterprise settings, this choice is further constrained by deployment requirements, including on-premises compatibility, audit logging, and long-term maintainability.</w:t>
      </w:r>
    </w:p>
    <w:p w14:paraId="62DA3461" w14:textId="47227E9A" w:rsidR="00906620" w:rsidRPr="00906620" w:rsidRDefault="003F41FB" w:rsidP="00906620">
      <w:pPr>
        <w:spacing w:after="210" w:line="360" w:lineRule="auto"/>
        <w:rPr>
          <w:rFonts w:ascii="Helvetica" w:hAnsi="Helvetica" w:cs="Arial"/>
          <w:sz w:val="20"/>
          <w:szCs w:val="20"/>
        </w:rPr>
      </w:pPr>
      <w:r>
        <w:rPr>
          <w:rFonts w:ascii="Helvetica" w:hAnsi="Helvetica" w:cs="Arial"/>
          <w:b/>
          <w:bCs/>
          <w:sz w:val="20"/>
          <w:szCs w:val="20"/>
        </w:rPr>
        <w:t xml:space="preserve">7) </w:t>
      </w:r>
      <w:r w:rsidRPr="003F41FB">
        <w:rPr>
          <w:rFonts w:ascii="Helvetica" w:hAnsi="Helvetica" w:cs="Arial"/>
          <w:b/>
          <w:bCs/>
          <w:sz w:val="20"/>
          <w:szCs w:val="20"/>
          <w:lang w:val="en-US"/>
        </w:rPr>
        <w:t>Layout-Aware Compute Reduction for Document Inputs.</w:t>
      </w:r>
      <w:r w:rsidRPr="003F41FB">
        <w:rPr>
          <w:rFonts w:ascii="Helvetica" w:hAnsi="Helvetica" w:cs="Arial"/>
          <w:sz w:val="20"/>
          <w:szCs w:val="20"/>
          <w:lang w:val="en-US"/>
        </w:rPr>
        <w:br/>
        <w:t>When contract inputs originate from scanned PDFs or mixed-layout documents, additional inefficiencies arise from processing visually irrelevant pages (e.g., signature blocks, appendices, exhibits). Serving-layer optimizations can mitigate this cost by pre-filtering pages using lightweight layout or vision encoders and selectively invoking heavier multimodal models only when required. By reducing the number of tokens and visual features passed to downstream inference stages, layout-aware filtering lowers both computation and energy consumption without affecting clause-level accuracy.</w:t>
      </w:r>
      <w:r w:rsidRPr="003F41FB">
        <w:rPr>
          <w:rFonts w:ascii="Helvetica" w:hAnsi="Helvetica" w:cs="Arial"/>
          <w:sz w:val="20"/>
          <w:szCs w:val="20"/>
        </w:rPr>
        <w:t xml:space="preserve"> </w:t>
      </w:r>
    </w:p>
    <w:p w14:paraId="681852FD" w14:textId="3B6D00FE" w:rsidR="00906620" w:rsidRPr="00906620" w:rsidRDefault="00906620" w:rsidP="00906620">
      <w:pPr>
        <w:spacing w:after="210" w:line="360" w:lineRule="auto"/>
        <w:rPr>
          <w:rFonts w:ascii="Helvetica" w:hAnsi="Helvetica" w:cs="Arial"/>
          <w:b/>
          <w:bCs/>
          <w:sz w:val="20"/>
          <w:szCs w:val="20"/>
        </w:rPr>
      </w:pPr>
      <w:r w:rsidRPr="00906620">
        <w:rPr>
          <w:rFonts w:ascii="Helvetica" w:hAnsi="Helvetica" w:cs="Arial"/>
          <w:b/>
          <w:bCs/>
          <w:sz w:val="20"/>
          <w:szCs w:val="20"/>
        </w:rPr>
        <w:t>C. Layer 3 — Hardware and Infrastructure</w:t>
      </w:r>
    </w:p>
    <w:p w14:paraId="498952DF" w14:textId="3C40A5E6" w:rsidR="003F41FB" w:rsidRPr="003F41FB" w:rsidRDefault="003F41FB" w:rsidP="003F41FB">
      <w:pPr>
        <w:spacing w:after="210" w:line="360" w:lineRule="auto"/>
        <w:rPr>
          <w:rFonts w:ascii="Helvetica" w:hAnsi="Helvetica" w:cs="Arial"/>
          <w:sz w:val="20"/>
          <w:szCs w:val="20"/>
        </w:rPr>
      </w:pPr>
      <w:r w:rsidRPr="003F41FB">
        <w:rPr>
          <w:rFonts w:ascii="Helvetica" w:hAnsi="Helvetica" w:cs="Arial"/>
          <w:sz w:val="20"/>
          <w:szCs w:val="20"/>
        </w:rPr>
        <w:t>Hardware and infrastructure choices determine whether model- and serving-level optimizations translate into sustained cost and energy reductions. In Section III, this layer affects </w:t>
      </w:r>
      <m:oMath>
        <m:r>
          <m:rPr>
            <m:nor/>
          </m:rPr>
          <w:rPr>
            <w:rFonts w:ascii="Helvetica" w:hAnsi="Helvetica" w:cs="Arial"/>
            <w:sz w:val="20"/>
            <w:szCs w:val="20"/>
          </w:rPr>
          <m:t>Cost</m:t>
        </m:r>
        <m:r>
          <w:rPr>
            <w:rFonts w:ascii="Cambria Math" w:hAnsi="Cambria Math" w:cs="Arial"/>
            <w:sz w:val="20"/>
            <w:szCs w:val="20"/>
          </w:rPr>
          <m:t>(θ)</m:t>
        </m:r>
      </m:oMath>
      <w:r w:rsidRPr="003F41FB">
        <w:rPr>
          <w:rFonts w:ascii="Helvetica" w:hAnsi="Helvetica" w:cs="Arial"/>
          <w:sz w:val="20"/>
          <w:szCs w:val="20"/>
        </w:rPr>
        <w:t> and </w:t>
      </w:r>
      <m:oMath>
        <m:r>
          <m:rPr>
            <m:nor/>
          </m:rPr>
          <w:rPr>
            <w:rFonts w:ascii="Helvetica" w:hAnsi="Helvetica" w:cs="Arial"/>
            <w:sz w:val="20"/>
            <w:szCs w:val="20"/>
          </w:rPr>
          <m:t>Energy</m:t>
        </m:r>
        <m:r>
          <w:rPr>
            <w:rFonts w:ascii="Cambria Math" w:hAnsi="Cambria Math" w:cs="Arial"/>
            <w:sz w:val="20"/>
            <w:szCs w:val="20"/>
          </w:rPr>
          <m:t>(θ)</m:t>
        </m:r>
      </m:oMath>
      <w:r w:rsidRPr="003F41FB">
        <w:rPr>
          <w:rFonts w:ascii="Helvetica" w:hAnsi="Helvetica" w:cs="Arial"/>
          <w:sz w:val="20"/>
          <w:szCs w:val="20"/>
        </w:rPr>
        <w:t> through hardware selection, placement, and power management, while constraining feasible deployments via data residency, confidentiality, and auditability requirements captured by </w:t>
      </w:r>
      <m:oMath>
        <m:sSub>
          <m:sSubPr>
            <m:ctrlPr>
              <w:rPr>
                <w:rFonts w:ascii="Cambria Math" w:hAnsi="Cambria Math" w:cs="Arial"/>
                <w:sz w:val="20"/>
                <w:szCs w:val="20"/>
              </w:rPr>
            </m:ctrlPr>
          </m:sSubPr>
          <m:e>
            <m:r>
              <m:rPr>
                <m:sty m:val="p"/>
              </m:rPr>
              <w:rPr>
                <w:rFonts w:ascii="Cambria Math" w:hAnsi="Cambria Math" w:cs="Arial"/>
                <w:sz w:val="20"/>
                <w:szCs w:val="20"/>
              </w:rPr>
              <m:t>Θ</m:t>
            </m:r>
          </m:e>
          <m:sub>
            <m:r>
              <m:rPr>
                <m:nor/>
              </m:rPr>
              <w:rPr>
                <w:rFonts w:ascii="Helvetica" w:hAnsi="Helvetica" w:cs="Arial"/>
                <w:sz w:val="20"/>
                <w:szCs w:val="20"/>
              </w:rPr>
              <m:t>legal</m:t>
            </m:r>
          </m:sub>
        </m:sSub>
      </m:oMath>
      <w:r w:rsidRPr="003F41FB">
        <w:rPr>
          <w:rFonts w:ascii="Helvetica" w:hAnsi="Helvetica" w:cs="Arial"/>
          <w:sz w:val="20"/>
          <w:szCs w:val="20"/>
        </w:rPr>
        <w:t>.</w:t>
      </w:r>
    </w:p>
    <w:p w14:paraId="343D1C0A" w14:textId="77777777" w:rsidR="003F41FB" w:rsidRPr="003F41FB" w:rsidRDefault="003F41FB" w:rsidP="003F41FB">
      <w:pPr>
        <w:spacing w:after="210" w:line="360" w:lineRule="auto"/>
        <w:rPr>
          <w:rFonts w:ascii="Helvetica" w:hAnsi="Helvetica" w:cs="Arial"/>
          <w:sz w:val="20"/>
          <w:szCs w:val="20"/>
        </w:rPr>
      </w:pPr>
      <w:r w:rsidRPr="003F41FB">
        <w:rPr>
          <w:rFonts w:ascii="Helvetica" w:hAnsi="Helvetica" w:cs="Arial"/>
          <w:b/>
          <w:bCs/>
          <w:sz w:val="20"/>
          <w:szCs w:val="20"/>
        </w:rPr>
        <w:t>Hardware selection and power control.</w:t>
      </w:r>
      <w:r w:rsidRPr="003F41FB">
        <w:rPr>
          <w:rFonts w:ascii="Helvetica" w:hAnsi="Helvetica" w:cs="Arial"/>
          <w:sz w:val="20"/>
          <w:szCs w:val="20"/>
        </w:rPr>
        <w:t> Contract workloads are dominated by long-context attention, memory bandwidth, and multi-pass execution; hardware should therefore be selected using tokens/sec/W and $/1M tokens rather than peak throughput. In practice, enterprises evaluate heterogeneous accelerators—including GPUs, TPUs/NPUs, and specialized inference ASICs—and map pipeline stages to hardware that best matches their profile (e.g., throughput-optimized batch extraction vs. latency-sensitive interactive redlining). Power management further improves Wh/contract for batch workloads using DVFS, power capping, and batch-size tuning, while applying conservative policies to interactive queues to avoid tail-latency regressions.</w:t>
      </w:r>
    </w:p>
    <w:p w14:paraId="028CE909" w14:textId="200251E0" w:rsidR="00906620" w:rsidRPr="00906620" w:rsidRDefault="003F41FB" w:rsidP="00906620">
      <w:pPr>
        <w:spacing w:after="210" w:line="360" w:lineRule="auto"/>
        <w:rPr>
          <w:rFonts w:ascii="Helvetica" w:hAnsi="Helvetica" w:cs="Arial"/>
          <w:sz w:val="20"/>
          <w:szCs w:val="20"/>
        </w:rPr>
      </w:pPr>
      <w:r w:rsidRPr="003F41FB">
        <w:rPr>
          <w:rFonts w:ascii="Helvetica" w:hAnsi="Helvetica" w:cs="Arial"/>
          <w:b/>
          <w:bCs/>
          <w:sz w:val="20"/>
          <w:szCs w:val="20"/>
        </w:rPr>
        <w:t>Deployment under legal and ESG constraints.</w:t>
      </w:r>
      <w:r w:rsidRPr="003F41FB">
        <w:rPr>
          <w:rFonts w:ascii="Helvetica" w:hAnsi="Helvetica" w:cs="Arial"/>
          <w:sz w:val="20"/>
          <w:szCs w:val="20"/>
        </w:rPr>
        <w:t> Data residency and attorney–client confidentiality often require region-pinned clusters, tenant isolation, or private deployments, making purely cost-optimal cloud execution infeasible. Hybrid topologies (private/on</w:t>
      </w:r>
      <w:r w:rsidRPr="003F41FB">
        <w:rPr>
          <w:rFonts w:ascii="Helvetica" w:hAnsi="Helvetica" w:cs="Arial"/>
          <w:sz w:val="20"/>
          <w:szCs w:val="20"/>
        </w:rPr>
        <w:noBreakHyphen/>
        <w:t>prem for sensitive matters; elastic cloud for non-sensitive batch workloads) are therefore common. To satisfy governance, deployments log model version, hardware configuration, and execution region for each contract assessment. For non-urgent batch workloads, carbon-aware scheduling can shift execution to lower-carbon regions or time windows without affecting interactive SLAs, supporting ESG reporting requirements.</w:t>
      </w:r>
    </w:p>
    <w:p w14:paraId="72D4B603" w14:textId="396D9E43" w:rsidR="00906620" w:rsidRPr="00906620" w:rsidRDefault="00906620" w:rsidP="00906620">
      <w:pPr>
        <w:spacing w:after="210" w:line="360" w:lineRule="auto"/>
        <w:rPr>
          <w:rFonts w:ascii="Helvetica" w:hAnsi="Helvetica" w:cs="Arial"/>
          <w:b/>
          <w:bCs/>
          <w:sz w:val="20"/>
          <w:szCs w:val="20"/>
        </w:rPr>
      </w:pPr>
      <w:r w:rsidRPr="00906620">
        <w:rPr>
          <w:rFonts w:ascii="Helvetica" w:hAnsi="Helvetica" w:cs="Arial"/>
          <w:b/>
          <w:bCs/>
          <w:sz w:val="20"/>
          <w:szCs w:val="20"/>
        </w:rPr>
        <w:t>D. Layer 4 — Workflow-Level Optimization</w:t>
      </w:r>
    </w:p>
    <w:p w14:paraId="6E72F0FB" w14:textId="531103A1" w:rsidR="003F41FB" w:rsidRPr="003F41FB" w:rsidRDefault="003F41FB" w:rsidP="003F41FB">
      <w:pPr>
        <w:spacing w:after="210" w:line="360" w:lineRule="auto"/>
        <w:rPr>
          <w:rFonts w:ascii="Helvetica" w:eastAsiaTheme="minorHAnsi" w:hAnsi="Helvetica" w:cs="Arial"/>
          <w:sz w:val="20"/>
          <w:szCs w:val="20"/>
          <w:lang w:eastAsia="en-US"/>
        </w:rPr>
      </w:pPr>
      <w:r w:rsidRPr="003F41FB">
        <w:rPr>
          <w:rFonts w:ascii="Helvetica" w:eastAsiaTheme="minorHAnsi" w:hAnsi="Helvetica" w:cs="Arial"/>
          <w:sz w:val="20"/>
          <w:szCs w:val="20"/>
          <w:lang w:eastAsia="en-US"/>
        </w:rPr>
        <w:lastRenderedPageBreak/>
        <w:t>Workflow orchestration determines how often inference is invoked and which resources are used, directly controlling the number of calls </w:t>
      </w:r>
      <m:oMath>
        <m:sSub>
          <m:sSubPr>
            <m:ctrlPr>
              <w:rPr>
                <w:rFonts w:ascii="Cambria Math" w:eastAsiaTheme="minorHAnsi" w:hAnsi="Cambria Math" w:cs="Arial"/>
                <w:sz w:val="20"/>
                <w:szCs w:val="20"/>
                <w:lang w:eastAsia="en-US"/>
              </w:rPr>
            </m:ctrlPr>
          </m:sSubPr>
          <m:e>
            <m:r>
              <w:rPr>
                <w:rFonts w:ascii="Cambria Math" w:eastAsiaTheme="minorHAnsi" w:hAnsi="Cambria Math" w:cs="Arial"/>
                <w:sz w:val="20"/>
                <w:szCs w:val="20"/>
                <w:lang w:eastAsia="en-US"/>
              </w:rPr>
              <m:t>K</m:t>
            </m:r>
          </m:e>
          <m:sub>
            <m:r>
              <w:rPr>
                <w:rFonts w:ascii="Cambria Math" w:eastAsiaTheme="minorHAnsi" w:hAnsi="Cambria Math" w:cs="Arial"/>
                <w:sz w:val="20"/>
                <w:szCs w:val="20"/>
                <w:lang w:eastAsia="en-US"/>
              </w:rPr>
              <m:t>i</m:t>
            </m:r>
          </m:sub>
        </m:sSub>
      </m:oMath>
      <w:r w:rsidRPr="003F41FB">
        <w:rPr>
          <w:rFonts w:ascii="Helvetica" w:eastAsiaTheme="minorHAnsi" w:hAnsi="Helvetica" w:cs="Arial"/>
          <w:sz w:val="20"/>
          <w:szCs w:val="20"/>
          <w:lang w:eastAsia="en-US"/>
        </w:rPr>
        <w:t> per contract and the effective routing over </w:t>
      </w:r>
      <m:oMath>
        <m:r>
          <w:rPr>
            <w:rFonts w:ascii="Cambria Math" w:eastAsiaTheme="minorHAnsi" w:hAnsi="Cambria Math" w:cs="Arial"/>
            <w:sz w:val="20"/>
            <w:szCs w:val="20"/>
            <w:lang w:eastAsia="en-US"/>
          </w:rPr>
          <m:t>θ</m:t>
        </m:r>
      </m:oMath>
      <w:r w:rsidRPr="003F41FB">
        <w:rPr>
          <w:rFonts w:ascii="Helvetica" w:eastAsiaTheme="minorHAnsi" w:hAnsi="Helvetica" w:cs="Arial"/>
          <w:sz w:val="20"/>
          <w:szCs w:val="20"/>
          <w:lang w:eastAsia="en-US"/>
        </w:rPr>
        <w:t>. For contract analysis, workflow policies are therefore a primary lever for reducing aggregate cost and energy while preserving legal correctness.</w:t>
      </w:r>
    </w:p>
    <w:p w14:paraId="4A93C67E" w14:textId="77777777" w:rsidR="003F41FB" w:rsidRPr="003F41FB" w:rsidRDefault="003F41FB" w:rsidP="003F41FB">
      <w:pPr>
        <w:spacing w:after="210" w:line="360" w:lineRule="auto"/>
        <w:rPr>
          <w:rFonts w:ascii="Helvetica" w:eastAsiaTheme="minorHAnsi" w:hAnsi="Helvetica" w:cs="Arial"/>
          <w:sz w:val="20"/>
          <w:szCs w:val="20"/>
          <w:lang w:eastAsia="en-US"/>
        </w:rPr>
      </w:pPr>
      <w:r w:rsidRPr="003F41FB">
        <w:rPr>
          <w:rFonts w:ascii="Helvetica" w:eastAsiaTheme="minorHAnsi" w:hAnsi="Helvetica" w:cs="Arial"/>
          <w:b/>
          <w:bCs/>
          <w:sz w:val="20"/>
          <w:szCs w:val="20"/>
          <w:lang w:eastAsia="en-US"/>
        </w:rPr>
        <w:t>Tiered routing.</w:t>
      </w:r>
      <w:r w:rsidRPr="003F41FB">
        <w:rPr>
          <w:rFonts w:ascii="Helvetica" w:eastAsiaTheme="minorHAnsi" w:hAnsi="Helvetica" w:cs="Arial"/>
          <w:sz w:val="20"/>
          <w:szCs w:val="20"/>
          <w:lang w:eastAsia="en-US"/>
        </w:rPr>
        <w:t> Contracts are routed to model tiers based on type, complexity, and risk signals: highly templated agreements (e.g., NDAs) are handled by smaller models, while atypical or high-risk agreements (e.g., MSAs/DPAs, M&amp;A) trigger larger models. This reduces average cost and energy by activating high-capacity models only when necessary.</w:t>
      </w:r>
    </w:p>
    <w:p w14:paraId="2232AC9D" w14:textId="798CD14E" w:rsidR="003F41FB" w:rsidRPr="003F41FB" w:rsidRDefault="003F41FB" w:rsidP="003F41FB">
      <w:pPr>
        <w:spacing w:after="210" w:line="360" w:lineRule="auto"/>
        <w:rPr>
          <w:rFonts w:ascii="Helvetica" w:eastAsiaTheme="minorHAnsi" w:hAnsi="Helvetica" w:cs="Arial"/>
          <w:sz w:val="20"/>
          <w:szCs w:val="20"/>
          <w:lang w:eastAsia="en-US"/>
        </w:rPr>
      </w:pPr>
      <w:r w:rsidRPr="003F41FB">
        <w:rPr>
          <w:rFonts w:ascii="Helvetica" w:eastAsiaTheme="minorHAnsi" w:hAnsi="Helvetica" w:cs="Arial"/>
          <w:b/>
          <w:bCs/>
          <w:sz w:val="20"/>
          <w:szCs w:val="20"/>
          <w:lang w:eastAsia="en-US"/>
        </w:rPr>
        <w:t>Clause-level escalation.</w:t>
      </w:r>
      <w:r w:rsidRPr="003F41FB">
        <w:rPr>
          <w:rFonts w:ascii="Helvetica" w:eastAsiaTheme="minorHAnsi" w:hAnsi="Helvetica" w:cs="Arial"/>
          <w:sz w:val="20"/>
          <w:szCs w:val="20"/>
          <w:lang w:eastAsia="en-US"/>
        </w:rPr>
        <w:t> Contract-level routing is refined via clause/field escalation: when a small model’s confidence falls below a threshold </w:t>
      </w:r>
      <m:oMath>
        <m:r>
          <w:rPr>
            <w:rFonts w:ascii="Cambria Math" w:eastAsiaTheme="minorHAnsi" w:hAnsi="Cambria Math" w:cs="Arial"/>
            <w:sz w:val="20"/>
            <w:szCs w:val="20"/>
            <w:lang w:eastAsia="en-US"/>
          </w:rPr>
          <m:t>τ</m:t>
        </m:r>
      </m:oMath>
      <w:r w:rsidRPr="003F41FB">
        <w:rPr>
          <w:rFonts w:ascii="Helvetica" w:eastAsiaTheme="minorHAnsi" w:hAnsi="Helvetica" w:cs="Arial"/>
          <w:sz w:val="20"/>
          <w:szCs w:val="20"/>
          <w:lang w:eastAsia="en-US"/>
        </w:rPr>
        <w:t> for a specific clause or attribute, only that localized segment is re-evaluated by a stronger model, avoiding full-document reprocessing while maintaining recall requirements on legally material clauses.</w:t>
      </w:r>
    </w:p>
    <w:p w14:paraId="0D14B88A" w14:textId="77777777" w:rsidR="003F41FB" w:rsidRPr="003F41FB" w:rsidRDefault="003F41FB" w:rsidP="003F41FB">
      <w:pPr>
        <w:spacing w:after="210" w:line="360" w:lineRule="auto"/>
        <w:rPr>
          <w:rFonts w:ascii="Helvetica" w:eastAsiaTheme="minorHAnsi" w:hAnsi="Helvetica" w:cs="Arial"/>
          <w:sz w:val="20"/>
          <w:szCs w:val="20"/>
          <w:lang w:eastAsia="en-US"/>
        </w:rPr>
      </w:pPr>
      <w:r w:rsidRPr="003F41FB">
        <w:rPr>
          <w:rFonts w:ascii="Helvetica" w:eastAsiaTheme="minorHAnsi" w:hAnsi="Helvetica" w:cs="Arial"/>
          <w:b/>
          <w:bCs/>
          <w:sz w:val="20"/>
          <w:szCs w:val="20"/>
          <w:lang w:eastAsia="en-US"/>
        </w:rPr>
        <w:t>Redundancy elimination and early exits.</w:t>
      </w:r>
      <w:r w:rsidRPr="003F41FB">
        <w:rPr>
          <w:rFonts w:ascii="Helvetica" w:eastAsiaTheme="minorHAnsi" w:hAnsi="Helvetica" w:cs="Arial"/>
          <w:sz w:val="20"/>
          <w:szCs w:val="20"/>
          <w:lang w:eastAsia="en-US"/>
        </w:rPr>
        <w:t> Deduplication and near-duplicate detection prevent repeated processing of vendor templates, boilerplate, and prior versions; combined with serving-layer caching, this reduces redundant inference volume within confidentiality boundaries. Multi-step pipelines also employ early-exit criteria (e.g., playbook conformity) to skip downstream reasoning and summarization unless material deviations are detected.</w:t>
      </w:r>
    </w:p>
    <w:p w14:paraId="701C1225" w14:textId="0336FA92" w:rsidR="00906620" w:rsidRPr="003F41FB" w:rsidRDefault="003F41FB" w:rsidP="00906620">
      <w:pPr>
        <w:spacing w:after="210" w:line="360" w:lineRule="auto"/>
        <w:rPr>
          <w:rFonts w:ascii="Helvetica" w:eastAsiaTheme="minorHAnsi" w:hAnsi="Helvetica" w:cs="Arial"/>
          <w:sz w:val="20"/>
          <w:szCs w:val="20"/>
          <w:lang w:eastAsia="en-US"/>
        </w:rPr>
      </w:pPr>
      <w:r w:rsidRPr="003F41FB">
        <w:rPr>
          <w:rFonts w:ascii="Helvetica" w:eastAsiaTheme="minorHAnsi" w:hAnsi="Helvetica" w:cs="Arial"/>
          <w:b/>
          <w:bCs/>
          <w:sz w:val="20"/>
          <w:szCs w:val="20"/>
          <w:lang w:eastAsia="en-US"/>
        </w:rPr>
        <w:t>Governance.</w:t>
      </w:r>
      <w:r w:rsidRPr="003F41FB">
        <w:rPr>
          <w:rFonts w:ascii="Helvetica" w:eastAsiaTheme="minorHAnsi" w:hAnsi="Helvetica" w:cs="Arial"/>
          <w:sz w:val="20"/>
          <w:szCs w:val="20"/>
          <w:lang w:eastAsia="en-US"/>
        </w:rPr>
        <w:t> All routing, escalation, and early-exit decisions are logged alongside model versions, confidence scores, and execution context for auditability and post hoc analysis; when required, logs may be implemented using append-only or tamper-evident storage. Human-in-the-loop checkpoints can be inserted for high-risk clauses to ensure efficiency improvements do not bypass legal oversight.</w:t>
      </w:r>
    </w:p>
    <w:p w14:paraId="231E6347" w14:textId="77777777" w:rsidR="00502315" w:rsidRPr="00502315" w:rsidRDefault="00B92865" w:rsidP="00502315">
      <w:pPr>
        <w:spacing w:after="210" w:line="360" w:lineRule="auto"/>
        <w:rPr>
          <w:rFonts w:ascii="Helvetica" w:hAnsi="Helvetica" w:cs="Arial"/>
          <w:sz w:val="20"/>
          <w:szCs w:val="20"/>
        </w:rPr>
      </w:pPr>
      <w:r>
        <w:rPr>
          <w:rFonts w:ascii="Helvetica" w:hAnsi="Helvetica" w:cs="Arial"/>
          <w:noProof/>
          <w:sz w:val="20"/>
          <w:szCs w:val="20"/>
        </w:rPr>
        <w:pict w14:anchorId="3857FB30">
          <v:rect id="_x0000_i1026" alt="" style="width:451.3pt;height:.05pt;mso-width-percent:0;mso-height-percent:0;mso-width-percent:0;mso-height-percent:0" o:hralign="center" o:hrstd="t" o:hr="t" fillcolor="#a0a0a0" stroked="f"/>
        </w:pict>
      </w:r>
    </w:p>
    <w:p w14:paraId="5FD3505D" w14:textId="77777777" w:rsidR="00502315" w:rsidRDefault="00502315" w:rsidP="00502315">
      <w:pPr>
        <w:spacing w:after="210" w:line="360" w:lineRule="auto"/>
        <w:rPr>
          <w:rFonts w:ascii="Helvetica" w:hAnsi="Helvetica" w:cs="Arial"/>
          <w:b/>
          <w:bCs/>
          <w:sz w:val="20"/>
          <w:szCs w:val="20"/>
        </w:rPr>
      </w:pPr>
      <w:r w:rsidRPr="00502315">
        <w:rPr>
          <w:rFonts w:ascii="Helvetica" w:hAnsi="Helvetica" w:cs="Arial"/>
          <w:b/>
          <w:bCs/>
          <w:sz w:val="20"/>
          <w:szCs w:val="20"/>
        </w:rPr>
        <w:t>V. Evaluation: Contract Review Case Study</w:t>
      </w:r>
    </w:p>
    <w:p w14:paraId="65B11138" w14:textId="77777777" w:rsidR="00921636" w:rsidRPr="00921636" w:rsidRDefault="00921636" w:rsidP="00921636">
      <w:pPr>
        <w:spacing w:after="210" w:line="360" w:lineRule="auto"/>
        <w:rPr>
          <w:rFonts w:ascii="Helvetica" w:hAnsi="Helvetica" w:cs="Arial"/>
          <w:b/>
          <w:bCs/>
          <w:sz w:val="20"/>
          <w:szCs w:val="20"/>
        </w:rPr>
      </w:pPr>
      <w:r w:rsidRPr="00921636">
        <w:rPr>
          <w:rFonts w:ascii="Helvetica" w:hAnsi="Helvetica" w:cs="Arial"/>
          <w:b/>
          <w:bCs/>
          <w:sz w:val="20"/>
          <w:szCs w:val="20"/>
        </w:rPr>
        <w:t>V.A. Evaluation Setup</w:t>
      </w:r>
    </w:p>
    <w:p w14:paraId="54EE7DEA" w14:textId="77777777" w:rsidR="00921636" w:rsidRPr="00921636" w:rsidRDefault="00921636" w:rsidP="00921636">
      <w:pPr>
        <w:spacing w:after="210" w:line="360" w:lineRule="auto"/>
        <w:rPr>
          <w:rFonts w:ascii="Helvetica" w:hAnsi="Helvetica" w:cs="Arial"/>
          <w:sz w:val="20"/>
          <w:szCs w:val="20"/>
        </w:rPr>
      </w:pPr>
      <w:r w:rsidRPr="00921636">
        <w:rPr>
          <w:rFonts w:ascii="Helvetica" w:hAnsi="Helvetica" w:cs="Arial"/>
          <w:sz w:val="20"/>
          <w:szCs w:val="20"/>
        </w:rPr>
        <w:t>This section defines the analytical evaluation context for assessing the proposed cost- and energy-efficient inference framework for enterprise contract analysis. Rather than reporting new empirical benchmarks, the evaluation is grounded in a representative contract review workload model and </w:t>
      </w:r>
      <w:r w:rsidRPr="00921636">
        <w:rPr>
          <w:rFonts w:ascii="Helvetica" w:hAnsi="Helvetica" w:cs="Arial"/>
          <w:b/>
          <w:bCs/>
          <w:sz w:val="20"/>
          <w:szCs w:val="20"/>
        </w:rPr>
        <w:t>production-calibrated assumptions drawn from recent large-scale studies of AI inference cost and energy consumption</w:t>
      </w:r>
      <w:r w:rsidRPr="00921636">
        <w:rPr>
          <w:rFonts w:ascii="Helvetica" w:hAnsi="Helvetica" w:cs="Arial"/>
          <w:sz w:val="20"/>
          <w:szCs w:val="20"/>
        </w:rPr>
        <w:t>. This approach reflects the realities of enterprise legal systems, where production workloads, infrastructure configurations, and fine-grained energy telemetry are typically proprietary and not publicly benchmarkable.</w:t>
      </w:r>
    </w:p>
    <w:p w14:paraId="5C615B6A" w14:textId="77777777" w:rsidR="00921636" w:rsidRPr="00921636" w:rsidRDefault="00921636" w:rsidP="00921636">
      <w:pPr>
        <w:spacing w:after="210" w:line="360" w:lineRule="auto"/>
        <w:rPr>
          <w:rFonts w:ascii="Helvetica" w:hAnsi="Helvetica" w:cs="Arial"/>
          <w:b/>
          <w:bCs/>
          <w:sz w:val="20"/>
          <w:szCs w:val="20"/>
        </w:rPr>
      </w:pPr>
      <w:r w:rsidRPr="00921636">
        <w:rPr>
          <w:rFonts w:ascii="Helvetica" w:hAnsi="Helvetica" w:cs="Arial"/>
          <w:b/>
          <w:bCs/>
          <w:sz w:val="20"/>
          <w:szCs w:val="20"/>
        </w:rPr>
        <w:t>Contract Workload Composition</w:t>
      </w:r>
    </w:p>
    <w:p w14:paraId="1DFCD072" w14:textId="77777777" w:rsidR="00921636" w:rsidRPr="00921636" w:rsidRDefault="00921636" w:rsidP="00921636">
      <w:pPr>
        <w:spacing w:after="210" w:line="360" w:lineRule="auto"/>
        <w:rPr>
          <w:rFonts w:ascii="Helvetica" w:hAnsi="Helvetica" w:cs="Arial"/>
          <w:sz w:val="20"/>
          <w:szCs w:val="20"/>
        </w:rPr>
      </w:pPr>
      <w:r w:rsidRPr="00921636">
        <w:rPr>
          <w:rFonts w:ascii="Helvetica" w:hAnsi="Helvetica" w:cs="Arial"/>
          <w:sz w:val="20"/>
          <w:szCs w:val="20"/>
        </w:rPr>
        <w:lastRenderedPageBreak/>
        <w:t>The evaluation considers a heterogeneous enterprise contract portfolio representative of production contract lifecycle management (CLM) deployments. The modeled workload reflects usage patterns commonly reported in contract AI and intelligent document processing systems, combining both standardized and complex legal agreements. Specifically, the workload includes:</w:t>
      </w:r>
    </w:p>
    <w:p w14:paraId="06D55E37" w14:textId="77777777" w:rsidR="00921636" w:rsidRPr="00921636" w:rsidRDefault="00921636" w:rsidP="00921636">
      <w:pPr>
        <w:numPr>
          <w:ilvl w:val="0"/>
          <w:numId w:val="53"/>
        </w:numPr>
        <w:spacing w:after="210" w:line="360" w:lineRule="auto"/>
        <w:rPr>
          <w:rFonts w:ascii="Helvetica" w:hAnsi="Helvetica" w:cs="Arial"/>
          <w:sz w:val="20"/>
          <w:szCs w:val="20"/>
        </w:rPr>
      </w:pPr>
      <w:r w:rsidRPr="00921636">
        <w:rPr>
          <w:rFonts w:ascii="Helvetica" w:hAnsi="Helvetica" w:cs="Arial"/>
          <w:b/>
          <w:bCs/>
          <w:sz w:val="20"/>
          <w:szCs w:val="20"/>
        </w:rPr>
        <w:t>Templated agreements</w:t>
      </w:r>
      <w:r w:rsidRPr="00921636">
        <w:rPr>
          <w:rFonts w:ascii="Helvetica" w:hAnsi="Helvetica" w:cs="Arial"/>
          <w:sz w:val="20"/>
          <w:szCs w:val="20"/>
        </w:rPr>
        <w:t>, such as non-disclosure agreements (NDAs) and vendor addenda, characterized by high structural regularity and substantial clause reuse.</w:t>
      </w:r>
    </w:p>
    <w:p w14:paraId="428C0B51" w14:textId="77777777" w:rsidR="00921636" w:rsidRPr="00921636" w:rsidRDefault="00921636" w:rsidP="00921636">
      <w:pPr>
        <w:numPr>
          <w:ilvl w:val="0"/>
          <w:numId w:val="53"/>
        </w:numPr>
        <w:spacing w:after="210" w:line="360" w:lineRule="auto"/>
        <w:rPr>
          <w:rFonts w:ascii="Helvetica" w:hAnsi="Helvetica" w:cs="Arial"/>
          <w:sz w:val="20"/>
          <w:szCs w:val="20"/>
        </w:rPr>
      </w:pPr>
      <w:r w:rsidRPr="00921636">
        <w:rPr>
          <w:rFonts w:ascii="Helvetica" w:hAnsi="Helvetica" w:cs="Arial"/>
          <w:b/>
          <w:bCs/>
          <w:sz w:val="20"/>
          <w:szCs w:val="20"/>
        </w:rPr>
        <w:t>Complex agreements</w:t>
      </w:r>
      <w:r w:rsidRPr="00921636">
        <w:rPr>
          <w:rFonts w:ascii="Helvetica" w:hAnsi="Helvetica" w:cs="Arial"/>
          <w:sz w:val="20"/>
          <w:szCs w:val="20"/>
        </w:rPr>
        <w:t>, such as master service agreements (MSAs), data processing agreements (DPAs), and sector-specific contracts (e.g., healthcare BAAs, financial services agreements), which exhibit greater length, clause diversity, and legal risk.</w:t>
      </w:r>
    </w:p>
    <w:p w14:paraId="119B0A21" w14:textId="77777777" w:rsidR="00921636" w:rsidRPr="00921636" w:rsidRDefault="00921636" w:rsidP="00921636">
      <w:pPr>
        <w:spacing w:after="210" w:line="360" w:lineRule="auto"/>
        <w:rPr>
          <w:rFonts w:ascii="Helvetica" w:hAnsi="Helvetica" w:cs="Arial"/>
          <w:sz w:val="20"/>
          <w:szCs w:val="20"/>
        </w:rPr>
      </w:pPr>
      <w:r w:rsidRPr="00921636">
        <w:rPr>
          <w:rFonts w:ascii="Helvetica" w:hAnsi="Helvetica" w:cs="Arial"/>
          <w:sz w:val="20"/>
          <w:szCs w:val="20"/>
        </w:rPr>
        <w:t>Consistent with reported enterprise portfolios, the workload is assumed to be dominated by templated agreements, with a smaller but materially significant fraction of long-form MSAs and DPAs. Contracts span a wide range of lengths, from short digitally native documents to multi-section agreements with annexes and exhibits. This heterogeneity motivates the routing, escalation, and adaptive serving strategies described in Section IV.</w:t>
      </w:r>
    </w:p>
    <w:p w14:paraId="03E05674" w14:textId="77777777" w:rsidR="00921636" w:rsidRPr="00921636" w:rsidRDefault="00921636" w:rsidP="00921636">
      <w:pPr>
        <w:spacing w:after="210" w:line="360" w:lineRule="auto"/>
        <w:rPr>
          <w:rFonts w:ascii="Helvetica" w:hAnsi="Helvetica" w:cs="Arial"/>
          <w:b/>
          <w:bCs/>
          <w:sz w:val="20"/>
          <w:szCs w:val="20"/>
        </w:rPr>
      </w:pPr>
      <w:r w:rsidRPr="00921636">
        <w:rPr>
          <w:rFonts w:ascii="Helvetica" w:hAnsi="Helvetica" w:cs="Arial"/>
          <w:b/>
          <w:bCs/>
          <w:sz w:val="20"/>
          <w:szCs w:val="20"/>
        </w:rPr>
        <w:t>Inference Pipeline Structure</w:t>
      </w:r>
    </w:p>
    <w:p w14:paraId="50615809" w14:textId="77777777" w:rsidR="00921636" w:rsidRPr="00921636" w:rsidRDefault="00921636" w:rsidP="00921636">
      <w:pPr>
        <w:spacing w:after="210" w:line="360" w:lineRule="auto"/>
        <w:rPr>
          <w:rFonts w:ascii="Helvetica" w:hAnsi="Helvetica" w:cs="Arial"/>
          <w:sz w:val="20"/>
          <w:szCs w:val="20"/>
        </w:rPr>
      </w:pPr>
      <w:r w:rsidRPr="00921636">
        <w:rPr>
          <w:rFonts w:ascii="Helvetica" w:hAnsi="Helvetica" w:cs="Arial"/>
          <w:sz w:val="20"/>
          <w:szCs w:val="20"/>
        </w:rPr>
        <w:t>Each contract induces a multi-stage inference pipeline typical of enterprise contract analysis systems. The modeled pipeline includes:</w:t>
      </w:r>
    </w:p>
    <w:p w14:paraId="417B3E71" w14:textId="77777777" w:rsidR="00921636" w:rsidRPr="00921636" w:rsidRDefault="00921636" w:rsidP="00921636">
      <w:pPr>
        <w:numPr>
          <w:ilvl w:val="0"/>
          <w:numId w:val="54"/>
        </w:numPr>
        <w:spacing w:after="210" w:line="360" w:lineRule="auto"/>
        <w:rPr>
          <w:rFonts w:ascii="Helvetica" w:hAnsi="Helvetica" w:cs="Arial"/>
          <w:sz w:val="20"/>
          <w:szCs w:val="20"/>
        </w:rPr>
      </w:pPr>
      <w:r w:rsidRPr="00921636">
        <w:rPr>
          <w:rFonts w:ascii="Helvetica" w:hAnsi="Helvetica" w:cs="Arial"/>
          <w:sz w:val="20"/>
          <w:szCs w:val="20"/>
        </w:rPr>
        <w:t>Contract intake and classification, used to identify agreement type and applicable analysis workflows.</w:t>
      </w:r>
    </w:p>
    <w:p w14:paraId="3017417B" w14:textId="77777777" w:rsidR="00921636" w:rsidRPr="00921636" w:rsidRDefault="00921636" w:rsidP="00921636">
      <w:pPr>
        <w:numPr>
          <w:ilvl w:val="0"/>
          <w:numId w:val="54"/>
        </w:numPr>
        <w:spacing w:after="210" w:line="360" w:lineRule="auto"/>
        <w:rPr>
          <w:rFonts w:ascii="Helvetica" w:hAnsi="Helvetica" w:cs="Arial"/>
          <w:sz w:val="20"/>
          <w:szCs w:val="20"/>
        </w:rPr>
      </w:pPr>
      <w:r w:rsidRPr="00921636">
        <w:rPr>
          <w:rFonts w:ascii="Helvetica" w:hAnsi="Helvetica" w:cs="Arial"/>
          <w:sz w:val="20"/>
          <w:szCs w:val="20"/>
        </w:rPr>
        <w:t>Clause and field extraction, producing structured representations of legally material clauses and normalized attributes.</w:t>
      </w:r>
    </w:p>
    <w:p w14:paraId="0737C9A7" w14:textId="77777777" w:rsidR="00921636" w:rsidRPr="00921636" w:rsidRDefault="00921636" w:rsidP="00921636">
      <w:pPr>
        <w:numPr>
          <w:ilvl w:val="0"/>
          <w:numId w:val="54"/>
        </w:numPr>
        <w:spacing w:after="210" w:line="360" w:lineRule="auto"/>
        <w:rPr>
          <w:rFonts w:ascii="Helvetica" w:hAnsi="Helvetica" w:cs="Arial"/>
          <w:sz w:val="20"/>
          <w:szCs w:val="20"/>
        </w:rPr>
      </w:pPr>
      <w:r w:rsidRPr="00921636">
        <w:rPr>
          <w:rFonts w:ascii="Helvetica" w:hAnsi="Helvetica" w:cs="Arial"/>
          <w:sz w:val="20"/>
          <w:szCs w:val="20"/>
        </w:rPr>
        <w:t>Risk classification and deviation detection, comparing extracted clauses against predefined legal playbooks or policy baselines.</w:t>
      </w:r>
    </w:p>
    <w:p w14:paraId="023FC777" w14:textId="77777777" w:rsidR="00921636" w:rsidRPr="00921636" w:rsidRDefault="00921636" w:rsidP="00921636">
      <w:pPr>
        <w:numPr>
          <w:ilvl w:val="0"/>
          <w:numId w:val="54"/>
        </w:numPr>
        <w:spacing w:after="210" w:line="360" w:lineRule="auto"/>
        <w:rPr>
          <w:rFonts w:ascii="Helvetica" w:hAnsi="Helvetica" w:cs="Arial"/>
          <w:sz w:val="20"/>
          <w:szCs w:val="20"/>
        </w:rPr>
      </w:pPr>
      <w:r w:rsidRPr="00921636">
        <w:rPr>
          <w:rFonts w:ascii="Helvetica" w:hAnsi="Helvetica" w:cs="Arial"/>
          <w:sz w:val="20"/>
          <w:szCs w:val="20"/>
        </w:rPr>
        <w:t>Optional downstream summarization or recommendation, triggered for contracts exhibiting material deviations or elevated risk.</w:t>
      </w:r>
    </w:p>
    <w:p w14:paraId="63D3D1C2" w14:textId="5A5B9C3D" w:rsidR="00921636" w:rsidRPr="00921636" w:rsidRDefault="00921636" w:rsidP="00921636">
      <w:pPr>
        <w:spacing w:after="210" w:line="360" w:lineRule="auto"/>
        <w:rPr>
          <w:rFonts w:ascii="Helvetica" w:hAnsi="Helvetica" w:cs="Arial"/>
          <w:sz w:val="20"/>
          <w:szCs w:val="20"/>
        </w:rPr>
      </w:pPr>
      <w:r w:rsidRPr="00921636">
        <w:rPr>
          <w:rFonts w:ascii="Helvetica" w:hAnsi="Helvetica" w:cs="Arial"/>
          <w:sz w:val="20"/>
          <w:szCs w:val="20"/>
        </w:rPr>
        <w:t>As a result, each contract </w:t>
      </w:r>
      <m:oMath>
        <m:sSub>
          <m:sSubPr>
            <m:ctrlPr>
              <w:rPr>
                <w:rFonts w:ascii="Cambria Math" w:hAnsi="Cambria Math" w:cs="Arial"/>
                <w:sz w:val="20"/>
                <w:szCs w:val="20"/>
              </w:rPr>
            </m:ctrlPr>
          </m:sSubPr>
          <m:e>
            <m:r>
              <w:rPr>
                <w:rFonts w:ascii="Cambria Math" w:hAnsi="Cambria Math" w:cs="Arial"/>
                <w:sz w:val="20"/>
                <w:szCs w:val="20"/>
              </w:rPr>
              <m:t>d</m:t>
            </m:r>
          </m:e>
          <m:sub>
            <m:r>
              <w:rPr>
                <w:rFonts w:ascii="Cambria Math" w:hAnsi="Cambria Math" w:cs="Arial"/>
                <w:sz w:val="20"/>
                <w:szCs w:val="20"/>
              </w:rPr>
              <m:t>i</m:t>
            </m:r>
          </m:sub>
        </m:sSub>
      </m:oMath>
      <w:r w:rsidRPr="00921636">
        <w:rPr>
          <w:rFonts w:ascii="Helvetica" w:hAnsi="Helvetica" w:cs="Arial"/>
          <w:sz w:val="20"/>
          <w:szCs w:val="20"/>
        </w:rPr>
        <w:t> generates a sequence of inference calls </w:t>
      </w:r>
      <m:oMath>
        <m:sSub>
          <m:sSubPr>
            <m:ctrlPr>
              <w:rPr>
                <w:rFonts w:ascii="Cambria Math" w:hAnsi="Cambria Math" w:cs="Arial"/>
                <w:sz w:val="20"/>
                <w:szCs w:val="20"/>
              </w:rPr>
            </m:ctrlPr>
          </m:sSubPr>
          <m:e>
            <m:r>
              <w:rPr>
                <w:rFonts w:ascii="Cambria Math" w:hAnsi="Cambria Math" w:cs="Arial"/>
                <w:sz w:val="20"/>
                <w:szCs w:val="20"/>
              </w:rPr>
              <m:t>C</m:t>
            </m:r>
          </m:e>
          <m:sub>
            <m:r>
              <w:rPr>
                <w:rFonts w:ascii="Cambria Math" w:hAnsi="Cambria Math" w:cs="Arial"/>
                <w:sz w:val="20"/>
                <w:szCs w:val="20"/>
              </w:rPr>
              <m:t>i</m:t>
            </m:r>
          </m:sub>
        </m:sSub>
        <m:r>
          <w:rPr>
            <w:rFonts w:ascii="Cambria Math" w:hAnsi="Cambria Math" w:cs="Arial"/>
            <w:sz w:val="20"/>
            <w:szCs w:val="20"/>
          </w:rPr>
          <m:t>={</m:t>
        </m:r>
        <m:sSub>
          <m:sSubPr>
            <m:ctrlPr>
              <w:rPr>
                <w:rFonts w:ascii="Cambria Math" w:hAnsi="Cambria Math" w:cs="Arial"/>
                <w:sz w:val="20"/>
                <w:szCs w:val="20"/>
              </w:rPr>
            </m:ctrlPr>
          </m:sSubPr>
          <m:e>
            <m:r>
              <w:rPr>
                <w:rFonts w:ascii="Cambria Math" w:hAnsi="Cambria Math" w:cs="Arial"/>
                <w:sz w:val="20"/>
                <w:szCs w:val="20"/>
              </w:rPr>
              <m:t>c</m:t>
            </m:r>
          </m:e>
          <m:sub>
            <m:r>
              <w:rPr>
                <w:rFonts w:ascii="Cambria Math" w:hAnsi="Cambria Math" w:cs="Arial"/>
                <w:sz w:val="20"/>
                <w:szCs w:val="20"/>
              </w:rPr>
              <m:t>i1</m:t>
            </m:r>
          </m:sub>
        </m:sSub>
        <m:r>
          <w:rPr>
            <w:rFonts w:ascii="Cambria Math" w:hAnsi="Cambria Math" w:cs="Arial"/>
            <w:sz w:val="20"/>
            <w:szCs w:val="20"/>
          </w:rPr>
          <m:t>,…,</m:t>
        </m:r>
        <m:sSub>
          <m:sSubPr>
            <m:ctrlPr>
              <w:rPr>
                <w:rFonts w:ascii="Cambria Math" w:hAnsi="Cambria Math" w:cs="Arial"/>
                <w:sz w:val="20"/>
                <w:szCs w:val="20"/>
              </w:rPr>
            </m:ctrlPr>
          </m:sSubPr>
          <m:e>
            <m:r>
              <w:rPr>
                <w:rFonts w:ascii="Cambria Math" w:hAnsi="Cambria Math" w:cs="Arial"/>
                <w:sz w:val="20"/>
                <w:szCs w:val="20"/>
              </w:rPr>
              <m:t>c</m:t>
            </m:r>
          </m:e>
          <m:sub>
            <m:r>
              <w:rPr>
                <w:rFonts w:ascii="Cambria Math" w:hAnsi="Cambria Math" w:cs="Arial"/>
                <w:sz w:val="20"/>
                <w:szCs w:val="20"/>
              </w:rPr>
              <m:t>i</m:t>
            </m:r>
            <m:sSub>
              <m:sSubPr>
                <m:ctrlPr>
                  <w:rPr>
                    <w:rFonts w:ascii="Cambria Math" w:hAnsi="Cambria Math" w:cs="Arial"/>
                    <w:sz w:val="20"/>
                    <w:szCs w:val="20"/>
                  </w:rPr>
                </m:ctrlPr>
              </m:sSubPr>
              <m:e>
                <m:r>
                  <w:rPr>
                    <w:rFonts w:ascii="Cambria Math" w:hAnsi="Cambria Math" w:cs="Arial"/>
                    <w:sz w:val="20"/>
                    <w:szCs w:val="20"/>
                  </w:rPr>
                  <m:t>K</m:t>
                </m:r>
              </m:e>
              <m:sub>
                <m:r>
                  <w:rPr>
                    <w:rFonts w:ascii="Cambria Math" w:hAnsi="Cambria Math" w:cs="Arial"/>
                    <w:sz w:val="20"/>
                    <w:szCs w:val="20"/>
                  </w:rPr>
                  <m:t>i</m:t>
                </m:r>
              </m:sub>
            </m:sSub>
          </m:sub>
        </m:sSub>
        <m:r>
          <w:rPr>
            <w:rFonts w:ascii="Cambria Math" w:hAnsi="Cambria Math" w:cs="Arial"/>
            <w:sz w:val="20"/>
            <w:szCs w:val="20"/>
          </w:rPr>
          <m:t>}</m:t>
        </m:r>
      </m:oMath>
      <w:r w:rsidRPr="00921636">
        <w:rPr>
          <w:rFonts w:ascii="Helvetica" w:hAnsi="Helvetica" w:cs="Arial"/>
          <w:sz w:val="20"/>
          <w:szCs w:val="20"/>
        </w:rPr>
        <w:t>, where the number of calls </w:t>
      </w:r>
      <m:oMath>
        <m:sSub>
          <m:sSubPr>
            <m:ctrlPr>
              <w:rPr>
                <w:rFonts w:ascii="Cambria Math" w:hAnsi="Cambria Math" w:cs="Arial"/>
                <w:sz w:val="20"/>
                <w:szCs w:val="20"/>
              </w:rPr>
            </m:ctrlPr>
          </m:sSubPr>
          <m:e>
            <m:r>
              <w:rPr>
                <w:rFonts w:ascii="Cambria Math" w:hAnsi="Cambria Math" w:cs="Arial"/>
                <w:sz w:val="20"/>
                <w:szCs w:val="20"/>
              </w:rPr>
              <m:t>K</m:t>
            </m:r>
          </m:e>
          <m:sub>
            <m:r>
              <w:rPr>
                <w:rFonts w:ascii="Cambria Math" w:hAnsi="Cambria Math" w:cs="Arial"/>
                <w:sz w:val="20"/>
                <w:szCs w:val="20"/>
              </w:rPr>
              <m:t>i</m:t>
            </m:r>
          </m:sub>
        </m:sSub>
      </m:oMath>
      <w:r w:rsidRPr="00921636">
        <w:rPr>
          <w:rFonts w:ascii="Helvetica" w:hAnsi="Helvetica" w:cs="Arial"/>
          <w:sz w:val="20"/>
          <w:szCs w:val="20"/>
        </w:rPr>
        <w:t> varies with contract length, complexity, and workflow configuration. This structure aligns directly with the problem formulation in Section III and provides a basis for reasoning about aggregate cost and energy consumption at the contract level.</w:t>
      </w:r>
    </w:p>
    <w:p w14:paraId="5022DBCA" w14:textId="77777777" w:rsidR="00921636" w:rsidRPr="00921636" w:rsidRDefault="00921636" w:rsidP="00921636">
      <w:pPr>
        <w:spacing w:after="210" w:line="360" w:lineRule="auto"/>
        <w:rPr>
          <w:rFonts w:ascii="Helvetica" w:hAnsi="Helvetica" w:cs="Arial"/>
          <w:b/>
          <w:bCs/>
          <w:sz w:val="20"/>
          <w:szCs w:val="20"/>
        </w:rPr>
      </w:pPr>
      <w:r w:rsidRPr="00921636">
        <w:rPr>
          <w:rFonts w:ascii="Helvetica" w:hAnsi="Helvetica" w:cs="Arial"/>
          <w:b/>
          <w:bCs/>
          <w:sz w:val="20"/>
          <w:szCs w:val="20"/>
        </w:rPr>
        <w:t>Traffic Patterns and Service Classes</w:t>
      </w:r>
    </w:p>
    <w:p w14:paraId="6456BCD5" w14:textId="77777777" w:rsidR="00921636" w:rsidRPr="00921636" w:rsidRDefault="00921636" w:rsidP="00921636">
      <w:pPr>
        <w:spacing w:after="210" w:line="360" w:lineRule="auto"/>
        <w:rPr>
          <w:rFonts w:ascii="Helvetica" w:hAnsi="Helvetica" w:cs="Arial"/>
          <w:sz w:val="20"/>
          <w:szCs w:val="20"/>
        </w:rPr>
      </w:pPr>
      <w:r w:rsidRPr="00921636">
        <w:rPr>
          <w:rFonts w:ascii="Helvetica" w:hAnsi="Helvetica" w:cs="Arial"/>
          <w:sz w:val="20"/>
          <w:szCs w:val="20"/>
        </w:rPr>
        <w:lastRenderedPageBreak/>
        <w:t>The evaluation models two dominant traffic patterns observed in enterprise contract analysis deployments:</w:t>
      </w:r>
    </w:p>
    <w:p w14:paraId="6E971928" w14:textId="77777777" w:rsidR="00921636" w:rsidRPr="00921636" w:rsidRDefault="00921636" w:rsidP="00921636">
      <w:pPr>
        <w:numPr>
          <w:ilvl w:val="0"/>
          <w:numId w:val="55"/>
        </w:numPr>
        <w:spacing w:after="210" w:line="360" w:lineRule="auto"/>
        <w:rPr>
          <w:rFonts w:ascii="Helvetica" w:hAnsi="Helvetica" w:cs="Arial"/>
          <w:sz w:val="20"/>
          <w:szCs w:val="20"/>
        </w:rPr>
      </w:pPr>
      <w:r w:rsidRPr="00921636">
        <w:rPr>
          <w:rFonts w:ascii="Helvetica" w:hAnsi="Helvetica" w:cs="Arial"/>
          <w:b/>
          <w:bCs/>
          <w:sz w:val="20"/>
          <w:szCs w:val="20"/>
        </w:rPr>
        <w:t>Batch workloads</w:t>
      </w:r>
      <w:r w:rsidRPr="00921636">
        <w:rPr>
          <w:rFonts w:ascii="Helvetica" w:hAnsi="Helvetica" w:cs="Arial"/>
          <w:sz w:val="20"/>
          <w:szCs w:val="20"/>
        </w:rPr>
        <w:t>, including portfolio-level reviews for due diligence, repapering initiatives, and compliance audits, which prioritize throughput and efficiency.</w:t>
      </w:r>
    </w:p>
    <w:p w14:paraId="35AD154F" w14:textId="77777777" w:rsidR="00921636" w:rsidRPr="00921636" w:rsidRDefault="00921636" w:rsidP="00921636">
      <w:pPr>
        <w:numPr>
          <w:ilvl w:val="0"/>
          <w:numId w:val="55"/>
        </w:numPr>
        <w:spacing w:after="210" w:line="360" w:lineRule="auto"/>
        <w:rPr>
          <w:rFonts w:ascii="Helvetica" w:hAnsi="Helvetica" w:cs="Arial"/>
          <w:sz w:val="20"/>
          <w:szCs w:val="20"/>
        </w:rPr>
      </w:pPr>
      <w:r w:rsidRPr="00921636">
        <w:rPr>
          <w:rFonts w:ascii="Helvetica" w:hAnsi="Helvetica" w:cs="Arial"/>
          <w:b/>
          <w:bCs/>
          <w:sz w:val="20"/>
          <w:szCs w:val="20"/>
        </w:rPr>
        <w:t>Interactive workloads</w:t>
      </w:r>
      <w:r w:rsidRPr="00921636">
        <w:rPr>
          <w:rFonts w:ascii="Helvetica" w:hAnsi="Helvetica" w:cs="Arial"/>
          <w:sz w:val="20"/>
          <w:szCs w:val="20"/>
        </w:rPr>
        <w:t>, such as live redlining, clause exploration, and negotiation support, which impose strict tail-latency requirements and operate under service-level agreements (SLAs).</w:t>
      </w:r>
    </w:p>
    <w:p w14:paraId="4C174241" w14:textId="77777777" w:rsidR="00921636" w:rsidRPr="00921636" w:rsidRDefault="00921636" w:rsidP="00921636">
      <w:pPr>
        <w:spacing w:after="210" w:line="360" w:lineRule="auto"/>
        <w:rPr>
          <w:rFonts w:ascii="Helvetica" w:hAnsi="Helvetica" w:cs="Arial"/>
          <w:sz w:val="20"/>
          <w:szCs w:val="20"/>
        </w:rPr>
      </w:pPr>
      <w:r w:rsidRPr="00921636">
        <w:rPr>
          <w:rFonts w:ascii="Helvetica" w:hAnsi="Helvetica" w:cs="Arial"/>
          <w:sz w:val="20"/>
          <w:szCs w:val="20"/>
        </w:rPr>
        <w:t>In addition, the analysis assumes a continuous baseline of inference demand driven by event-based triggers from CLM systems, including renewals, amendments, and obligation milestones. This mixed workload composition motivates the SLA-aware scheduling and differentiated batching strategies introduced in Layer 2 of the framework.</w:t>
      </w:r>
    </w:p>
    <w:p w14:paraId="33558730" w14:textId="77777777" w:rsidR="00921636" w:rsidRPr="00921636" w:rsidRDefault="00921636" w:rsidP="00921636">
      <w:pPr>
        <w:spacing w:after="210" w:line="360" w:lineRule="auto"/>
        <w:rPr>
          <w:rFonts w:ascii="Helvetica" w:hAnsi="Helvetica" w:cs="Arial"/>
          <w:b/>
          <w:bCs/>
          <w:sz w:val="20"/>
          <w:szCs w:val="20"/>
        </w:rPr>
      </w:pPr>
      <w:r w:rsidRPr="00921636">
        <w:rPr>
          <w:rFonts w:ascii="Helvetica" w:hAnsi="Helvetica" w:cs="Arial"/>
          <w:b/>
          <w:bCs/>
          <w:sz w:val="20"/>
          <w:szCs w:val="20"/>
        </w:rPr>
        <w:t>Hardware and Runtime Assumptions</w:t>
      </w:r>
    </w:p>
    <w:p w14:paraId="73301287" w14:textId="77777777" w:rsidR="00921636" w:rsidRPr="00921636" w:rsidRDefault="00921636" w:rsidP="00921636">
      <w:pPr>
        <w:spacing w:after="210" w:line="360" w:lineRule="auto"/>
        <w:rPr>
          <w:rFonts w:ascii="Helvetica" w:hAnsi="Helvetica" w:cs="Arial"/>
          <w:sz w:val="20"/>
          <w:szCs w:val="20"/>
        </w:rPr>
      </w:pPr>
      <w:r w:rsidRPr="00921636">
        <w:rPr>
          <w:rFonts w:ascii="Helvetica" w:hAnsi="Helvetica" w:cs="Arial"/>
          <w:sz w:val="20"/>
          <w:szCs w:val="20"/>
        </w:rPr>
        <w:t>To ensure relevance to contemporary enterprise environments, the evaluation assumes deployment on modern accelerator-based inference infrastructure representative of production systems. While no specific vendor configuration is benchmarked, the analysis assumes:</w:t>
      </w:r>
    </w:p>
    <w:p w14:paraId="1643B9EF" w14:textId="77777777" w:rsidR="00921636" w:rsidRPr="00921636" w:rsidRDefault="00921636" w:rsidP="00921636">
      <w:pPr>
        <w:numPr>
          <w:ilvl w:val="0"/>
          <w:numId w:val="56"/>
        </w:numPr>
        <w:spacing w:after="210" w:line="360" w:lineRule="auto"/>
        <w:rPr>
          <w:rFonts w:ascii="Helvetica" w:hAnsi="Helvetica" w:cs="Arial"/>
          <w:sz w:val="20"/>
          <w:szCs w:val="20"/>
        </w:rPr>
      </w:pPr>
      <w:r w:rsidRPr="00921636">
        <w:rPr>
          <w:rFonts w:ascii="Helvetica" w:hAnsi="Helvetica" w:cs="Arial"/>
          <w:sz w:val="20"/>
          <w:szCs w:val="20"/>
        </w:rPr>
        <w:t>Accelerator-class hardware capable of efficient long-context inference, characterized using efficiency-oriented metrics such as </w:t>
      </w:r>
      <w:r w:rsidRPr="00921636">
        <w:rPr>
          <w:rFonts w:ascii="Helvetica" w:hAnsi="Helvetica" w:cs="Arial"/>
          <w:b/>
          <w:bCs/>
          <w:sz w:val="20"/>
          <w:szCs w:val="20"/>
        </w:rPr>
        <w:t>tokens processed per second per watt and energy per token</w:t>
      </w:r>
      <w:r w:rsidRPr="00921636">
        <w:rPr>
          <w:rFonts w:ascii="Helvetica" w:hAnsi="Helvetica" w:cs="Arial"/>
          <w:sz w:val="20"/>
          <w:szCs w:val="20"/>
        </w:rPr>
        <w:t>.</w:t>
      </w:r>
    </w:p>
    <w:p w14:paraId="3F40C716" w14:textId="77777777" w:rsidR="00921636" w:rsidRPr="00921636" w:rsidRDefault="00921636" w:rsidP="00921636">
      <w:pPr>
        <w:numPr>
          <w:ilvl w:val="0"/>
          <w:numId w:val="56"/>
        </w:numPr>
        <w:spacing w:after="210" w:line="360" w:lineRule="auto"/>
        <w:rPr>
          <w:rFonts w:ascii="Helvetica" w:hAnsi="Helvetica" w:cs="Arial"/>
          <w:sz w:val="20"/>
          <w:szCs w:val="20"/>
        </w:rPr>
      </w:pPr>
      <w:r w:rsidRPr="00921636">
        <w:rPr>
          <w:rFonts w:ascii="Helvetica" w:hAnsi="Helvetica" w:cs="Arial"/>
          <w:sz w:val="20"/>
          <w:szCs w:val="20"/>
        </w:rPr>
        <w:t>Optimized inference runtimes supporting continuous batching, mixed-precision execution, and efficient attention mechanisms.</w:t>
      </w:r>
    </w:p>
    <w:p w14:paraId="332278DA" w14:textId="77777777" w:rsidR="00921636" w:rsidRPr="00921636" w:rsidRDefault="00921636" w:rsidP="00921636">
      <w:pPr>
        <w:numPr>
          <w:ilvl w:val="0"/>
          <w:numId w:val="56"/>
        </w:numPr>
        <w:spacing w:after="210" w:line="360" w:lineRule="auto"/>
        <w:rPr>
          <w:rFonts w:ascii="Helvetica" w:hAnsi="Helvetica" w:cs="Arial"/>
          <w:sz w:val="20"/>
          <w:szCs w:val="20"/>
        </w:rPr>
      </w:pPr>
      <w:r w:rsidRPr="00921636">
        <w:rPr>
          <w:rFonts w:ascii="Helvetica" w:hAnsi="Helvetica" w:cs="Arial"/>
          <w:sz w:val="20"/>
          <w:szCs w:val="20"/>
        </w:rPr>
        <w:t>Flexible deployment topologies, including public cloud, private cloud, and on-premises infrastructure, subject to data residency and confidentiality constraints.</w:t>
      </w:r>
    </w:p>
    <w:p w14:paraId="4C82FF36" w14:textId="012B0139" w:rsidR="00921636" w:rsidRPr="00921636" w:rsidRDefault="00921636" w:rsidP="00921636">
      <w:pPr>
        <w:spacing w:after="210" w:line="360" w:lineRule="auto"/>
        <w:rPr>
          <w:rFonts w:ascii="Helvetica" w:hAnsi="Helvetica" w:cs="Arial"/>
          <w:sz w:val="20"/>
          <w:szCs w:val="20"/>
        </w:rPr>
      </w:pPr>
      <w:r w:rsidRPr="00921636">
        <w:rPr>
          <w:rFonts w:ascii="Helvetica" w:hAnsi="Helvetica" w:cs="Arial"/>
          <w:sz w:val="20"/>
          <w:szCs w:val="20"/>
        </w:rPr>
        <w:t>Energy and cost characteristics associated with these assumptions are derived from recent </w:t>
      </w:r>
      <w:r w:rsidRPr="00921636">
        <w:rPr>
          <w:rFonts w:ascii="Helvetica" w:hAnsi="Helvetica" w:cs="Arial"/>
          <w:b/>
          <w:bCs/>
          <w:sz w:val="20"/>
          <w:szCs w:val="20"/>
        </w:rPr>
        <w:t>production-calibrated</w:t>
      </w:r>
      <w:r w:rsidR="00A8525E">
        <w:rPr>
          <w:rFonts w:ascii="Helvetica" w:hAnsi="Helvetica" w:cs="Arial"/>
          <w:b/>
          <w:bCs/>
          <w:sz w:val="20"/>
          <w:szCs w:val="20"/>
        </w:rPr>
        <w:t xml:space="preserve"> </w:t>
      </w:r>
      <w:r w:rsidRPr="00921636">
        <w:rPr>
          <w:rFonts w:ascii="Helvetica" w:hAnsi="Helvetica" w:cs="Arial"/>
          <w:sz w:val="20"/>
          <w:szCs w:val="20"/>
        </w:rPr>
        <w:t>studies of AI inference efficiency, rather than laboratory-scale measurements.</w:t>
      </w:r>
    </w:p>
    <w:p w14:paraId="5885A769" w14:textId="77777777" w:rsidR="00921636" w:rsidRPr="00921636" w:rsidRDefault="00921636" w:rsidP="00921636">
      <w:pPr>
        <w:spacing w:after="210" w:line="360" w:lineRule="auto"/>
        <w:rPr>
          <w:rFonts w:ascii="Helvetica" w:hAnsi="Helvetica" w:cs="Arial"/>
          <w:b/>
          <w:bCs/>
          <w:sz w:val="20"/>
          <w:szCs w:val="20"/>
        </w:rPr>
      </w:pPr>
      <w:r w:rsidRPr="00921636">
        <w:rPr>
          <w:rFonts w:ascii="Helvetica" w:hAnsi="Helvetica" w:cs="Arial"/>
          <w:b/>
          <w:bCs/>
          <w:sz w:val="20"/>
          <w:szCs w:val="20"/>
        </w:rPr>
        <w:t>Evaluation Scope and Boundaries</w:t>
      </w:r>
    </w:p>
    <w:p w14:paraId="7D322412" w14:textId="2095DFA7" w:rsidR="00921636" w:rsidRPr="00921636" w:rsidRDefault="00921636" w:rsidP="00921636">
      <w:pPr>
        <w:spacing w:after="210" w:line="360" w:lineRule="auto"/>
        <w:rPr>
          <w:rFonts w:ascii="Helvetica" w:hAnsi="Helvetica" w:cs="Arial"/>
          <w:sz w:val="20"/>
          <w:szCs w:val="20"/>
        </w:rPr>
      </w:pPr>
      <w:r w:rsidRPr="00921636">
        <w:rPr>
          <w:rFonts w:ascii="Helvetica" w:hAnsi="Helvetica" w:cs="Arial"/>
          <w:sz w:val="20"/>
          <w:szCs w:val="20"/>
        </w:rPr>
        <w:t>The evaluation focuses exclusively on test-time inference, consistent with the training-agnostic formulation introduced in Section III. Model training costs, data labeling expenses, and offline preprocessing pipelines are assumed fixed and outside the scope of optimization. Accordingly, the evaluation emphasizes </w:t>
      </w:r>
      <w:r w:rsidRPr="00921636">
        <w:rPr>
          <w:rFonts w:ascii="Helvetica" w:hAnsi="Helvetica" w:cs="Arial"/>
          <w:b/>
          <w:bCs/>
          <w:sz w:val="20"/>
          <w:szCs w:val="20"/>
        </w:rPr>
        <w:t>relative differences</w:t>
      </w:r>
      <w:r w:rsidRPr="00921636">
        <w:rPr>
          <w:rFonts w:ascii="Helvetica" w:hAnsi="Helvetica" w:cs="Arial"/>
          <w:sz w:val="20"/>
          <w:szCs w:val="20"/>
        </w:rPr>
        <w:t> between baseline and optimized system configurations, rather than attempting to predict absolute deployment costs or energy consumption for any specific enterprise environment.</w:t>
      </w:r>
    </w:p>
    <w:p w14:paraId="079ECD30" w14:textId="77777777" w:rsidR="00921636" w:rsidRPr="00921636" w:rsidRDefault="00921636" w:rsidP="00921636">
      <w:pPr>
        <w:spacing w:after="210" w:line="360" w:lineRule="auto"/>
        <w:rPr>
          <w:rFonts w:ascii="Helvetica" w:hAnsi="Helvetica" w:cs="Arial"/>
          <w:b/>
          <w:bCs/>
          <w:sz w:val="20"/>
          <w:szCs w:val="20"/>
        </w:rPr>
      </w:pPr>
      <w:r w:rsidRPr="00921636">
        <w:rPr>
          <w:rFonts w:ascii="Helvetica" w:hAnsi="Helvetica" w:cs="Arial"/>
          <w:b/>
          <w:bCs/>
          <w:sz w:val="20"/>
          <w:szCs w:val="20"/>
        </w:rPr>
        <w:t>V.B. Data and Preprocessing Assumptions</w:t>
      </w:r>
    </w:p>
    <w:p w14:paraId="72326DA5" w14:textId="77777777" w:rsidR="00921636" w:rsidRPr="00921636" w:rsidRDefault="00921636" w:rsidP="00921636">
      <w:pPr>
        <w:spacing w:after="210" w:line="360" w:lineRule="auto"/>
        <w:rPr>
          <w:rFonts w:ascii="Helvetica" w:hAnsi="Helvetica" w:cs="Arial"/>
          <w:sz w:val="20"/>
          <w:szCs w:val="20"/>
        </w:rPr>
      </w:pPr>
      <w:r w:rsidRPr="00921636">
        <w:rPr>
          <w:rFonts w:ascii="Helvetica" w:hAnsi="Helvetica" w:cs="Arial"/>
          <w:sz w:val="20"/>
          <w:szCs w:val="20"/>
        </w:rPr>
        <w:lastRenderedPageBreak/>
        <w:t>The analytical evaluation assumes contract inputs and preprocessing pipelines consistent with contemporary enterprise document AI and CLM systems. Rather than modeling a specific vendor implementation, this subsection defines standardized assumptions that establish realistic bounds on inference behavior while remaining agnostic to proprietary data, tooling, or workflows.</w:t>
      </w:r>
    </w:p>
    <w:p w14:paraId="13A55086" w14:textId="77777777" w:rsidR="00921636" w:rsidRPr="00921636" w:rsidRDefault="00921636" w:rsidP="00921636">
      <w:pPr>
        <w:spacing w:after="210" w:line="360" w:lineRule="auto"/>
        <w:rPr>
          <w:rFonts w:ascii="Helvetica" w:hAnsi="Helvetica" w:cs="Arial"/>
          <w:b/>
          <w:bCs/>
          <w:sz w:val="20"/>
          <w:szCs w:val="20"/>
        </w:rPr>
      </w:pPr>
      <w:r w:rsidRPr="00921636">
        <w:rPr>
          <w:rFonts w:ascii="Helvetica" w:hAnsi="Helvetica" w:cs="Arial"/>
          <w:b/>
          <w:bCs/>
          <w:sz w:val="20"/>
          <w:szCs w:val="20"/>
        </w:rPr>
        <w:t>Document Availability and Text Extraction</w:t>
      </w:r>
    </w:p>
    <w:p w14:paraId="480EE8A4" w14:textId="77777777" w:rsidR="00921636" w:rsidRPr="00921636" w:rsidRDefault="00921636" w:rsidP="00921636">
      <w:pPr>
        <w:spacing w:after="210" w:line="360" w:lineRule="auto"/>
        <w:rPr>
          <w:rFonts w:ascii="Helvetica" w:hAnsi="Helvetica" w:cs="Arial"/>
          <w:sz w:val="20"/>
          <w:szCs w:val="20"/>
        </w:rPr>
      </w:pPr>
      <w:r w:rsidRPr="00921636">
        <w:rPr>
          <w:rFonts w:ascii="Helvetica" w:hAnsi="Helvetica" w:cs="Arial"/>
          <w:sz w:val="20"/>
          <w:szCs w:val="20"/>
        </w:rPr>
        <w:t>Contracts are assumed to be ingested either as digitally native text documents or as scanned PDFs requiring optical character recognition (OCR). OCR is treated as a fixed preprocessing cost outside the inference optimization scope defined in Section III, but its energy contribution is </w:t>
      </w:r>
      <w:r w:rsidRPr="00921636">
        <w:rPr>
          <w:rFonts w:ascii="Helvetica" w:hAnsi="Helvetica" w:cs="Arial"/>
          <w:b/>
          <w:bCs/>
          <w:sz w:val="20"/>
          <w:szCs w:val="20"/>
        </w:rPr>
        <w:t>included in the Wh/contract metric</w:t>
      </w:r>
      <w:r w:rsidRPr="00921636">
        <w:rPr>
          <w:rFonts w:ascii="Helvetica" w:hAnsi="Helvetica" w:cs="Arial"/>
          <w:sz w:val="20"/>
          <w:szCs w:val="20"/>
        </w:rPr>
        <w:t> used in Section V.D. This reflects common enterprise practice, where OCR is executed once per document and amortized across downstream inference stages.</w:t>
      </w:r>
    </w:p>
    <w:p w14:paraId="7EFFABBF" w14:textId="77777777" w:rsidR="00921636" w:rsidRPr="00921636" w:rsidRDefault="00921636" w:rsidP="00921636">
      <w:pPr>
        <w:spacing w:after="210" w:line="360" w:lineRule="auto"/>
        <w:rPr>
          <w:rFonts w:ascii="Helvetica" w:hAnsi="Helvetica" w:cs="Arial"/>
          <w:sz w:val="20"/>
          <w:szCs w:val="20"/>
        </w:rPr>
      </w:pPr>
      <w:r w:rsidRPr="00921636">
        <w:rPr>
          <w:rFonts w:ascii="Helvetica" w:hAnsi="Helvetica" w:cs="Arial"/>
          <w:sz w:val="20"/>
          <w:szCs w:val="20"/>
        </w:rPr>
        <w:t>Where contracts contain mixed layouts (e.g., tables, headers, annexes, and signature pages), preprocessing is assumed to preserve document structure through section boundaries, clause numbering, and basic layout metadata. This enables subsequent model- and serving-level optimizations, such as selective attention and layout-aware filtering, without requiring full multimodal reasoning for all inputs.</w:t>
      </w:r>
    </w:p>
    <w:p w14:paraId="316CCC3A" w14:textId="77777777" w:rsidR="00921636" w:rsidRPr="00921636" w:rsidRDefault="00921636" w:rsidP="00921636">
      <w:pPr>
        <w:spacing w:after="210" w:line="360" w:lineRule="auto"/>
        <w:rPr>
          <w:rFonts w:ascii="Helvetica" w:hAnsi="Helvetica" w:cs="Arial"/>
          <w:b/>
          <w:bCs/>
          <w:sz w:val="20"/>
          <w:szCs w:val="20"/>
        </w:rPr>
      </w:pPr>
      <w:r w:rsidRPr="00921636">
        <w:rPr>
          <w:rFonts w:ascii="Helvetica" w:hAnsi="Helvetica" w:cs="Arial"/>
          <w:b/>
          <w:bCs/>
          <w:sz w:val="20"/>
          <w:szCs w:val="20"/>
        </w:rPr>
        <w:t>Redaction, Anonymization, and Confidentiality</w:t>
      </w:r>
    </w:p>
    <w:p w14:paraId="35E3A111" w14:textId="77777777" w:rsidR="00921636" w:rsidRPr="00921636" w:rsidRDefault="00921636" w:rsidP="00921636">
      <w:pPr>
        <w:spacing w:after="210" w:line="360" w:lineRule="auto"/>
        <w:rPr>
          <w:rFonts w:ascii="Helvetica" w:hAnsi="Helvetica" w:cs="Arial"/>
          <w:sz w:val="20"/>
          <w:szCs w:val="20"/>
        </w:rPr>
      </w:pPr>
      <w:r w:rsidRPr="00921636">
        <w:rPr>
          <w:rFonts w:ascii="Helvetica" w:hAnsi="Helvetica" w:cs="Arial"/>
          <w:sz w:val="20"/>
          <w:szCs w:val="20"/>
        </w:rPr>
        <w:t>Enterprise legal deployments frequently apply redaction or anonymization prior to automated analysis to protect personally identifiable information (PII) and sensitive commercial terms. The evaluation assumes that such preprocessing has already been performed, and that redaction does not materially alter the structural properties of contracts relevant to clause extraction or risk classification. Any additional computational overhead introduced by redaction is treated as orthogonal to the inference optimizations analyzed here.</w:t>
      </w:r>
    </w:p>
    <w:p w14:paraId="78A6D467" w14:textId="77777777" w:rsidR="00921636" w:rsidRPr="00921636" w:rsidRDefault="00921636" w:rsidP="00921636">
      <w:pPr>
        <w:spacing w:after="210" w:line="360" w:lineRule="auto"/>
        <w:rPr>
          <w:rFonts w:ascii="Helvetica" w:hAnsi="Helvetica" w:cs="Arial"/>
          <w:b/>
          <w:bCs/>
          <w:sz w:val="20"/>
          <w:szCs w:val="20"/>
        </w:rPr>
      </w:pPr>
      <w:r w:rsidRPr="00921636">
        <w:rPr>
          <w:rFonts w:ascii="Helvetica" w:hAnsi="Helvetica" w:cs="Arial"/>
          <w:b/>
          <w:bCs/>
          <w:sz w:val="20"/>
          <w:szCs w:val="20"/>
        </w:rPr>
        <w:t>Clause and Risk Label Schemas</w:t>
      </w:r>
    </w:p>
    <w:p w14:paraId="332F5B58" w14:textId="77777777" w:rsidR="00921636" w:rsidRPr="00921636" w:rsidRDefault="00921636" w:rsidP="00921636">
      <w:pPr>
        <w:spacing w:after="210" w:line="360" w:lineRule="auto"/>
        <w:rPr>
          <w:rFonts w:ascii="Helvetica" w:hAnsi="Helvetica" w:cs="Arial"/>
          <w:sz w:val="20"/>
          <w:szCs w:val="20"/>
        </w:rPr>
      </w:pPr>
      <w:r w:rsidRPr="00921636">
        <w:rPr>
          <w:rFonts w:ascii="Helvetica" w:hAnsi="Helvetica" w:cs="Arial"/>
          <w:sz w:val="20"/>
          <w:szCs w:val="20"/>
        </w:rPr>
        <w:t>Structured outputs are assumed to conform to predefined clause and risk schemas typical of production contract analysis systems. These schemas include normalized representations of legally material clauses (e.g., indemnification, limitation of liability, termination, confidentiality, data protection) and associated risk attributes or deviation flags.</w:t>
      </w:r>
    </w:p>
    <w:p w14:paraId="5BF89302" w14:textId="3094C4E1" w:rsidR="00921636" w:rsidRPr="00921636" w:rsidRDefault="00921636" w:rsidP="00921636">
      <w:pPr>
        <w:spacing w:after="210" w:line="360" w:lineRule="auto"/>
        <w:rPr>
          <w:rFonts w:ascii="Helvetica" w:hAnsi="Helvetica" w:cs="Arial"/>
          <w:sz w:val="20"/>
          <w:szCs w:val="20"/>
        </w:rPr>
      </w:pPr>
      <w:r w:rsidRPr="00921636">
        <w:rPr>
          <w:rFonts w:ascii="Helvetica" w:hAnsi="Helvetica" w:cs="Arial"/>
          <w:sz w:val="20"/>
          <w:szCs w:val="20"/>
        </w:rPr>
        <w:t>Schema definitions are held constant across baseline and optimized systems. Consequently, observed differences in cost, energy, and efficiency arise from architectural and deployment choices rather than from changes in task definition or output granularity, ensuring that accuracy and recall constraints discussed in Section III are evaluated against a consistent target.</w:t>
      </w:r>
    </w:p>
    <w:p w14:paraId="6A2C9DE6" w14:textId="77777777" w:rsidR="00921636" w:rsidRPr="00921636" w:rsidRDefault="00921636" w:rsidP="00921636">
      <w:pPr>
        <w:spacing w:after="210" w:line="360" w:lineRule="auto"/>
        <w:rPr>
          <w:rFonts w:ascii="Helvetica" w:hAnsi="Helvetica" w:cs="Arial"/>
          <w:b/>
          <w:bCs/>
          <w:sz w:val="20"/>
          <w:szCs w:val="20"/>
        </w:rPr>
      </w:pPr>
      <w:r w:rsidRPr="00921636">
        <w:rPr>
          <w:rFonts w:ascii="Helvetica" w:hAnsi="Helvetica" w:cs="Arial"/>
          <w:b/>
          <w:bCs/>
          <w:sz w:val="20"/>
          <w:szCs w:val="20"/>
        </w:rPr>
        <w:t>V.C. Baseline and Optimized System Analysis</w:t>
      </w:r>
    </w:p>
    <w:p w14:paraId="4CB26927" w14:textId="77777777" w:rsidR="00921636" w:rsidRPr="00921636" w:rsidRDefault="00921636" w:rsidP="00921636">
      <w:pPr>
        <w:spacing w:after="210" w:line="360" w:lineRule="auto"/>
        <w:rPr>
          <w:rFonts w:ascii="Helvetica" w:hAnsi="Helvetica" w:cs="Arial"/>
          <w:sz w:val="20"/>
          <w:szCs w:val="20"/>
        </w:rPr>
      </w:pPr>
      <w:r w:rsidRPr="00921636">
        <w:rPr>
          <w:rFonts w:ascii="Helvetica" w:hAnsi="Helvetica" w:cs="Arial"/>
          <w:sz w:val="20"/>
          <w:szCs w:val="20"/>
        </w:rPr>
        <w:lastRenderedPageBreak/>
        <w:t>This subsection analytically compares a representative baseline contract analysis system with an optimized system instantiated using the unified framework in Section IV. The comparison uses the cost and energy models from Section III and the workload assumptions defined in Sections V.A and V.B, focusing on relative differences in cost, energy, and efficiency attributable to architectural choices.</w:t>
      </w:r>
    </w:p>
    <w:p w14:paraId="7378ECE2" w14:textId="77777777" w:rsidR="00921636" w:rsidRPr="00921636" w:rsidRDefault="00921636" w:rsidP="00921636">
      <w:pPr>
        <w:spacing w:after="210" w:line="360" w:lineRule="auto"/>
        <w:rPr>
          <w:rFonts w:ascii="Helvetica" w:hAnsi="Helvetica" w:cs="Arial"/>
          <w:b/>
          <w:bCs/>
          <w:sz w:val="20"/>
          <w:szCs w:val="20"/>
        </w:rPr>
      </w:pPr>
      <w:r w:rsidRPr="00921636">
        <w:rPr>
          <w:rFonts w:ascii="Helvetica" w:hAnsi="Helvetica" w:cs="Arial"/>
          <w:b/>
          <w:bCs/>
          <w:sz w:val="20"/>
          <w:szCs w:val="20"/>
        </w:rPr>
        <w:t>Baseline System</w:t>
      </w:r>
    </w:p>
    <w:p w14:paraId="012493A4" w14:textId="77777777" w:rsidR="00921636" w:rsidRPr="00921636" w:rsidRDefault="00921636" w:rsidP="00921636">
      <w:pPr>
        <w:spacing w:after="210" w:line="360" w:lineRule="auto"/>
        <w:rPr>
          <w:rFonts w:ascii="Helvetica" w:hAnsi="Helvetica" w:cs="Arial"/>
          <w:sz w:val="20"/>
          <w:szCs w:val="20"/>
        </w:rPr>
      </w:pPr>
      <w:r w:rsidRPr="00921636">
        <w:rPr>
          <w:rFonts w:ascii="Helvetica" w:hAnsi="Helvetica" w:cs="Arial"/>
          <w:sz w:val="20"/>
          <w:szCs w:val="20"/>
        </w:rPr>
        <w:t>The baseline represents a naïve but common enterprise deployment pattern:</w:t>
      </w:r>
    </w:p>
    <w:p w14:paraId="73409F84" w14:textId="77777777" w:rsidR="00921636" w:rsidRPr="00921636" w:rsidRDefault="00921636" w:rsidP="00921636">
      <w:pPr>
        <w:numPr>
          <w:ilvl w:val="0"/>
          <w:numId w:val="57"/>
        </w:numPr>
        <w:spacing w:after="210" w:line="360" w:lineRule="auto"/>
        <w:rPr>
          <w:rFonts w:ascii="Helvetica" w:hAnsi="Helvetica" w:cs="Arial"/>
          <w:sz w:val="20"/>
          <w:szCs w:val="20"/>
        </w:rPr>
      </w:pPr>
      <w:r w:rsidRPr="00921636">
        <w:rPr>
          <w:rFonts w:ascii="Helvetica" w:hAnsi="Helvetica" w:cs="Arial"/>
          <w:sz w:val="20"/>
          <w:szCs w:val="20"/>
        </w:rPr>
        <w:t>A single, large, general-purpose language model is used across all contract types and pipeline stages.</w:t>
      </w:r>
    </w:p>
    <w:p w14:paraId="113479DA" w14:textId="77777777" w:rsidR="00921636" w:rsidRPr="00921636" w:rsidRDefault="00921636" w:rsidP="00921636">
      <w:pPr>
        <w:numPr>
          <w:ilvl w:val="0"/>
          <w:numId w:val="57"/>
        </w:numPr>
        <w:spacing w:after="210" w:line="360" w:lineRule="auto"/>
        <w:rPr>
          <w:rFonts w:ascii="Helvetica" w:hAnsi="Helvetica" w:cs="Arial"/>
          <w:sz w:val="20"/>
          <w:szCs w:val="20"/>
        </w:rPr>
      </w:pPr>
      <w:r w:rsidRPr="00921636">
        <w:rPr>
          <w:rFonts w:ascii="Helvetica" w:hAnsi="Helvetica" w:cs="Arial"/>
          <w:sz w:val="20"/>
          <w:szCs w:val="20"/>
        </w:rPr>
        <w:t>Inference is executed at uniform precision without task-specific distillation or quantization.</w:t>
      </w:r>
    </w:p>
    <w:p w14:paraId="2533589E" w14:textId="77777777" w:rsidR="00921636" w:rsidRPr="00921636" w:rsidRDefault="00921636" w:rsidP="00921636">
      <w:pPr>
        <w:numPr>
          <w:ilvl w:val="0"/>
          <w:numId w:val="57"/>
        </w:numPr>
        <w:spacing w:after="210" w:line="360" w:lineRule="auto"/>
        <w:rPr>
          <w:rFonts w:ascii="Helvetica" w:hAnsi="Helvetica" w:cs="Arial"/>
          <w:sz w:val="20"/>
          <w:szCs w:val="20"/>
        </w:rPr>
      </w:pPr>
      <w:r w:rsidRPr="00921636">
        <w:rPr>
          <w:rFonts w:ascii="Helvetica" w:hAnsi="Helvetica" w:cs="Arial"/>
          <w:sz w:val="20"/>
          <w:szCs w:val="20"/>
        </w:rPr>
        <w:t>Each contract undergoes full-document processing at every pipeline stage.</w:t>
      </w:r>
    </w:p>
    <w:p w14:paraId="3DDB769F" w14:textId="77777777" w:rsidR="00921636" w:rsidRPr="00921636" w:rsidRDefault="00921636" w:rsidP="00921636">
      <w:pPr>
        <w:numPr>
          <w:ilvl w:val="0"/>
          <w:numId w:val="57"/>
        </w:numPr>
        <w:spacing w:after="210" w:line="360" w:lineRule="auto"/>
        <w:rPr>
          <w:rFonts w:ascii="Helvetica" w:hAnsi="Helvetica" w:cs="Arial"/>
          <w:sz w:val="20"/>
          <w:szCs w:val="20"/>
        </w:rPr>
      </w:pPr>
      <w:r w:rsidRPr="00921636">
        <w:rPr>
          <w:rFonts w:ascii="Helvetica" w:hAnsi="Helvetica" w:cs="Arial"/>
          <w:sz w:val="20"/>
          <w:szCs w:val="20"/>
        </w:rPr>
        <w:t>No routing, escalation, early-exit logic, or reuse of prior results is applied.</w:t>
      </w:r>
    </w:p>
    <w:p w14:paraId="276287B5" w14:textId="77777777" w:rsidR="00921636" w:rsidRPr="00921636" w:rsidRDefault="00921636" w:rsidP="00921636">
      <w:pPr>
        <w:numPr>
          <w:ilvl w:val="0"/>
          <w:numId w:val="57"/>
        </w:numPr>
        <w:spacing w:after="210" w:line="360" w:lineRule="auto"/>
        <w:rPr>
          <w:rFonts w:ascii="Helvetica" w:hAnsi="Helvetica" w:cs="Arial"/>
          <w:sz w:val="20"/>
          <w:szCs w:val="20"/>
        </w:rPr>
      </w:pPr>
      <w:r w:rsidRPr="00921636">
        <w:rPr>
          <w:rFonts w:ascii="Helvetica" w:hAnsi="Helvetica" w:cs="Arial"/>
          <w:sz w:val="20"/>
          <w:szCs w:val="20"/>
        </w:rPr>
        <w:t>Conservative batching is enforced globally to satisfy interactive latency requirements.</w:t>
      </w:r>
    </w:p>
    <w:p w14:paraId="09FCEB59" w14:textId="60463AFB" w:rsidR="00921636" w:rsidRPr="00921636" w:rsidRDefault="00921636" w:rsidP="00921636">
      <w:pPr>
        <w:spacing w:after="210" w:line="360" w:lineRule="auto"/>
        <w:rPr>
          <w:rFonts w:ascii="Helvetica" w:hAnsi="Helvetica" w:cs="Arial"/>
          <w:sz w:val="20"/>
          <w:szCs w:val="20"/>
        </w:rPr>
      </w:pPr>
      <w:r w:rsidRPr="00921636">
        <w:rPr>
          <w:rFonts w:ascii="Helvetica" w:hAnsi="Helvetica" w:cs="Arial"/>
          <w:sz w:val="20"/>
          <w:szCs w:val="20"/>
        </w:rPr>
        <w:t>Under this design, each contract induces a large number of long-context inference calls </w:t>
      </w:r>
      <m:oMath>
        <m:sSub>
          <m:sSubPr>
            <m:ctrlPr>
              <w:rPr>
                <w:rFonts w:ascii="Cambria Math" w:hAnsi="Cambria Math" w:cs="Arial"/>
                <w:sz w:val="20"/>
                <w:szCs w:val="20"/>
              </w:rPr>
            </m:ctrlPr>
          </m:sSubPr>
          <m:e>
            <m:r>
              <w:rPr>
                <w:rFonts w:ascii="Cambria Math" w:hAnsi="Cambria Math" w:cs="Arial"/>
                <w:sz w:val="20"/>
                <w:szCs w:val="20"/>
              </w:rPr>
              <m:t>K</m:t>
            </m:r>
          </m:e>
          <m:sub>
            <m:r>
              <w:rPr>
                <w:rFonts w:ascii="Cambria Math" w:hAnsi="Cambria Math" w:cs="Arial"/>
                <w:sz w:val="20"/>
                <w:szCs w:val="20"/>
              </w:rPr>
              <m:t>i</m:t>
            </m:r>
          </m:sub>
        </m:sSub>
      </m:oMath>
      <w:r w:rsidRPr="00921636">
        <w:rPr>
          <w:rFonts w:ascii="Helvetica" w:hAnsi="Helvetica" w:cs="Arial"/>
          <w:sz w:val="20"/>
          <w:szCs w:val="20"/>
        </w:rPr>
        <w:t>, and both cost and energy scale linearly with token volume and call count.</w:t>
      </w:r>
    </w:p>
    <w:p w14:paraId="46DD5879" w14:textId="77777777" w:rsidR="00921636" w:rsidRPr="00921636" w:rsidRDefault="00921636" w:rsidP="00921636">
      <w:pPr>
        <w:spacing w:after="210" w:line="360" w:lineRule="auto"/>
        <w:rPr>
          <w:rFonts w:ascii="Helvetica" w:hAnsi="Helvetica" w:cs="Arial"/>
          <w:b/>
          <w:bCs/>
          <w:sz w:val="20"/>
          <w:szCs w:val="20"/>
        </w:rPr>
      </w:pPr>
      <w:r w:rsidRPr="00921636">
        <w:rPr>
          <w:rFonts w:ascii="Helvetica" w:hAnsi="Helvetica" w:cs="Arial"/>
          <w:b/>
          <w:bCs/>
          <w:sz w:val="20"/>
          <w:szCs w:val="20"/>
        </w:rPr>
        <w:t>Optimized System</w:t>
      </w:r>
    </w:p>
    <w:p w14:paraId="3497FB11" w14:textId="77777777" w:rsidR="00921636" w:rsidRPr="00921636" w:rsidRDefault="00921636" w:rsidP="00921636">
      <w:pPr>
        <w:spacing w:after="210" w:line="360" w:lineRule="auto"/>
        <w:rPr>
          <w:rFonts w:ascii="Helvetica" w:hAnsi="Helvetica" w:cs="Arial"/>
          <w:sz w:val="20"/>
          <w:szCs w:val="20"/>
        </w:rPr>
      </w:pPr>
      <w:r w:rsidRPr="00921636">
        <w:rPr>
          <w:rFonts w:ascii="Helvetica" w:hAnsi="Helvetica" w:cs="Arial"/>
          <w:sz w:val="20"/>
          <w:szCs w:val="20"/>
        </w:rPr>
        <w:t>The optimized system applies all four layers of the proposed framework:</w:t>
      </w:r>
    </w:p>
    <w:p w14:paraId="45877E3D" w14:textId="77777777" w:rsidR="00921636" w:rsidRPr="00921636" w:rsidRDefault="00921636" w:rsidP="00921636">
      <w:pPr>
        <w:numPr>
          <w:ilvl w:val="0"/>
          <w:numId w:val="58"/>
        </w:numPr>
        <w:spacing w:after="210" w:line="360" w:lineRule="auto"/>
        <w:rPr>
          <w:rFonts w:ascii="Helvetica" w:hAnsi="Helvetica" w:cs="Arial"/>
          <w:sz w:val="20"/>
          <w:szCs w:val="20"/>
        </w:rPr>
      </w:pPr>
      <w:r w:rsidRPr="00921636">
        <w:rPr>
          <w:rFonts w:ascii="Helvetica" w:hAnsi="Helvetica" w:cs="Arial"/>
          <w:sz w:val="20"/>
          <w:szCs w:val="20"/>
        </w:rPr>
        <w:t>Model optimization replaces generic models with domain-specialized, distilled, and quantized contract models where feasible.</w:t>
      </w:r>
    </w:p>
    <w:p w14:paraId="7A02B370" w14:textId="77777777" w:rsidR="00921636" w:rsidRPr="00921636" w:rsidRDefault="00921636" w:rsidP="00921636">
      <w:pPr>
        <w:numPr>
          <w:ilvl w:val="0"/>
          <w:numId w:val="58"/>
        </w:numPr>
        <w:spacing w:after="210" w:line="360" w:lineRule="auto"/>
        <w:rPr>
          <w:rFonts w:ascii="Helvetica" w:hAnsi="Helvetica" w:cs="Arial"/>
          <w:sz w:val="20"/>
          <w:szCs w:val="20"/>
        </w:rPr>
      </w:pPr>
      <w:r w:rsidRPr="00921636">
        <w:rPr>
          <w:rFonts w:ascii="Helvetica" w:hAnsi="Helvetica" w:cs="Arial"/>
          <w:sz w:val="20"/>
          <w:szCs w:val="20"/>
        </w:rPr>
        <w:t>Serving optimizations introduce continuous batching, SLA-aware scheduling, constrained decoding, selective speculative decoding, and caching of repetitive content.</w:t>
      </w:r>
    </w:p>
    <w:p w14:paraId="54AAC240" w14:textId="77777777" w:rsidR="00921636" w:rsidRPr="00921636" w:rsidRDefault="00921636" w:rsidP="00921636">
      <w:pPr>
        <w:numPr>
          <w:ilvl w:val="0"/>
          <w:numId w:val="58"/>
        </w:numPr>
        <w:spacing w:after="210" w:line="360" w:lineRule="auto"/>
        <w:rPr>
          <w:rFonts w:ascii="Helvetica" w:hAnsi="Helvetica" w:cs="Arial"/>
          <w:sz w:val="20"/>
          <w:szCs w:val="20"/>
        </w:rPr>
      </w:pPr>
      <w:r w:rsidRPr="00921636">
        <w:rPr>
          <w:rFonts w:ascii="Helvetica" w:hAnsi="Helvetica" w:cs="Arial"/>
          <w:sz w:val="20"/>
          <w:szCs w:val="20"/>
        </w:rPr>
        <w:t>Hardware and infrastructure choices prioritize configurations with high tokens/sec/W, combined with utilization-aware power management.</w:t>
      </w:r>
    </w:p>
    <w:p w14:paraId="35EB071D" w14:textId="77777777" w:rsidR="00921636" w:rsidRPr="00921636" w:rsidRDefault="00921636" w:rsidP="00921636">
      <w:pPr>
        <w:numPr>
          <w:ilvl w:val="0"/>
          <w:numId w:val="58"/>
        </w:numPr>
        <w:spacing w:after="210" w:line="360" w:lineRule="auto"/>
        <w:rPr>
          <w:rFonts w:ascii="Helvetica" w:hAnsi="Helvetica" w:cs="Arial"/>
          <w:sz w:val="20"/>
          <w:szCs w:val="20"/>
        </w:rPr>
      </w:pPr>
      <w:r w:rsidRPr="00921636">
        <w:rPr>
          <w:rFonts w:ascii="Helvetica" w:hAnsi="Helvetica" w:cs="Arial"/>
          <w:sz w:val="20"/>
          <w:szCs w:val="20"/>
        </w:rPr>
        <w:t>Workflow orchestration applies tiered routing, clause-level escalation, deduplication, and early-exit conditions.</w:t>
      </w:r>
    </w:p>
    <w:p w14:paraId="147CB2AA" w14:textId="1167BFD6" w:rsidR="00921636" w:rsidRPr="00921636" w:rsidRDefault="00921636" w:rsidP="00921636">
      <w:pPr>
        <w:spacing w:after="210" w:line="360" w:lineRule="auto"/>
        <w:rPr>
          <w:rFonts w:ascii="Helvetica" w:hAnsi="Helvetica" w:cs="Arial"/>
          <w:sz w:val="20"/>
          <w:szCs w:val="20"/>
        </w:rPr>
      </w:pPr>
      <w:r w:rsidRPr="00921636">
        <w:rPr>
          <w:rFonts w:ascii="Helvetica" w:hAnsi="Helvetica" w:cs="Arial"/>
          <w:sz w:val="20"/>
          <w:szCs w:val="20"/>
        </w:rPr>
        <w:t>Together, these changes reduce both per-call cost and energy and the effective number of inference calls </w:t>
      </w:r>
      <m:oMath>
        <m:sSub>
          <m:sSubPr>
            <m:ctrlPr>
              <w:rPr>
                <w:rFonts w:ascii="Cambria Math" w:hAnsi="Cambria Math" w:cs="Arial"/>
                <w:sz w:val="20"/>
                <w:szCs w:val="20"/>
              </w:rPr>
            </m:ctrlPr>
          </m:sSubPr>
          <m:e>
            <m:r>
              <w:rPr>
                <w:rFonts w:ascii="Cambria Math" w:hAnsi="Cambria Math" w:cs="Arial"/>
                <w:sz w:val="20"/>
                <w:szCs w:val="20"/>
              </w:rPr>
              <m:t>K</m:t>
            </m:r>
          </m:e>
          <m:sub>
            <m:r>
              <w:rPr>
                <w:rFonts w:ascii="Cambria Math" w:hAnsi="Cambria Math" w:cs="Arial"/>
                <w:sz w:val="20"/>
                <w:szCs w:val="20"/>
              </w:rPr>
              <m:t>i</m:t>
            </m:r>
          </m:sub>
        </m:sSub>
      </m:oMath>
      <w:r w:rsidRPr="00921636">
        <w:rPr>
          <w:rFonts w:ascii="Helvetica" w:hAnsi="Helvetica" w:cs="Arial"/>
          <w:sz w:val="20"/>
          <w:szCs w:val="20"/>
        </w:rPr>
        <w:t> per contract.</w:t>
      </w:r>
    </w:p>
    <w:p w14:paraId="0EDED00B" w14:textId="77777777" w:rsidR="00921636" w:rsidRPr="00921636" w:rsidRDefault="00921636" w:rsidP="00921636">
      <w:pPr>
        <w:spacing w:after="210" w:line="360" w:lineRule="auto"/>
        <w:rPr>
          <w:rFonts w:ascii="Helvetica" w:hAnsi="Helvetica" w:cs="Arial"/>
          <w:b/>
          <w:bCs/>
          <w:sz w:val="20"/>
          <w:szCs w:val="20"/>
        </w:rPr>
      </w:pPr>
      <w:r w:rsidRPr="00921636">
        <w:rPr>
          <w:rFonts w:ascii="Helvetica" w:hAnsi="Helvetica" w:cs="Arial"/>
          <w:b/>
          <w:bCs/>
          <w:sz w:val="20"/>
          <w:szCs w:val="20"/>
        </w:rPr>
        <w:t>Analytical Cost and Energy Impact</w:t>
      </w:r>
    </w:p>
    <w:p w14:paraId="14DFF6E3" w14:textId="455C6F5E" w:rsidR="00921636" w:rsidRPr="00921636" w:rsidRDefault="00921636" w:rsidP="00921636">
      <w:pPr>
        <w:spacing w:after="210" w:line="360" w:lineRule="auto"/>
        <w:rPr>
          <w:rFonts w:ascii="Helvetica" w:hAnsi="Helvetica" w:cs="Arial"/>
          <w:sz w:val="20"/>
          <w:szCs w:val="20"/>
        </w:rPr>
      </w:pPr>
      <w:r w:rsidRPr="00921636">
        <w:rPr>
          <w:rFonts w:ascii="Helvetica" w:hAnsi="Helvetica" w:cs="Arial"/>
          <w:sz w:val="20"/>
          <w:szCs w:val="20"/>
        </w:rPr>
        <w:lastRenderedPageBreak/>
        <w:t>Production-calibrated inference studies report that long-context queries consume several watt-hours per inference call. For multi-pass contract pipelines, baseline contract-level energy therefore scales proportionally with both token volume and </w:t>
      </w:r>
      <m:oMath>
        <m:sSub>
          <m:sSubPr>
            <m:ctrlPr>
              <w:rPr>
                <w:rFonts w:ascii="Cambria Math" w:hAnsi="Cambria Math" w:cs="Arial"/>
                <w:sz w:val="20"/>
                <w:szCs w:val="20"/>
              </w:rPr>
            </m:ctrlPr>
          </m:sSubPr>
          <m:e>
            <m:r>
              <w:rPr>
                <w:rFonts w:ascii="Cambria Math" w:hAnsi="Cambria Math" w:cs="Arial"/>
                <w:sz w:val="20"/>
                <w:szCs w:val="20"/>
              </w:rPr>
              <m:t>K</m:t>
            </m:r>
          </m:e>
          <m:sub>
            <m:r>
              <w:rPr>
                <w:rFonts w:ascii="Cambria Math" w:hAnsi="Cambria Math" w:cs="Arial"/>
                <w:sz w:val="20"/>
                <w:szCs w:val="20"/>
              </w:rPr>
              <m:t>i</m:t>
            </m:r>
          </m:sub>
        </m:sSub>
      </m:oMath>
      <w:r w:rsidRPr="00921636">
        <w:rPr>
          <w:rFonts w:ascii="Helvetica" w:hAnsi="Helvetica" w:cs="Arial"/>
          <w:sz w:val="20"/>
          <w:szCs w:val="20"/>
        </w:rPr>
        <w:t>.</w:t>
      </w:r>
    </w:p>
    <w:p w14:paraId="6F0F217A" w14:textId="77777777" w:rsidR="00921636" w:rsidRPr="00921636" w:rsidRDefault="00921636" w:rsidP="00921636">
      <w:pPr>
        <w:spacing w:after="210" w:line="360" w:lineRule="auto"/>
        <w:rPr>
          <w:rFonts w:ascii="Helvetica" w:hAnsi="Helvetica" w:cs="Arial"/>
          <w:sz w:val="20"/>
          <w:szCs w:val="20"/>
        </w:rPr>
      </w:pPr>
      <w:r w:rsidRPr="00921636">
        <w:rPr>
          <w:rFonts w:ascii="Helvetica" w:hAnsi="Helvetica" w:cs="Arial"/>
          <w:sz w:val="20"/>
          <w:szCs w:val="20"/>
        </w:rPr>
        <w:t>Each optimization layer contributes multiplicative efficiency gains consistent with published results. When combined, these effects plausibly yield aggregate cost and energy reductions on the order of </w:t>
      </w:r>
      <w:r w:rsidRPr="00921636">
        <w:rPr>
          <w:rFonts w:ascii="Helvetica" w:hAnsi="Helvetica" w:cs="Arial"/>
          <w:b/>
          <w:bCs/>
          <w:sz w:val="20"/>
          <w:szCs w:val="20"/>
        </w:rPr>
        <w:t>8–20×</w:t>
      </w:r>
      <w:r w:rsidRPr="00921636">
        <w:rPr>
          <w:rFonts w:ascii="Helvetica" w:hAnsi="Helvetica" w:cs="Arial"/>
          <w:sz w:val="20"/>
          <w:szCs w:val="20"/>
        </w:rPr>
        <w:t> relative to the baseline. As instantiated in Section V.D, applying these factors to representative NDA and MSA/DPA workloads yields approximately </w:t>
      </w:r>
      <w:r w:rsidRPr="00921636">
        <w:rPr>
          <w:rFonts w:ascii="Helvetica" w:hAnsi="Helvetica" w:cs="Arial"/>
          <w:b/>
          <w:bCs/>
          <w:sz w:val="20"/>
          <w:szCs w:val="20"/>
        </w:rPr>
        <w:t>12–26× reductions in Wh/contract</w:t>
      </w:r>
      <w:r w:rsidRPr="00921636">
        <w:rPr>
          <w:rFonts w:ascii="Helvetica" w:hAnsi="Helvetica" w:cs="Arial"/>
          <w:sz w:val="20"/>
          <w:szCs w:val="20"/>
        </w:rPr>
        <w:t> under conservative assumptions. Because GPU provisioning costs are strongly correlated with tokens processed and energy use, these reductions translate into comparable order-of-magnitude savings in $/contract under unchanged pricing assumptions.</w:t>
      </w:r>
    </w:p>
    <w:p w14:paraId="32843C4F" w14:textId="77777777" w:rsidR="00921636" w:rsidRPr="00921636" w:rsidRDefault="00921636" w:rsidP="00921636">
      <w:pPr>
        <w:spacing w:after="210" w:line="360" w:lineRule="auto"/>
        <w:rPr>
          <w:rFonts w:ascii="Helvetica" w:hAnsi="Helvetica" w:cs="Arial"/>
          <w:b/>
          <w:bCs/>
          <w:sz w:val="20"/>
          <w:szCs w:val="20"/>
        </w:rPr>
      </w:pPr>
      <w:r w:rsidRPr="00921636">
        <w:rPr>
          <w:rFonts w:ascii="Helvetica" w:hAnsi="Helvetica" w:cs="Arial"/>
          <w:b/>
          <w:bCs/>
          <w:sz w:val="20"/>
          <w:szCs w:val="20"/>
        </w:rPr>
        <w:t>Accuracy, Latency, and Governance Constraints</w:t>
      </w:r>
    </w:p>
    <w:p w14:paraId="160A6743" w14:textId="77777777" w:rsidR="00921636" w:rsidRPr="00921636" w:rsidRDefault="00921636" w:rsidP="00921636">
      <w:pPr>
        <w:spacing w:after="210" w:line="360" w:lineRule="auto"/>
        <w:rPr>
          <w:rFonts w:ascii="Helvetica" w:hAnsi="Helvetica" w:cs="Arial"/>
          <w:sz w:val="20"/>
          <w:szCs w:val="20"/>
        </w:rPr>
      </w:pPr>
      <w:r w:rsidRPr="00921636">
        <w:rPr>
          <w:rFonts w:ascii="Helvetica" w:hAnsi="Helvetica" w:cs="Arial"/>
          <w:sz w:val="20"/>
          <w:szCs w:val="20"/>
        </w:rPr>
        <w:t>All optimizations are bounded by task-level accuracy thresholds for legally material clauses and by latency objectives for interactive workflows. Compression, routing, and escalation strategies are applied conservatively to preserve recall and precision on high-risk clauses. Governance requirements further constrain the design space: routing, escalation, and early-exit decisions are logged alongside model versions and execution context, preserving auditability and regulatory compliance.</w:t>
      </w:r>
    </w:p>
    <w:p w14:paraId="28283089" w14:textId="77777777" w:rsidR="00921636" w:rsidRPr="00921636" w:rsidRDefault="00921636" w:rsidP="00921636">
      <w:pPr>
        <w:spacing w:after="210" w:line="360" w:lineRule="auto"/>
        <w:rPr>
          <w:rFonts w:ascii="Helvetica" w:hAnsi="Helvetica" w:cs="Arial"/>
          <w:b/>
          <w:bCs/>
          <w:sz w:val="20"/>
          <w:szCs w:val="20"/>
        </w:rPr>
      </w:pPr>
      <w:r w:rsidRPr="00921636">
        <w:rPr>
          <w:rFonts w:ascii="Helvetica" w:hAnsi="Helvetica" w:cs="Arial"/>
          <w:b/>
          <w:bCs/>
          <w:sz w:val="20"/>
          <w:szCs w:val="20"/>
        </w:rPr>
        <w:t>Trade-offs and Sensitivity</w:t>
      </w:r>
    </w:p>
    <w:p w14:paraId="6AC280B5" w14:textId="16865970" w:rsidR="00921636" w:rsidRPr="00921636" w:rsidRDefault="00921636" w:rsidP="00921636">
      <w:pPr>
        <w:spacing w:after="210" w:line="360" w:lineRule="auto"/>
        <w:rPr>
          <w:rFonts w:ascii="Helvetica" w:hAnsi="Helvetica" w:cs="Arial"/>
          <w:sz w:val="20"/>
          <w:szCs w:val="20"/>
        </w:rPr>
      </w:pPr>
      <w:r w:rsidRPr="00921636">
        <w:rPr>
          <w:rFonts w:ascii="Helvetica" w:hAnsi="Helvetica" w:cs="Arial"/>
          <w:sz w:val="20"/>
          <w:szCs w:val="20"/>
        </w:rPr>
        <w:t>The analysis highlights inherent trade-offs between efficiency and legal risk tolerance. Aggressive routing and compression yield larger reductions in cost and energy but reduce safety margins for rare clauses, while conservative thresholds increase cost but enhance robustness. Sensitivity analysis indicates that </w:t>
      </w:r>
      <w:r w:rsidRPr="00921636">
        <w:rPr>
          <w:rFonts w:ascii="Helvetica" w:hAnsi="Helvetica" w:cs="Arial"/>
          <w:b/>
          <w:bCs/>
          <w:sz w:val="20"/>
          <w:szCs w:val="20"/>
        </w:rPr>
        <w:t>token volume reduction and call-count reduction dominate overall efficiency outcomes</w:t>
      </w:r>
      <w:r w:rsidRPr="00921636">
        <w:rPr>
          <w:rFonts w:ascii="Helvetica" w:hAnsi="Helvetica" w:cs="Arial"/>
          <w:sz w:val="20"/>
          <w:szCs w:val="20"/>
        </w:rPr>
        <w:t>, underscoring the importance of workflow-level controls in addition to model and hardware optimizations.</w:t>
      </w:r>
    </w:p>
    <w:p w14:paraId="42D09491" w14:textId="77777777" w:rsidR="00921636" w:rsidRPr="00921636" w:rsidRDefault="00921636" w:rsidP="00921636">
      <w:pPr>
        <w:spacing w:after="210" w:line="360" w:lineRule="auto"/>
        <w:rPr>
          <w:rFonts w:ascii="Helvetica" w:hAnsi="Helvetica" w:cs="Arial"/>
          <w:b/>
          <w:bCs/>
          <w:sz w:val="20"/>
          <w:szCs w:val="20"/>
        </w:rPr>
      </w:pPr>
      <w:r w:rsidRPr="00921636">
        <w:rPr>
          <w:rFonts w:ascii="Helvetica" w:hAnsi="Helvetica" w:cs="Arial"/>
          <w:b/>
          <w:bCs/>
          <w:sz w:val="20"/>
          <w:szCs w:val="20"/>
        </w:rPr>
        <w:t>V.D. Model-Based Cost and Energy Quantification</w:t>
      </w:r>
    </w:p>
    <w:p w14:paraId="56E05F55" w14:textId="3837822B" w:rsidR="00921636" w:rsidRPr="00921636" w:rsidRDefault="00921636" w:rsidP="00921636">
      <w:pPr>
        <w:spacing w:after="210" w:line="360" w:lineRule="auto"/>
        <w:rPr>
          <w:rFonts w:ascii="Helvetica" w:hAnsi="Helvetica" w:cs="Arial"/>
          <w:sz w:val="20"/>
          <w:szCs w:val="20"/>
        </w:rPr>
      </w:pPr>
      <w:r w:rsidRPr="00921636">
        <w:rPr>
          <w:rFonts w:ascii="Helvetica" w:hAnsi="Helvetica" w:cs="Arial"/>
          <w:sz w:val="20"/>
          <w:szCs w:val="20"/>
        </w:rPr>
        <w:t>This subsection instantiates the analytical framework introduced in Sections III and IV using production-calibrated energy and cost anchors from recent large-scale inference studies. The objective is to quantify </w:t>
      </w:r>
      <w:r w:rsidRPr="00921636">
        <w:rPr>
          <w:rFonts w:ascii="Helvetica" w:hAnsi="Helvetica" w:cs="Arial"/>
          <w:b/>
          <w:bCs/>
          <w:sz w:val="20"/>
          <w:szCs w:val="20"/>
        </w:rPr>
        <w:t>relative differences</w:t>
      </w:r>
      <w:r>
        <w:rPr>
          <w:rFonts w:ascii="Helvetica" w:hAnsi="Helvetica" w:cs="Arial"/>
          <w:b/>
          <w:bCs/>
          <w:sz w:val="20"/>
          <w:szCs w:val="20"/>
        </w:rPr>
        <w:t xml:space="preserve"> </w:t>
      </w:r>
      <w:r w:rsidRPr="00921636">
        <w:rPr>
          <w:rFonts w:ascii="Helvetica" w:hAnsi="Helvetica" w:cs="Arial"/>
          <w:sz w:val="20"/>
          <w:szCs w:val="20"/>
        </w:rPr>
        <w:t>between baseline and optimized architectures under realistic enterprise contract analysis workloads.</w:t>
      </w:r>
    </w:p>
    <w:p w14:paraId="41850331" w14:textId="77777777" w:rsidR="00A272A4" w:rsidRPr="00A272A4" w:rsidRDefault="00A272A4" w:rsidP="00A272A4">
      <w:pPr>
        <w:spacing w:after="210" w:line="360" w:lineRule="auto"/>
        <w:rPr>
          <w:rFonts w:ascii="Helvetica" w:hAnsi="Helvetica" w:cs="Arial"/>
          <w:b/>
          <w:bCs/>
          <w:sz w:val="20"/>
          <w:szCs w:val="20"/>
        </w:rPr>
      </w:pPr>
      <w:r w:rsidRPr="00A272A4">
        <w:rPr>
          <w:rFonts w:ascii="Helvetica" w:hAnsi="Helvetica" w:cs="Arial"/>
          <w:b/>
          <w:bCs/>
          <w:sz w:val="20"/>
          <w:szCs w:val="20"/>
        </w:rPr>
        <w:t>Energy per Query Anchor and Contract-Level Model</w:t>
      </w:r>
    </w:p>
    <w:p w14:paraId="26D83E4D" w14:textId="58A7C5FA" w:rsidR="00A272A4" w:rsidRPr="00A272A4" w:rsidRDefault="00A272A4" w:rsidP="00A272A4">
      <w:pPr>
        <w:spacing w:after="210" w:line="360" w:lineRule="auto"/>
        <w:rPr>
          <w:rFonts w:ascii="Helvetica" w:hAnsi="Helvetica" w:cs="Arial"/>
          <w:sz w:val="20"/>
          <w:szCs w:val="20"/>
        </w:rPr>
      </w:pPr>
      <w:r w:rsidRPr="00A272A4">
        <w:rPr>
          <w:rFonts w:ascii="Helvetica" w:hAnsi="Helvetica" w:cs="Arial"/>
          <w:sz w:val="20"/>
          <w:szCs w:val="20"/>
        </w:rPr>
        <w:t xml:space="preserve">Recent production-calibrated studies of test-time inference energy report that long-context queries consume several watt-hours per inference call, with substantial variability depending on model size, runtime, and hardware configuration. In particular, Microsoft Research reports a median energy of </w:t>
      </w:r>
      <w:r w:rsidRPr="00A272A4">
        <w:rPr>
          <w:rFonts w:ascii="Helvetica" w:hAnsi="Helvetica" w:cs="Arial"/>
          <w:sz w:val="20"/>
          <w:szCs w:val="20"/>
        </w:rPr>
        <w:lastRenderedPageBreak/>
        <w:t>approximately </w:t>
      </w:r>
      <m:oMath>
        <m:sSub>
          <m:sSubPr>
            <m:ctrlPr>
              <w:rPr>
                <w:rFonts w:ascii="Cambria Math" w:hAnsi="Cambria Math" w:cs="Arial"/>
                <w:b/>
                <w:bCs/>
                <w:sz w:val="20"/>
                <w:szCs w:val="20"/>
              </w:rPr>
            </m:ctrlPr>
          </m:sSubPr>
          <m:e>
            <m:r>
              <m:rPr>
                <m:sty m:val="bi"/>
              </m:rPr>
              <w:rPr>
                <w:rFonts w:ascii="Cambria Math" w:hAnsi="Cambria Math" w:cs="Arial"/>
                <w:sz w:val="20"/>
                <w:szCs w:val="20"/>
              </w:rPr>
              <m:t>E</m:t>
            </m:r>
          </m:e>
          <m:sub>
            <m:r>
              <m:rPr>
                <m:nor/>
              </m:rPr>
              <w:rPr>
                <w:rFonts w:ascii="Helvetica" w:hAnsi="Helvetica" w:cs="Arial"/>
                <w:b/>
                <w:bCs/>
                <w:sz w:val="20"/>
                <w:szCs w:val="20"/>
              </w:rPr>
              <m:t>long-query</m:t>
            </m:r>
          </m:sub>
        </m:sSub>
        <m:r>
          <m:rPr>
            <m:sty m:val="bi"/>
          </m:rPr>
          <w:rPr>
            <w:rFonts w:ascii="Cambria Math" w:hAnsi="Cambria Math" w:cs="Arial"/>
            <w:sz w:val="20"/>
            <w:szCs w:val="20"/>
          </w:rPr>
          <m:t>≈4.3</m:t>
        </m:r>
      </m:oMath>
      <w:r w:rsidRPr="000F4232">
        <w:rPr>
          <w:rFonts w:ascii="Helvetica" w:hAnsi="Helvetica" w:cs="Arial"/>
          <w:b/>
          <w:bCs/>
          <w:sz w:val="20"/>
          <w:szCs w:val="20"/>
        </w:rPr>
        <w:t> Wh/query</w:t>
      </w:r>
      <w:r w:rsidRPr="00A272A4">
        <w:rPr>
          <w:rFonts w:ascii="Helvetica" w:hAnsi="Helvetica" w:cs="Arial"/>
          <w:sz w:val="20"/>
          <w:szCs w:val="20"/>
        </w:rPr>
        <w:t xml:space="preserve"> (interquartile range 2.4–7.4 Wh/query) for long-query regimes representative of extended context lengths and multi-step reasoning. Contract analysis pipelines closely resemble this regime due to long document context and structured, multi-pass processing.</w:t>
      </w:r>
    </w:p>
    <w:p w14:paraId="50DADF19" w14:textId="39C12E20" w:rsidR="00A272A4" w:rsidRPr="00A272A4" w:rsidRDefault="00A272A4" w:rsidP="00A272A4">
      <w:pPr>
        <w:spacing w:after="210" w:line="360" w:lineRule="auto"/>
        <w:rPr>
          <w:rFonts w:ascii="Helvetica" w:hAnsi="Helvetica" w:cs="Arial"/>
          <w:sz w:val="20"/>
          <w:szCs w:val="20"/>
        </w:rPr>
      </w:pPr>
      <w:r w:rsidRPr="00A272A4">
        <w:rPr>
          <w:rFonts w:ascii="Helvetica" w:hAnsi="Helvetica" w:cs="Arial"/>
          <w:sz w:val="20"/>
          <w:szCs w:val="20"/>
        </w:rPr>
        <w:t>Let </w:t>
      </w:r>
      <m:oMath>
        <m:sSub>
          <m:sSubPr>
            <m:ctrlPr>
              <w:rPr>
                <w:rFonts w:ascii="Cambria Math" w:hAnsi="Cambria Math" w:cs="Arial"/>
                <w:sz w:val="20"/>
                <w:szCs w:val="20"/>
              </w:rPr>
            </m:ctrlPr>
          </m:sSubPr>
          <m:e>
            <m:r>
              <w:rPr>
                <w:rFonts w:ascii="Cambria Math" w:hAnsi="Cambria Math" w:cs="Arial"/>
                <w:sz w:val="20"/>
                <w:szCs w:val="20"/>
              </w:rPr>
              <m:t>d</m:t>
            </m:r>
          </m:e>
          <m:sub>
            <m:r>
              <w:rPr>
                <w:rFonts w:ascii="Cambria Math" w:hAnsi="Cambria Math" w:cs="Arial"/>
                <w:sz w:val="20"/>
                <w:szCs w:val="20"/>
              </w:rPr>
              <m:t>i</m:t>
            </m:r>
          </m:sub>
        </m:sSub>
      </m:oMath>
      <w:r w:rsidRPr="00A272A4">
        <w:rPr>
          <w:rFonts w:ascii="Helvetica" w:hAnsi="Helvetica" w:cs="Arial"/>
          <w:sz w:val="20"/>
          <w:szCs w:val="20"/>
        </w:rPr>
        <w:t> denote a contract that induces </w:t>
      </w:r>
      <m:oMath>
        <m:sSub>
          <m:sSubPr>
            <m:ctrlPr>
              <w:rPr>
                <w:rFonts w:ascii="Cambria Math" w:hAnsi="Cambria Math" w:cs="Arial"/>
                <w:sz w:val="20"/>
                <w:szCs w:val="20"/>
              </w:rPr>
            </m:ctrlPr>
          </m:sSubPr>
          <m:e>
            <m:r>
              <w:rPr>
                <w:rFonts w:ascii="Cambria Math" w:hAnsi="Cambria Math" w:cs="Arial"/>
                <w:sz w:val="20"/>
                <w:szCs w:val="20"/>
              </w:rPr>
              <m:t>K</m:t>
            </m:r>
          </m:e>
          <m:sub>
            <m:r>
              <w:rPr>
                <w:rFonts w:ascii="Cambria Math" w:hAnsi="Cambria Math" w:cs="Arial"/>
                <w:sz w:val="20"/>
                <w:szCs w:val="20"/>
              </w:rPr>
              <m:t>i</m:t>
            </m:r>
          </m:sub>
        </m:sSub>
      </m:oMath>
      <w:r w:rsidRPr="00A272A4">
        <w:rPr>
          <w:rFonts w:ascii="Helvetica" w:hAnsi="Helvetica" w:cs="Arial"/>
          <w:sz w:val="20"/>
          <w:szCs w:val="20"/>
        </w:rPr>
        <w:t> inference calls across extraction, classification, and downstream analysis stages. Baseline contract-level energy is modeled as:</w:t>
      </w:r>
    </w:p>
    <w:p w14:paraId="77AD94BA" w14:textId="5A3A00D2" w:rsidR="00A272A4" w:rsidRPr="00A272A4" w:rsidRDefault="00000000" w:rsidP="00A272A4">
      <w:pPr>
        <w:spacing w:after="210" w:line="360" w:lineRule="auto"/>
        <w:rPr>
          <w:rFonts w:ascii="Helvetica" w:hAnsi="Helvetica" w:cs="Arial"/>
          <w:sz w:val="20"/>
          <w:szCs w:val="20"/>
        </w:rPr>
      </w:pPr>
      <m:oMathPara>
        <m:oMath>
          <m:sSub>
            <m:sSubPr>
              <m:ctrlPr>
                <w:rPr>
                  <w:rFonts w:ascii="Cambria Math" w:hAnsi="Cambria Math" w:cs="Arial"/>
                  <w:sz w:val="20"/>
                  <w:szCs w:val="20"/>
                </w:rPr>
              </m:ctrlPr>
            </m:sSubPr>
            <m:e>
              <m:r>
                <w:rPr>
                  <w:rFonts w:ascii="Cambria Math" w:hAnsi="Cambria Math" w:cs="Arial"/>
                  <w:sz w:val="20"/>
                  <w:szCs w:val="20"/>
                </w:rPr>
                <m:t>E</m:t>
              </m:r>
            </m:e>
            <m:sub>
              <m:r>
                <m:rPr>
                  <m:nor/>
                </m:rPr>
                <w:rPr>
                  <w:rFonts w:ascii="Helvetica" w:hAnsi="Helvetica" w:cs="Arial"/>
                  <w:sz w:val="20"/>
                  <w:szCs w:val="20"/>
                </w:rPr>
                <m:t>baseline</m:t>
              </m:r>
            </m:sub>
          </m:sSub>
          <m:r>
            <w:rPr>
              <w:rFonts w:ascii="Cambria Math" w:hAnsi="Cambria Math" w:cs="Arial"/>
              <w:sz w:val="20"/>
              <w:szCs w:val="20"/>
            </w:rPr>
            <m:t>(</m:t>
          </m:r>
          <m:sSub>
            <m:sSubPr>
              <m:ctrlPr>
                <w:rPr>
                  <w:rFonts w:ascii="Cambria Math" w:hAnsi="Cambria Math" w:cs="Arial"/>
                  <w:sz w:val="20"/>
                  <w:szCs w:val="20"/>
                </w:rPr>
              </m:ctrlPr>
            </m:sSubPr>
            <m:e>
              <m:r>
                <w:rPr>
                  <w:rFonts w:ascii="Cambria Math" w:hAnsi="Cambria Math" w:cs="Arial"/>
                  <w:sz w:val="20"/>
                  <w:szCs w:val="20"/>
                </w:rPr>
                <m:t>d</m:t>
              </m:r>
            </m:e>
            <m:sub>
              <m:r>
                <w:rPr>
                  <w:rFonts w:ascii="Cambria Math" w:hAnsi="Cambria Math" w:cs="Arial"/>
                  <w:sz w:val="20"/>
                  <w:szCs w:val="20"/>
                </w:rPr>
                <m:t>i</m:t>
              </m:r>
            </m:sub>
          </m:sSub>
          <m:r>
            <w:rPr>
              <w:rFonts w:ascii="Cambria Math" w:hAnsi="Cambria Math" w:cs="Arial"/>
              <w:sz w:val="20"/>
              <w:szCs w:val="20"/>
            </w:rPr>
            <m:t>)≈</m:t>
          </m:r>
          <m:sSub>
            <m:sSubPr>
              <m:ctrlPr>
                <w:rPr>
                  <w:rFonts w:ascii="Cambria Math" w:hAnsi="Cambria Math" w:cs="Arial"/>
                  <w:sz w:val="20"/>
                  <w:szCs w:val="20"/>
                </w:rPr>
              </m:ctrlPr>
            </m:sSubPr>
            <m:e>
              <m:r>
                <w:rPr>
                  <w:rFonts w:ascii="Cambria Math" w:hAnsi="Cambria Math" w:cs="Arial"/>
                  <w:sz w:val="20"/>
                  <w:szCs w:val="20"/>
                </w:rPr>
                <m:t>K</m:t>
              </m:r>
            </m:e>
            <m:sub>
              <m:r>
                <w:rPr>
                  <w:rFonts w:ascii="Cambria Math" w:hAnsi="Cambria Math" w:cs="Arial"/>
                  <w:sz w:val="20"/>
                  <w:szCs w:val="20"/>
                </w:rPr>
                <m:t>i</m:t>
              </m:r>
            </m:sub>
          </m:sSub>
          <m:r>
            <w:rPr>
              <w:rFonts w:ascii="Cambria Math" w:hAnsi="Cambria Math" w:cs="Arial"/>
              <w:sz w:val="20"/>
              <w:szCs w:val="20"/>
            </w:rPr>
            <m:t>⋅</m:t>
          </m:r>
          <m:sSub>
            <m:sSubPr>
              <m:ctrlPr>
                <w:rPr>
                  <w:rFonts w:ascii="Cambria Math" w:hAnsi="Cambria Math" w:cs="Arial"/>
                  <w:sz w:val="20"/>
                  <w:szCs w:val="20"/>
                </w:rPr>
              </m:ctrlPr>
            </m:sSubPr>
            <m:e>
              <m:r>
                <w:rPr>
                  <w:rFonts w:ascii="Cambria Math" w:hAnsi="Cambria Math" w:cs="Arial"/>
                  <w:sz w:val="20"/>
                  <w:szCs w:val="20"/>
                </w:rPr>
                <m:t>E</m:t>
              </m:r>
            </m:e>
            <m:sub>
              <m:r>
                <m:rPr>
                  <m:nor/>
                </m:rPr>
                <w:rPr>
                  <w:rFonts w:ascii="Helvetica" w:hAnsi="Helvetica" w:cs="Arial"/>
                  <w:sz w:val="20"/>
                  <w:szCs w:val="20"/>
                </w:rPr>
                <m:t>long-query</m:t>
              </m:r>
            </m:sub>
          </m:sSub>
          <m:r>
            <m:rPr>
              <m:sty m:val="p"/>
            </m:rPr>
            <w:rPr>
              <w:rFonts w:ascii="Cambria Math" w:hAnsi="Cambria Math" w:cs="Arial"/>
              <w:sz w:val="20"/>
              <w:szCs w:val="20"/>
            </w:rPr>
            <m:t>.</m:t>
          </m:r>
          <m:r>
            <m:rPr>
              <m:sty m:val="p"/>
            </m:rPr>
            <w:rPr>
              <w:rFonts w:ascii="Helvetica" w:hAnsi="Helvetica" w:cs="Arial"/>
              <w:sz w:val="20"/>
              <w:szCs w:val="20"/>
            </w:rPr>
            <w:br/>
          </m:r>
        </m:oMath>
      </m:oMathPara>
    </w:p>
    <w:p w14:paraId="592F8AD2" w14:textId="77777777" w:rsidR="00A272A4" w:rsidRPr="00A272A4" w:rsidRDefault="00A272A4" w:rsidP="00A272A4">
      <w:pPr>
        <w:spacing w:after="210" w:line="360" w:lineRule="auto"/>
        <w:rPr>
          <w:rFonts w:ascii="Helvetica" w:hAnsi="Helvetica" w:cs="Arial"/>
          <w:sz w:val="20"/>
          <w:szCs w:val="20"/>
        </w:rPr>
      </w:pPr>
      <w:r w:rsidRPr="00A272A4">
        <w:rPr>
          <w:rFonts w:ascii="Helvetica" w:hAnsi="Helvetica" w:cs="Arial"/>
          <w:sz w:val="20"/>
          <w:szCs w:val="20"/>
        </w:rPr>
        <w:t>Under the proposed framework, two multiplicative effects reduce total energy consumption:</w:t>
      </w:r>
    </w:p>
    <w:p w14:paraId="0FED7FAC" w14:textId="3BD6D566" w:rsidR="00A272A4" w:rsidRPr="00A272A4" w:rsidRDefault="00A272A4" w:rsidP="00A272A4">
      <w:pPr>
        <w:numPr>
          <w:ilvl w:val="0"/>
          <w:numId w:val="52"/>
        </w:numPr>
        <w:spacing w:after="210" w:line="360" w:lineRule="auto"/>
        <w:rPr>
          <w:rFonts w:ascii="Helvetica" w:hAnsi="Helvetica" w:cs="Arial"/>
          <w:sz w:val="20"/>
          <w:szCs w:val="20"/>
        </w:rPr>
      </w:pPr>
      <w:r w:rsidRPr="00A272A4">
        <w:rPr>
          <w:rFonts w:ascii="Helvetica" w:hAnsi="Helvetica" w:cs="Arial"/>
          <w:b/>
          <w:bCs/>
          <w:sz w:val="20"/>
          <w:szCs w:val="20"/>
        </w:rPr>
        <w:t>Call-count reduction</w:t>
      </w:r>
      <w:r w:rsidRPr="00A272A4">
        <w:rPr>
          <w:rFonts w:ascii="Helvetica" w:hAnsi="Helvetica" w:cs="Arial"/>
          <w:sz w:val="20"/>
          <w:szCs w:val="20"/>
        </w:rPr>
        <w:t> from workflow-level controls (tiered routing, clause-level escalation, deduplication, early exits), captured by </w:t>
      </w:r>
      <m:oMath>
        <m:r>
          <w:rPr>
            <w:rFonts w:ascii="Cambria Math" w:hAnsi="Cambria Math" w:cs="Arial"/>
            <w:sz w:val="20"/>
            <w:szCs w:val="20"/>
          </w:rPr>
          <m:t>γ∈[2,4]</m:t>
        </m:r>
      </m:oMath>
      <w:r w:rsidRPr="00A272A4">
        <w:rPr>
          <w:rFonts w:ascii="Helvetica" w:hAnsi="Helvetica" w:cs="Arial"/>
          <w:sz w:val="20"/>
          <w:szCs w:val="20"/>
        </w:rPr>
        <w:t>.</w:t>
      </w:r>
    </w:p>
    <w:p w14:paraId="254793BF" w14:textId="0A8CD433" w:rsidR="00A272A4" w:rsidRPr="00A272A4" w:rsidRDefault="00A272A4" w:rsidP="00A272A4">
      <w:pPr>
        <w:numPr>
          <w:ilvl w:val="0"/>
          <w:numId w:val="52"/>
        </w:numPr>
        <w:spacing w:after="210" w:line="360" w:lineRule="auto"/>
        <w:rPr>
          <w:rFonts w:ascii="Helvetica" w:hAnsi="Helvetica" w:cs="Arial"/>
          <w:sz w:val="20"/>
          <w:szCs w:val="20"/>
        </w:rPr>
      </w:pPr>
      <w:r w:rsidRPr="00A272A4">
        <w:rPr>
          <w:rFonts w:ascii="Helvetica" w:hAnsi="Helvetica" w:cs="Arial"/>
          <w:b/>
          <w:bCs/>
          <w:sz w:val="20"/>
          <w:szCs w:val="20"/>
        </w:rPr>
        <w:t>Per-call energy reduction</w:t>
      </w:r>
      <w:r w:rsidRPr="00A272A4">
        <w:rPr>
          <w:rFonts w:ascii="Helvetica" w:hAnsi="Helvetica" w:cs="Arial"/>
          <w:sz w:val="20"/>
          <w:szCs w:val="20"/>
        </w:rPr>
        <w:t> from coordinated model-, serving-, and hardware-level optimizations (Layers 1–3), captured by </w:t>
      </w:r>
      <m:oMath>
        <m:r>
          <w:rPr>
            <w:rFonts w:ascii="Cambria Math" w:hAnsi="Cambria Math" w:cs="Arial"/>
            <w:sz w:val="20"/>
            <w:szCs w:val="20"/>
          </w:rPr>
          <m:t>δ∈[8,20]</m:t>
        </m:r>
      </m:oMath>
      <w:r w:rsidRPr="00A272A4">
        <w:rPr>
          <w:rFonts w:ascii="Helvetica" w:hAnsi="Helvetica" w:cs="Arial"/>
          <w:sz w:val="20"/>
          <w:szCs w:val="20"/>
        </w:rPr>
        <w:t>, consistent with reported cross-layer efficiency gains.</w:t>
      </w:r>
    </w:p>
    <w:p w14:paraId="45FBCAF2" w14:textId="77777777" w:rsidR="00A272A4" w:rsidRPr="00A272A4" w:rsidRDefault="00A272A4" w:rsidP="00A272A4">
      <w:pPr>
        <w:spacing w:after="210" w:line="360" w:lineRule="auto"/>
        <w:rPr>
          <w:rFonts w:ascii="Helvetica" w:hAnsi="Helvetica" w:cs="Arial"/>
          <w:sz w:val="20"/>
          <w:szCs w:val="20"/>
        </w:rPr>
      </w:pPr>
      <w:r w:rsidRPr="00A272A4">
        <w:rPr>
          <w:rFonts w:ascii="Helvetica" w:hAnsi="Helvetica" w:cs="Arial"/>
          <w:sz w:val="20"/>
          <w:szCs w:val="20"/>
        </w:rPr>
        <w:t>The optimized contract-level energy is therefore modeled as:</w:t>
      </w:r>
    </w:p>
    <w:p w14:paraId="67A58778" w14:textId="22667B73" w:rsidR="00A272A4" w:rsidRPr="00A272A4" w:rsidRDefault="00000000" w:rsidP="00A272A4">
      <w:pPr>
        <w:spacing w:after="210" w:line="360" w:lineRule="auto"/>
        <w:rPr>
          <w:rFonts w:ascii="Helvetica" w:hAnsi="Helvetica" w:cs="Arial"/>
          <w:sz w:val="20"/>
          <w:szCs w:val="20"/>
        </w:rPr>
      </w:pPr>
      <m:oMathPara>
        <m:oMath>
          <m:sSub>
            <m:sSubPr>
              <m:ctrlPr>
                <w:rPr>
                  <w:rFonts w:ascii="Cambria Math" w:hAnsi="Cambria Math" w:cs="Arial"/>
                  <w:sz w:val="20"/>
                  <w:szCs w:val="20"/>
                </w:rPr>
              </m:ctrlPr>
            </m:sSubPr>
            <m:e>
              <m:r>
                <w:rPr>
                  <w:rFonts w:ascii="Cambria Math" w:hAnsi="Cambria Math" w:cs="Arial"/>
                  <w:sz w:val="20"/>
                  <w:szCs w:val="20"/>
                </w:rPr>
                <m:t>E</m:t>
              </m:r>
            </m:e>
            <m:sub>
              <m:r>
                <m:rPr>
                  <m:nor/>
                </m:rPr>
                <w:rPr>
                  <w:rFonts w:ascii="Helvetica" w:hAnsi="Helvetica" w:cs="Arial"/>
                  <w:sz w:val="20"/>
                  <w:szCs w:val="20"/>
                </w:rPr>
                <m:t>opt</m:t>
              </m:r>
            </m:sub>
          </m:sSub>
          <m:r>
            <w:rPr>
              <w:rFonts w:ascii="Cambria Math" w:hAnsi="Cambria Math" w:cs="Arial"/>
              <w:sz w:val="20"/>
              <w:szCs w:val="20"/>
            </w:rPr>
            <m:t>(</m:t>
          </m:r>
          <m:sSub>
            <m:sSubPr>
              <m:ctrlPr>
                <w:rPr>
                  <w:rFonts w:ascii="Cambria Math" w:hAnsi="Cambria Math" w:cs="Arial"/>
                  <w:sz w:val="20"/>
                  <w:szCs w:val="20"/>
                </w:rPr>
              </m:ctrlPr>
            </m:sSubPr>
            <m:e>
              <m:r>
                <w:rPr>
                  <w:rFonts w:ascii="Cambria Math" w:hAnsi="Cambria Math" w:cs="Arial"/>
                  <w:sz w:val="20"/>
                  <w:szCs w:val="20"/>
                </w:rPr>
                <m:t>d</m:t>
              </m:r>
            </m:e>
            <m:sub>
              <m:r>
                <w:rPr>
                  <w:rFonts w:ascii="Cambria Math" w:hAnsi="Cambria Math" w:cs="Arial"/>
                  <w:sz w:val="20"/>
                  <w:szCs w:val="20"/>
                </w:rPr>
                <m:t>i</m:t>
              </m:r>
            </m:sub>
          </m:sSub>
          <m:r>
            <w:rPr>
              <w:rFonts w:ascii="Cambria Math" w:hAnsi="Cambria Math" w:cs="Arial"/>
              <w:sz w:val="20"/>
              <w:szCs w:val="20"/>
            </w:rPr>
            <m:t>)≈</m:t>
          </m:r>
          <m:f>
            <m:fPr>
              <m:ctrlPr>
                <w:rPr>
                  <w:rFonts w:ascii="Cambria Math" w:hAnsi="Cambria Math" w:cs="Arial"/>
                  <w:sz w:val="20"/>
                  <w:szCs w:val="20"/>
                </w:rPr>
              </m:ctrlPr>
            </m:fPr>
            <m:num>
              <m:sSub>
                <m:sSubPr>
                  <m:ctrlPr>
                    <w:rPr>
                      <w:rFonts w:ascii="Cambria Math" w:hAnsi="Cambria Math" w:cs="Arial"/>
                      <w:sz w:val="20"/>
                      <w:szCs w:val="20"/>
                    </w:rPr>
                  </m:ctrlPr>
                </m:sSubPr>
                <m:e>
                  <m:r>
                    <w:rPr>
                      <w:rFonts w:ascii="Cambria Math" w:hAnsi="Cambria Math" w:cs="Arial"/>
                      <w:sz w:val="20"/>
                      <w:szCs w:val="20"/>
                    </w:rPr>
                    <m:t>K</m:t>
                  </m:r>
                </m:e>
                <m:sub>
                  <m:r>
                    <w:rPr>
                      <w:rFonts w:ascii="Cambria Math" w:hAnsi="Cambria Math" w:cs="Arial"/>
                      <w:sz w:val="20"/>
                      <w:szCs w:val="20"/>
                    </w:rPr>
                    <m:t>i</m:t>
                  </m:r>
                </m:sub>
              </m:sSub>
            </m:num>
            <m:den>
              <m:r>
                <w:rPr>
                  <w:rFonts w:ascii="Cambria Math" w:hAnsi="Cambria Math" w:cs="Arial"/>
                  <w:sz w:val="20"/>
                  <w:szCs w:val="20"/>
                </w:rPr>
                <m:t>γ</m:t>
              </m:r>
            </m:den>
          </m:f>
          <m:r>
            <w:rPr>
              <w:rFonts w:ascii="Cambria Math" w:hAnsi="Cambria Math" w:cs="Arial"/>
              <w:sz w:val="20"/>
              <w:szCs w:val="20"/>
            </w:rPr>
            <m:t>⋅</m:t>
          </m:r>
          <m:f>
            <m:fPr>
              <m:ctrlPr>
                <w:rPr>
                  <w:rFonts w:ascii="Cambria Math" w:hAnsi="Cambria Math" w:cs="Arial"/>
                  <w:sz w:val="20"/>
                  <w:szCs w:val="20"/>
                </w:rPr>
              </m:ctrlPr>
            </m:fPr>
            <m:num>
              <m:sSub>
                <m:sSubPr>
                  <m:ctrlPr>
                    <w:rPr>
                      <w:rFonts w:ascii="Cambria Math" w:hAnsi="Cambria Math" w:cs="Arial"/>
                      <w:sz w:val="20"/>
                      <w:szCs w:val="20"/>
                    </w:rPr>
                  </m:ctrlPr>
                </m:sSubPr>
                <m:e>
                  <m:r>
                    <w:rPr>
                      <w:rFonts w:ascii="Cambria Math" w:hAnsi="Cambria Math" w:cs="Arial"/>
                      <w:sz w:val="20"/>
                      <w:szCs w:val="20"/>
                    </w:rPr>
                    <m:t>E</m:t>
                  </m:r>
                </m:e>
                <m:sub>
                  <m:r>
                    <m:rPr>
                      <m:nor/>
                    </m:rPr>
                    <w:rPr>
                      <w:rFonts w:ascii="Helvetica" w:hAnsi="Helvetica" w:cs="Arial"/>
                      <w:sz w:val="20"/>
                      <w:szCs w:val="20"/>
                    </w:rPr>
                    <m:t>long-query</m:t>
                  </m:r>
                </m:sub>
              </m:sSub>
            </m:num>
            <m:den>
              <m:r>
                <w:rPr>
                  <w:rFonts w:ascii="Cambria Math" w:hAnsi="Cambria Math" w:cs="Arial"/>
                  <w:sz w:val="20"/>
                  <w:szCs w:val="20"/>
                </w:rPr>
                <m:t>δ</m:t>
              </m:r>
            </m:den>
          </m:f>
          <m:r>
            <m:rPr>
              <m:sty m:val="p"/>
            </m:rPr>
            <w:rPr>
              <w:rFonts w:ascii="Cambria Math" w:hAnsi="Cambria Math" w:cs="Arial"/>
              <w:sz w:val="20"/>
              <w:szCs w:val="20"/>
            </w:rPr>
            <m:t>.</m:t>
          </m:r>
          <m:r>
            <m:rPr>
              <m:sty m:val="p"/>
            </m:rPr>
            <w:rPr>
              <w:rFonts w:ascii="Helvetica" w:hAnsi="Helvetica" w:cs="Arial"/>
              <w:sz w:val="20"/>
              <w:szCs w:val="20"/>
            </w:rPr>
            <w:br/>
          </m:r>
        </m:oMath>
      </m:oMathPara>
    </w:p>
    <w:p w14:paraId="544AF377" w14:textId="77777777" w:rsidR="00A272A4" w:rsidRPr="00A272A4" w:rsidRDefault="00A272A4" w:rsidP="00A272A4">
      <w:pPr>
        <w:spacing w:after="210" w:line="360" w:lineRule="auto"/>
        <w:rPr>
          <w:rFonts w:ascii="Helvetica" w:hAnsi="Helvetica" w:cs="Arial"/>
          <w:b/>
          <w:bCs/>
          <w:sz w:val="20"/>
          <w:szCs w:val="20"/>
        </w:rPr>
      </w:pPr>
      <w:r w:rsidRPr="00A272A4">
        <w:rPr>
          <w:rFonts w:ascii="Helvetica" w:hAnsi="Helvetica" w:cs="Arial"/>
          <w:b/>
          <w:bCs/>
          <w:sz w:val="20"/>
          <w:szCs w:val="20"/>
        </w:rPr>
        <w:t>Modeled Contract Review Scenarios</w:t>
      </w:r>
    </w:p>
    <w:p w14:paraId="5A6AF325" w14:textId="77777777" w:rsidR="00A272A4" w:rsidRPr="00A272A4" w:rsidRDefault="00A272A4" w:rsidP="00A272A4">
      <w:pPr>
        <w:spacing w:after="210" w:line="360" w:lineRule="auto"/>
        <w:rPr>
          <w:rFonts w:ascii="Helvetica" w:hAnsi="Helvetica" w:cs="Arial"/>
          <w:sz w:val="20"/>
          <w:szCs w:val="20"/>
        </w:rPr>
      </w:pPr>
      <w:r w:rsidRPr="00A272A4">
        <w:rPr>
          <w:rFonts w:ascii="Helvetica" w:hAnsi="Helvetica" w:cs="Arial"/>
          <w:sz w:val="20"/>
          <w:szCs w:val="20"/>
        </w:rPr>
        <w:t>To illustrate implications for enterprise CLM workloads, we consider two representative scenarios.</w:t>
      </w:r>
    </w:p>
    <w:p w14:paraId="53FEC741" w14:textId="25816D36" w:rsidR="00A272A4" w:rsidRPr="00A272A4" w:rsidRDefault="00A272A4" w:rsidP="00A272A4">
      <w:pPr>
        <w:spacing w:after="210" w:line="360" w:lineRule="auto"/>
        <w:rPr>
          <w:rFonts w:ascii="Helvetica" w:hAnsi="Helvetica" w:cs="Arial"/>
          <w:sz w:val="20"/>
          <w:szCs w:val="20"/>
        </w:rPr>
      </w:pPr>
      <w:r w:rsidRPr="00A272A4">
        <w:rPr>
          <w:rFonts w:ascii="Helvetica" w:hAnsi="Helvetica" w:cs="Arial"/>
          <w:b/>
          <w:bCs/>
          <w:sz w:val="20"/>
          <w:szCs w:val="20"/>
        </w:rPr>
        <w:t>Scenario S1 (Templated Agreements).</w:t>
      </w:r>
      <w:r w:rsidRPr="00A272A4">
        <w:rPr>
          <w:rFonts w:ascii="Helvetica" w:hAnsi="Helvetica" w:cs="Arial"/>
          <w:sz w:val="20"/>
          <w:szCs w:val="20"/>
        </w:rPr>
        <w:t> Standardized NDAs and vendor addenda with high structural regularity. Contracts are assumed to require two inference passes (</w:t>
      </w:r>
      <m:oMath>
        <m:sSub>
          <m:sSubPr>
            <m:ctrlPr>
              <w:rPr>
                <w:rFonts w:ascii="Cambria Math" w:hAnsi="Cambria Math" w:cs="Arial"/>
                <w:sz w:val="20"/>
                <w:szCs w:val="20"/>
              </w:rPr>
            </m:ctrlPr>
          </m:sSubPr>
          <m:e>
            <m:r>
              <w:rPr>
                <w:rFonts w:ascii="Cambria Math" w:hAnsi="Cambria Math" w:cs="Arial"/>
                <w:sz w:val="20"/>
                <w:szCs w:val="20"/>
              </w:rPr>
              <m:t>K</m:t>
            </m:r>
          </m:e>
          <m:sub>
            <m:r>
              <w:rPr>
                <w:rFonts w:ascii="Cambria Math" w:hAnsi="Cambria Math" w:cs="Arial"/>
                <w:sz w:val="20"/>
                <w:szCs w:val="20"/>
              </w:rPr>
              <m:t>i</m:t>
            </m:r>
          </m:sub>
        </m:sSub>
        <m:r>
          <w:rPr>
            <w:rFonts w:ascii="Cambria Math" w:hAnsi="Cambria Math" w:cs="Arial"/>
            <w:sz w:val="20"/>
            <w:szCs w:val="20"/>
          </w:rPr>
          <m:t>=2</m:t>
        </m:r>
      </m:oMath>
      <w:r w:rsidRPr="00A272A4">
        <w:rPr>
          <w:rFonts w:ascii="Helvetica" w:hAnsi="Helvetica" w:cs="Arial"/>
          <w:sz w:val="20"/>
          <w:szCs w:val="20"/>
        </w:rPr>
        <w:t>), corresponding to extraction and lightweight risk validation.</w:t>
      </w:r>
    </w:p>
    <w:p w14:paraId="702EE945" w14:textId="73BA3E85" w:rsidR="00A272A4" w:rsidRPr="00A272A4" w:rsidRDefault="00A272A4" w:rsidP="00A272A4">
      <w:pPr>
        <w:spacing w:after="210" w:line="360" w:lineRule="auto"/>
        <w:rPr>
          <w:rFonts w:ascii="Helvetica" w:hAnsi="Helvetica" w:cs="Arial"/>
          <w:sz w:val="20"/>
          <w:szCs w:val="20"/>
        </w:rPr>
      </w:pPr>
      <w:r w:rsidRPr="00A272A4">
        <w:rPr>
          <w:rFonts w:ascii="Helvetica" w:hAnsi="Helvetica" w:cs="Arial"/>
          <w:b/>
          <w:bCs/>
          <w:sz w:val="20"/>
          <w:szCs w:val="20"/>
        </w:rPr>
        <w:t>Scenario S2 (Complex Agreements).</w:t>
      </w:r>
      <w:r w:rsidRPr="00A272A4">
        <w:rPr>
          <w:rFonts w:ascii="Helvetica" w:hAnsi="Helvetica" w:cs="Arial"/>
          <w:sz w:val="20"/>
          <w:szCs w:val="20"/>
        </w:rPr>
        <w:t> Longer, higher-risk MSAs and DPAs requiring deeper analysis. Contracts are assumed to trigger three inference passes (</w:t>
      </w:r>
      <m:oMath>
        <m:sSub>
          <m:sSubPr>
            <m:ctrlPr>
              <w:rPr>
                <w:rFonts w:ascii="Cambria Math" w:hAnsi="Cambria Math" w:cs="Arial"/>
                <w:sz w:val="20"/>
                <w:szCs w:val="20"/>
              </w:rPr>
            </m:ctrlPr>
          </m:sSubPr>
          <m:e>
            <m:r>
              <w:rPr>
                <w:rFonts w:ascii="Cambria Math" w:hAnsi="Cambria Math" w:cs="Arial"/>
                <w:sz w:val="20"/>
                <w:szCs w:val="20"/>
              </w:rPr>
              <m:t>K</m:t>
            </m:r>
          </m:e>
          <m:sub>
            <m:r>
              <w:rPr>
                <w:rFonts w:ascii="Cambria Math" w:hAnsi="Cambria Math" w:cs="Arial"/>
                <w:sz w:val="20"/>
                <w:szCs w:val="20"/>
              </w:rPr>
              <m:t>i</m:t>
            </m:r>
          </m:sub>
        </m:sSub>
        <m:r>
          <w:rPr>
            <w:rFonts w:ascii="Cambria Math" w:hAnsi="Cambria Math" w:cs="Arial"/>
            <w:sz w:val="20"/>
            <w:szCs w:val="20"/>
          </w:rPr>
          <m:t>=3</m:t>
        </m:r>
      </m:oMath>
      <w:r w:rsidRPr="00A272A4">
        <w:rPr>
          <w:rFonts w:ascii="Helvetica" w:hAnsi="Helvetica" w:cs="Arial"/>
          <w:sz w:val="20"/>
          <w:szCs w:val="20"/>
        </w:rPr>
        <w:t>), including extraction, deviation detection, and downstream summarization or recommendation.</w:t>
      </w:r>
    </w:p>
    <w:p w14:paraId="52B7E20B" w14:textId="77777777" w:rsidR="00A272A4" w:rsidRPr="00A272A4" w:rsidRDefault="00A272A4" w:rsidP="00A272A4">
      <w:pPr>
        <w:spacing w:after="210" w:line="360" w:lineRule="auto"/>
        <w:rPr>
          <w:rFonts w:ascii="Helvetica" w:hAnsi="Helvetica" w:cs="Arial"/>
          <w:b/>
          <w:bCs/>
          <w:sz w:val="20"/>
          <w:szCs w:val="20"/>
        </w:rPr>
      </w:pPr>
      <w:r w:rsidRPr="00A272A4">
        <w:rPr>
          <w:rFonts w:ascii="Helvetica" w:hAnsi="Helvetica" w:cs="Arial"/>
          <w:b/>
          <w:bCs/>
          <w:sz w:val="20"/>
          <w:szCs w:val="20"/>
        </w:rPr>
        <w:t>Modeled Energy and Cost Outcomes</w:t>
      </w:r>
    </w:p>
    <w:p w14:paraId="7367A213" w14:textId="0161BBCC" w:rsidR="00A272A4" w:rsidRPr="00A272A4" w:rsidRDefault="00A272A4" w:rsidP="00A272A4">
      <w:pPr>
        <w:spacing w:after="210" w:line="360" w:lineRule="auto"/>
        <w:rPr>
          <w:rFonts w:ascii="Helvetica" w:hAnsi="Helvetica" w:cs="Arial"/>
          <w:sz w:val="20"/>
          <w:szCs w:val="20"/>
        </w:rPr>
      </w:pPr>
      <w:r w:rsidRPr="00A272A4">
        <w:rPr>
          <w:rFonts w:ascii="Helvetica" w:hAnsi="Helvetica" w:cs="Arial"/>
          <w:sz w:val="20"/>
          <w:szCs w:val="20"/>
        </w:rPr>
        <w:t>Table I summarizes modeled baseline and optimized energy consumption per contract. Baseline values are computed from the long-query median energy anchor, while optimized values apply conservative ranges for </w:t>
      </w:r>
      <m:oMath>
        <m:r>
          <w:rPr>
            <w:rFonts w:ascii="Cambria Math" w:hAnsi="Cambria Math" w:cs="Arial"/>
            <w:sz w:val="20"/>
            <w:szCs w:val="20"/>
          </w:rPr>
          <m:t>γ</m:t>
        </m:r>
      </m:oMath>
      <w:r w:rsidRPr="00A272A4">
        <w:rPr>
          <w:rFonts w:ascii="Helvetica" w:hAnsi="Helvetica" w:cs="Arial"/>
          <w:sz w:val="20"/>
          <w:szCs w:val="20"/>
        </w:rPr>
        <w:t> and </w:t>
      </w:r>
      <m:oMath>
        <m:r>
          <w:rPr>
            <w:rFonts w:ascii="Cambria Math" w:hAnsi="Cambria Math" w:cs="Arial"/>
            <w:sz w:val="20"/>
            <w:szCs w:val="20"/>
          </w:rPr>
          <m:t>δ</m:t>
        </m:r>
      </m:oMath>
      <w:r w:rsidRPr="00A272A4">
        <w:rPr>
          <w:rFonts w:ascii="Helvetica" w:hAnsi="Helvetica" w:cs="Arial"/>
          <w:sz w:val="20"/>
          <w:szCs w:val="20"/>
        </w:rPr>
        <w:t>.</w:t>
      </w:r>
    </w:p>
    <w:p w14:paraId="69C1AA30" w14:textId="77777777" w:rsidR="00A272A4" w:rsidRPr="00A272A4" w:rsidRDefault="00A272A4" w:rsidP="00A272A4">
      <w:pPr>
        <w:spacing w:after="210" w:line="360" w:lineRule="auto"/>
        <w:rPr>
          <w:rFonts w:ascii="Helvetica" w:hAnsi="Helvetica" w:cs="Arial"/>
          <w:sz w:val="20"/>
          <w:szCs w:val="20"/>
        </w:rPr>
      </w:pPr>
      <w:r w:rsidRPr="00A272A4">
        <w:rPr>
          <w:rFonts w:ascii="Helvetica" w:hAnsi="Helvetica" w:cs="Arial"/>
          <w:b/>
          <w:bCs/>
          <w:sz w:val="20"/>
          <w:szCs w:val="20"/>
        </w:rPr>
        <w:lastRenderedPageBreak/>
        <w:t>Table I — Modeled Energy Consumption per Contract</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30"/>
        <w:gridCol w:w="266"/>
        <w:gridCol w:w="2981"/>
        <w:gridCol w:w="3125"/>
        <w:gridCol w:w="1063"/>
      </w:tblGrid>
      <w:tr w:rsidR="00A272A4" w:rsidRPr="00A272A4" w14:paraId="3BA52381" w14:textId="77777777" w:rsidTr="000F4232">
        <w:trPr>
          <w:tblHeader/>
          <w:tblCellSpacing w:w="15" w:type="dxa"/>
        </w:trPr>
        <w:tc>
          <w:tcPr>
            <w:tcW w:w="0" w:type="auto"/>
            <w:vAlign w:val="center"/>
            <w:hideMark/>
          </w:tcPr>
          <w:p w14:paraId="45AAD3DF" w14:textId="77777777" w:rsidR="00A272A4" w:rsidRPr="00A272A4" w:rsidRDefault="00A272A4" w:rsidP="00A272A4">
            <w:pPr>
              <w:spacing w:after="210" w:line="360" w:lineRule="auto"/>
              <w:rPr>
                <w:rFonts w:ascii="Helvetica" w:hAnsi="Helvetica" w:cs="Arial"/>
                <w:b/>
                <w:bCs/>
                <w:sz w:val="20"/>
                <w:szCs w:val="20"/>
              </w:rPr>
            </w:pPr>
            <w:r w:rsidRPr="00A272A4">
              <w:rPr>
                <w:rFonts w:ascii="Helvetica" w:hAnsi="Helvetica" w:cs="Arial"/>
                <w:b/>
                <w:bCs/>
                <w:sz w:val="20"/>
                <w:szCs w:val="20"/>
              </w:rPr>
              <w:t>Contract Type</w:t>
            </w:r>
          </w:p>
        </w:tc>
        <w:tc>
          <w:tcPr>
            <w:tcW w:w="0" w:type="auto"/>
            <w:vAlign w:val="center"/>
            <w:hideMark/>
          </w:tcPr>
          <w:p w14:paraId="458EE316" w14:textId="68516EB2" w:rsidR="00A272A4" w:rsidRPr="00A272A4" w:rsidRDefault="00000000" w:rsidP="00A272A4">
            <w:pPr>
              <w:spacing w:after="210" w:line="360" w:lineRule="auto"/>
              <w:rPr>
                <w:rFonts w:ascii="Helvetica" w:hAnsi="Helvetica" w:cs="Arial"/>
                <w:b/>
                <w:bCs/>
                <w:sz w:val="20"/>
                <w:szCs w:val="20"/>
              </w:rPr>
            </w:pPr>
            <m:oMathPara>
              <m:oMath>
                <m:sSub>
                  <m:sSubPr>
                    <m:ctrlPr>
                      <w:rPr>
                        <w:rFonts w:ascii="Cambria Math" w:hAnsi="Cambria Math" w:cs="Arial"/>
                        <w:sz w:val="20"/>
                        <w:szCs w:val="20"/>
                      </w:rPr>
                    </m:ctrlPr>
                  </m:sSubPr>
                  <m:e>
                    <m:r>
                      <w:rPr>
                        <w:rFonts w:ascii="Cambria Math" w:hAnsi="Cambria Math" w:cs="Arial"/>
                        <w:sz w:val="20"/>
                        <w:szCs w:val="20"/>
                      </w:rPr>
                      <m:t>K</m:t>
                    </m:r>
                  </m:e>
                  <m:sub>
                    <m:r>
                      <w:rPr>
                        <w:rFonts w:ascii="Cambria Math" w:hAnsi="Cambria Math" w:cs="Arial"/>
                        <w:sz w:val="20"/>
                        <w:szCs w:val="20"/>
                      </w:rPr>
                      <m:t>i</m:t>
                    </m:r>
                  </m:sub>
                </m:sSub>
              </m:oMath>
            </m:oMathPara>
          </w:p>
        </w:tc>
        <w:tc>
          <w:tcPr>
            <w:tcW w:w="0" w:type="auto"/>
            <w:vAlign w:val="center"/>
            <w:hideMark/>
          </w:tcPr>
          <w:p w14:paraId="15AA8B00" w14:textId="77777777" w:rsidR="00A272A4" w:rsidRPr="00A272A4" w:rsidRDefault="00A272A4" w:rsidP="00A272A4">
            <w:pPr>
              <w:spacing w:after="210" w:line="360" w:lineRule="auto"/>
              <w:rPr>
                <w:rFonts w:ascii="Helvetica" w:hAnsi="Helvetica" w:cs="Arial"/>
                <w:b/>
                <w:bCs/>
                <w:sz w:val="20"/>
                <w:szCs w:val="20"/>
              </w:rPr>
            </w:pPr>
            <w:r w:rsidRPr="00A272A4">
              <w:rPr>
                <w:rFonts w:ascii="Helvetica" w:hAnsi="Helvetica" w:cs="Arial"/>
                <w:b/>
                <w:bCs/>
                <w:sz w:val="20"/>
                <w:szCs w:val="20"/>
              </w:rPr>
              <w:t>Baseline Energy (Wh/contract)</w:t>
            </w:r>
          </w:p>
        </w:tc>
        <w:tc>
          <w:tcPr>
            <w:tcW w:w="0" w:type="auto"/>
            <w:vAlign w:val="center"/>
            <w:hideMark/>
          </w:tcPr>
          <w:p w14:paraId="4AA347D4" w14:textId="77777777" w:rsidR="00A272A4" w:rsidRPr="00A272A4" w:rsidRDefault="00A272A4" w:rsidP="00A272A4">
            <w:pPr>
              <w:spacing w:after="210" w:line="360" w:lineRule="auto"/>
              <w:rPr>
                <w:rFonts w:ascii="Helvetica" w:hAnsi="Helvetica" w:cs="Arial"/>
                <w:b/>
                <w:bCs/>
                <w:sz w:val="20"/>
                <w:szCs w:val="20"/>
              </w:rPr>
            </w:pPr>
            <w:r w:rsidRPr="00A272A4">
              <w:rPr>
                <w:rFonts w:ascii="Helvetica" w:hAnsi="Helvetica" w:cs="Arial"/>
                <w:b/>
                <w:bCs/>
                <w:sz w:val="20"/>
                <w:szCs w:val="20"/>
              </w:rPr>
              <w:t>Optimized Energy (Wh/contract)</w:t>
            </w:r>
          </w:p>
        </w:tc>
        <w:tc>
          <w:tcPr>
            <w:tcW w:w="0" w:type="auto"/>
            <w:vAlign w:val="center"/>
            <w:hideMark/>
          </w:tcPr>
          <w:p w14:paraId="75077F22" w14:textId="77777777" w:rsidR="00A272A4" w:rsidRPr="00A272A4" w:rsidRDefault="00A272A4" w:rsidP="00A272A4">
            <w:pPr>
              <w:spacing w:after="210" w:line="360" w:lineRule="auto"/>
              <w:rPr>
                <w:rFonts w:ascii="Helvetica" w:hAnsi="Helvetica" w:cs="Arial"/>
                <w:b/>
                <w:bCs/>
                <w:sz w:val="20"/>
                <w:szCs w:val="20"/>
              </w:rPr>
            </w:pPr>
            <w:r w:rsidRPr="00A272A4">
              <w:rPr>
                <w:rFonts w:ascii="Helvetica" w:hAnsi="Helvetica" w:cs="Arial"/>
                <w:b/>
                <w:bCs/>
                <w:sz w:val="20"/>
                <w:szCs w:val="20"/>
              </w:rPr>
              <w:t>Reduction</w:t>
            </w:r>
          </w:p>
        </w:tc>
      </w:tr>
      <w:tr w:rsidR="00A272A4" w:rsidRPr="00A272A4" w14:paraId="031A4789" w14:textId="77777777" w:rsidTr="000F4232">
        <w:trPr>
          <w:tblCellSpacing w:w="15" w:type="dxa"/>
        </w:trPr>
        <w:tc>
          <w:tcPr>
            <w:tcW w:w="0" w:type="auto"/>
            <w:vAlign w:val="center"/>
            <w:hideMark/>
          </w:tcPr>
          <w:p w14:paraId="494FD1C5" w14:textId="77777777" w:rsidR="00A272A4" w:rsidRPr="00A272A4" w:rsidRDefault="00A272A4" w:rsidP="00A272A4">
            <w:pPr>
              <w:spacing w:after="210" w:line="360" w:lineRule="auto"/>
              <w:rPr>
                <w:rFonts w:ascii="Helvetica" w:hAnsi="Helvetica" w:cs="Arial"/>
                <w:sz w:val="20"/>
                <w:szCs w:val="20"/>
              </w:rPr>
            </w:pPr>
            <w:r w:rsidRPr="00A272A4">
              <w:rPr>
                <w:rFonts w:ascii="Helvetica" w:hAnsi="Helvetica" w:cs="Arial"/>
                <w:sz w:val="20"/>
                <w:szCs w:val="20"/>
              </w:rPr>
              <w:t>NDA (S1)</w:t>
            </w:r>
          </w:p>
        </w:tc>
        <w:tc>
          <w:tcPr>
            <w:tcW w:w="0" w:type="auto"/>
            <w:vAlign w:val="center"/>
            <w:hideMark/>
          </w:tcPr>
          <w:p w14:paraId="162F5E77" w14:textId="77777777" w:rsidR="00A272A4" w:rsidRPr="00A272A4" w:rsidRDefault="00A272A4" w:rsidP="00A272A4">
            <w:pPr>
              <w:spacing w:after="210" w:line="360" w:lineRule="auto"/>
              <w:rPr>
                <w:rFonts w:ascii="Helvetica" w:hAnsi="Helvetica" w:cs="Arial"/>
                <w:sz w:val="20"/>
                <w:szCs w:val="20"/>
              </w:rPr>
            </w:pPr>
            <w:r w:rsidRPr="00A272A4">
              <w:rPr>
                <w:rFonts w:ascii="Helvetica" w:hAnsi="Helvetica" w:cs="Arial"/>
                <w:sz w:val="20"/>
                <w:szCs w:val="20"/>
              </w:rPr>
              <w:t>2</w:t>
            </w:r>
          </w:p>
        </w:tc>
        <w:tc>
          <w:tcPr>
            <w:tcW w:w="0" w:type="auto"/>
            <w:vAlign w:val="center"/>
            <w:hideMark/>
          </w:tcPr>
          <w:p w14:paraId="3247C449" w14:textId="77777777" w:rsidR="00A272A4" w:rsidRPr="00A272A4" w:rsidRDefault="00A272A4" w:rsidP="00A272A4">
            <w:pPr>
              <w:spacing w:after="210" w:line="360" w:lineRule="auto"/>
              <w:rPr>
                <w:rFonts w:ascii="Helvetica" w:hAnsi="Helvetica" w:cs="Arial"/>
                <w:sz w:val="20"/>
                <w:szCs w:val="20"/>
              </w:rPr>
            </w:pPr>
            <w:r w:rsidRPr="00A272A4">
              <w:rPr>
                <w:rFonts w:ascii="Helvetica" w:hAnsi="Helvetica" w:cs="Arial"/>
                <w:sz w:val="20"/>
                <w:szCs w:val="20"/>
              </w:rPr>
              <w:t>≈ 8.6</w:t>
            </w:r>
          </w:p>
        </w:tc>
        <w:tc>
          <w:tcPr>
            <w:tcW w:w="0" w:type="auto"/>
            <w:vAlign w:val="center"/>
            <w:hideMark/>
          </w:tcPr>
          <w:p w14:paraId="0642022F" w14:textId="77777777" w:rsidR="00A272A4" w:rsidRPr="00A272A4" w:rsidRDefault="00A272A4" w:rsidP="00A272A4">
            <w:pPr>
              <w:spacing w:after="210" w:line="360" w:lineRule="auto"/>
              <w:rPr>
                <w:rFonts w:ascii="Helvetica" w:hAnsi="Helvetica" w:cs="Arial"/>
                <w:sz w:val="20"/>
                <w:szCs w:val="20"/>
              </w:rPr>
            </w:pPr>
            <w:r w:rsidRPr="00A272A4">
              <w:rPr>
                <w:rFonts w:ascii="Helvetica" w:hAnsi="Helvetica" w:cs="Arial"/>
                <w:sz w:val="20"/>
                <w:szCs w:val="20"/>
              </w:rPr>
              <w:t>≈ 0.3–0.7</w:t>
            </w:r>
          </w:p>
        </w:tc>
        <w:tc>
          <w:tcPr>
            <w:tcW w:w="0" w:type="auto"/>
            <w:vAlign w:val="center"/>
            <w:hideMark/>
          </w:tcPr>
          <w:p w14:paraId="2D5A7A80" w14:textId="77777777" w:rsidR="00A272A4" w:rsidRPr="00A272A4" w:rsidRDefault="00A272A4" w:rsidP="00A272A4">
            <w:pPr>
              <w:spacing w:after="210" w:line="360" w:lineRule="auto"/>
              <w:rPr>
                <w:rFonts w:ascii="Helvetica" w:hAnsi="Helvetica" w:cs="Arial"/>
                <w:sz w:val="20"/>
                <w:szCs w:val="20"/>
              </w:rPr>
            </w:pPr>
            <w:r w:rsidRPr="00A272A4">
              <w:rPr>
                <w:rFonts w:ascii="Helvetica" w:hAnsi="Helvetica" w:cs="Arial"/>
                <w:sz w:val="20"/>
                <w:szCs w:val="20"/>
              </w:rPr>
              <w:t>≈ 12–25×</w:t>
            </w:r>
          </w:p>
        </w:tc>
      </w:tr>
      <w:tr w:rsidR="00A272A4" w:rsidRPr="00A272A4" w14:paraId="6D2B5238" w14:textId="77777777" w:rsidTr="000F4232">
        <w:trPr>
          <w:tblCellSpacing w:w="15" w:type="dxa"/>
        </w:trPr>
        <w:tc>
          <w:tcPr>
            <w:tcW w:w="0" w:type="auto"/>
            <w:vAlign w:val="center"/>
            <w:hideMark/>
          </w:tcPr>
          <w:p w14:paraId="22370DBE" w14:textId="77777777" w:rsidR="00A272A4" w:rsidRPr="00A272A4" w:rsidRDefault="00A272A4" w:rsidP="00A272A4">
            <w:pPr>
              <w:spacing w:after="210" w:line="360" w:lineRule="auto"/>
              <w:rPr>
                <w:rFonts w:ascii="Helvetica" w:hAnsi="Helvetica" w:cs="Arial"/>
                <w:sz w:val="20"/>
                <w:szCs w:val="20"/>
              </w:rPr>
            </w:pPr>
            <w:r w:rsidRPr="00A272A4">
              <w:rPr>
                <w:rFonts w:ascii="Helvetica" w:hAnsi="Helvetica" w:cs="Arial"/>
                <w:sz w:val="20"/>
                <w:szCs w:val="20"/>
              </w:rPr>
              <w:t>MSA/DPA (S2)</w:t>
            </w:r>
          </w:p>
        </w:tc>
        <w:tc>
          <w:tcPr>
            <w:tcW w:w="0" w:type="auto"/>
            <w:vAlign w:val="center"/>
            <w:hideMark/>
          </w:tcPr>
          <w:p w14:paraId="3516E3A1" w14:textId="77777777" w:rsidR="00A272A4" w:rsidRPr="00A272A4" w:rsidRDefault="00A272A4" w:rsidP="00A272A4">
            <w:pPr>
              <w:spacing w:after="210" w:line="360" w:lineRule="auto"/>
              <w:rPr>
                <w:rFonts w:ascii="Helvetica" w:hAnsi="Helvetica" w:cs="Arial"/>
                <w:sz w:val="20"/>
                <w:szCs w:val="20"/>
              </w:rPr>
            </w:pPr>
            <w:r w:rsidRPr="00A272A4">
              <w:rPr>
                <w:rFonts w:ascii="Helvetica" w:hAnsi="Helvetica" w:cs="Arial"/>
                <w:sz w:val="20"/>
                <w:szCs w:val="20"/>
              </w:rPr>
              <w:t>3</w:t>
            </w:r>
          </w:p>
        </w:tc>
        <w:tc>
          <w:tcPr>
            <w:tcW w:w="0" w:type="auto"/>
            <w:vAlign w:val="center"/>
            <w:hideMark/>
          </w:tcPr>
          <w:p w14:paraId="4A276B68" w14:textId="77777777" w:rsidR="00A272A4" w:rsidRPr="00A272A4" w:rsidRDefault="00A272A4" w:rsidP="00A272A4">
            <w:pPr>
              <w:spacing w:after="210" w:line="360" w:lineRule="auto"/>
              <w:rPr>
                <w:rFonts w:ascii="Helvetica" w:hAnsi="Helvetica" w:cs="Arial"/>
                <w:sz w:val="20"/>
                <w:szCs w:val="20"/>
              </w:rPr>
            </w:pPr>
            <w:r w:rsidRPr="00A272A4">
              <w:rPr>
                <w:rFonts w:ascii="Helvetica" w:hAnsi="Helvetica" w:cs="Arial"/>
                <w:sz w:val="20"/>
                <w:szCs w:val="20"/>
              </w:rPr>
              <w:t>≈ 12.9</w:t>
            </w:r>
          </w:p>
        </w:tc>
        <w:tc>
          <w:tcPr>
            <w:tcW w:w="0" w:type="auto"/>
            <w:vAlign w:val="center"/>
            <w:hideMark/>
          </w:tcPr>
          <w:p w14:paraId="65505F67" w14:textId="77777777" w:rsidR="00A272A4" w:rsidRPr="00A272A4" w:rsidRDefault="00A272A4" w:rsidP="00A272A4">
            <w:pPr>
              <w:spacing w:after="210" w:line="360" w:lineRule="auto"/>
              <w:rPr>
                <w:rFonts w:ascii="Helvetica" w:hAnsi="Helvetica" w:cs="Arial"/>
                <w:sz w:val="20"/>
                <w:szCs w:val="20"/>
              </w:rPr>
            </w:pPr>
            <w:r w:rsidRPr="00A272A4">
              <w:rPr>
                <w:rFonts w:ascii="Helvetica" w:hAnsi="Helvetica" w:cs="Arial"/>
                <w:sz w:val="20"/>
                <w:szCs w:val="20"/>
              </w:rPr>
              <w:t>≈ 0.5–1.0</w:t>
            </w:r>
          </w:p>
        </w:tc>
        <w:tc>
          <w:tcPr>
            <w:tcW w:w="0" w:type="auto"/>
            <w:vAlign w:val="center"/>
            <w:hideMark/>
          </w:tcPr>
          <w:p w14:paraId="5768DE77" w14:textId="77777777" w:rsidR="00A272A4" w:rsidRPr="00A272A4" w:rsidRDefault="00A272A4" w:rsidP="00A272A4">
            <w:pPr>
              <w:spacing w:after="210" w:line="360" w:lineRule="auto"/>
              <w:rPr>
                <w:rFonts w:ascii="Helvetica" w:hAnsi="Helvetica" w:cs="Arial"/>
                <w:sz w:val="20"/>
                <w:szCs w:val="20"/>
              </w:rPr>
            </w:pPr>
            <w:r w:rsidRPr="00A272A4">
              <w:rPr>
                <w:rFonts w:ascii="Helvetica" w:hAnsi="Helvetica" w:cs="Arial"/>
                <w:sz w:val="20"/>
                <w:szCs w:val="20"/>
              </w:rPr>
              <w:t>≈ 13–26×</w:t>
            </w:r>
          </w:p>
        </w:tc>
      </w:tr>
    </w:tbl>
    <w:p w14:paraId="31FE2A20" w14:textId="77777777" w:rsidR="00A272A4" w:rsidRPr="00A272A4" w:rsidRDefault="00A272A4" w:rsidP="00A272A4">
      <w:pPr>
        <w:spacing w:after="210" w:line="360" w:lineRule="auto"/>
        <w:rPr>
          <w:rFonts w:ascii="Helvetica" w:hAnsi="Helvetica" w:cs="Arial"/>
          <w:sz w:val="20"/>
          <w:szCs w:val="20"/>
        </w:rPr>
      </w:pPr>
      <w:r w:rsidRPr="00A272A4">
        <w:rPr>
          <w:rFonts w:ascii="Helvetica" w:hAnsi="Helvetica" w:cs="Arial"/>
          <w:sz w:val="20"/>
          <w:szCs w:val="20"/>
        </w:rPr>
        <w:t>Although absolute values depend on deployment-specific factors, the relative reductions are robust across plausible parameter ranges. Indicative monetary cost reductions follow from the same drivers—token volume and call count. Using representative 2025 inference pricing of $0.40–$1.00 per million tokens for mid-tier models (with higher prices for frontier models), baseline long-context, multi-pass contract analysis incurs materially higher $/contract than optimized pipelines that (i) reduce tokens processed per call, (ii) reduce the effective number of calls per contract, and (iii) reserve higher-cost models for only the subset of clauses/contracts that require escalation. Because GPU provisioning costs are strongly correlated with tokens processed and energy use, these reductions yield comparable order-of-magnitude savings in $/contract under unchanged pricing assumptions.</w:t>
      </w:r>
    </w:p>
    <w:p w14:paraId="7EA2EA28" w14:textId="77777777" w:rsidR="00A272A4" w:rsidRPr="00A272A4" w:rsidRDefault="00A272A4" w:rsidP="00A272A4">
      <w:pPr>
        <w:spacing w:after="210" w:line="360" w:lineRule="auto"/>
        <w:rPr>
          <w:rFonts w:ascii="Helvetica" w:hAnsi="Helvetica" w:cs="Arial"/>
          <w:b/>
          <w:bCs/>
          <w:sz w:val="20"/>
          <w:szCs w:val="20"/>
        </w:rPr>
      </w:pPr>
      <w:r w:rsidRPr="00A272A4">
        <w:rPr>
          <w:rFonts w:ascii="Helvetica" w:hAnsi="Helvetica" w:cs="Arial"/>
          <w:b/>
          <w:bCs/>
          <w:sz w:val="20"/>
          <w:szCs w:val="20"/>
        </w:rPr>
        <w:t>Sensitivity and Architectural Implications</w:t>
      </w:r>
    </w:p>
    <w:p w14:paraId="51244CFD" w14:textId="3B21D2BD" w:rsidR="00BA4581" w:rsidRPr="00BA4581" w:rsidRDefault="00A272A4" w:rsidP="00BA4581">
      <w:pPr>
        <w:spacing w:after="210" w:line="360" w:lineRule="auto"/>
        <w:rPr>
          <w:rFonts w:ascii="Helvetica" w:hAnsi="Helvetica" w:cs="Arial"/>
          <w:sz w:val="20"/>
          <w:szCs w:val="20"/>
        </w:rPr>
      </w:pPr>
      <w:r w:rsidRPr="00A272A4">
        <w:rPr>
          <w:rFonts w:ascii="Helvetica" w:hAnsi="Helvetica" w:cs="Arial"/>
          <w:sz w:val="20"/>
          <w:szCs w:val="20"/>
        </w:rPr>
        <w:t>The model reveals three sensitivities. First, energy scales linearly with the number of inference passes </w:t>
      </w:r>
      <m:oMath>
        <m:sSub>
          <m:sSubPr>
            <m:ctrlPr>
              <w:rPr>
                <w:rFonts w:ascii="Cambria Math" w:hAnsi="Cambria Math" w:cs="Arial"/>
                <w:sz w:val="20"/>
                <w:szCs w:val="20"/>
              </w:rPr>
            </m:ctrlPr>
          </m:sSubPr>
          <m:e>
            <m:r>
              <w:rPr>
                <w:rFonts w:ascii="Cambria Math" w:hAnsi="Cambria Math" w:cs="Arial"/>
                <w:sz w:val="20"/>
                <w:szCs w:val="20"/>
              </w:rPr>
              <m:t>K</m:t>
            </m:r>
          </m:e>
          <m:sub>
            <m:r>
              <w:rPr>
                <w:rFonts w:ascii="Cambria Math" w:hAnsi="Cambria Math" w:cs="Arial"/>
                <w:sz w:val="20"/>
                <w:szCs w:val="20"/>
              </w:rPr>
              <m:t>i</m:t>
            </m:r>
          </m:sub>
        </m:sSub>
      </m:oMath>
      <w:r w:rsidRPr="00A272A4">
        <w:rPr>
          <w:rFonts w:ascii="Helvetica" w:hAnsi="Helvetica" w:cs="Arial"/>
          <w:sz w:val="20"/>
          <w:szCs w:val="20"/>
        </w:rPr>
        <w:t>, making workflow-level call-count reduction as impactful as per-call efficiency improvements. Second, per-call optimizations compound rather than substitute for workflow optimizations: reducing </w:t>
      </w:r>
      <m:oMath>
        <m:sSub>
          <m:sSubPr>
            <m:ctrlPr>
              <w:rPr>
                <w:rFonts w:ascii="Cambria Math" w:hAnsi="Cambria Math" w:cs="Arial"/>
                <w:sz w:val="20"/>
                <w:szCs w:val="20"/>
              </w:rPr>
            </m:ctrlPr>
          </m:sSubPr>
          <m:e>
            <m:r>
              <w:rPr>
                <w:rFonts w:ascii="Cambria Math" w:hAnsi="Cambria Math" w:cs="Arial"/>
                <w:sz w:val="20"/>
                <w:szCs w:val="20"/>
              </w:rPr>
              <m:t>E</m:t>
            </m:r>
          </m:e>
          <m:sub>
            <m:r>
              <m:rPr>
                <m:nor/>
              </m:rPr>
              <w:rPr>
                <w:rFonts w:ascii="Helvetica" w:hAnsi="Helvetica" w:cs="Arial"/>
                <w:sz w:val="20"/>
                <w:szCs w:val="20"/>
              </w:rPr>
              <m:t>long-query</m:t>
            </m:r>
          </m:sub>
        </m:sSub>
      </m:oMath>
      <w:r w:rsidRPr="00A272A4">
        <w:rPr>
          <w:rFonts w:ascii="Helvetica" w:hAnsi="Helvetica" w:cs="Arial"/>
          <w:sz w:val="20"/>
          <w:szCs w:val="20"/>
        </w:rPr>
        <w:t> without reducing call volume yields substantially smaller gains for multi-stage contract pipelines. Third, improvements are disproportionately larger for complex agreements, where larger baseline </w:t>
      </w:r>
      <m:oMath>
        <m:sSub>
          <m:sSubPr>
            <m:ctrlPr>
              <w:rPr>
                <w:rFonts w:ascii="Cambria Math" w:hAnsi="Cambria Math" w:cs="Arial"/>
                <w:sz w:val="20"/>
                <w:szCs w:val="20"/>
              </w:rPr>
            </m:ctrlPr>
          </m:sSubPr>
          <m:e>
            <m:r>
              <w:rPr>
                <w:rFonts w:ascii="Cambria Math" w:hAnsi="Cambria Math" w:cs="Arial"/>
                <w:sz w:val="20"/>
                <w:szCs w:val="20"/>
              </w:rPr>
              <m:t>K</m:t>
            </m:r>
          </m:e>
          <m:sub>
            <m:r>
              <w:rPr>
                <w:rFonts w:ascii="Cambria Math" w:hAnsi="Cambria Math" w:cs="Arial"/>
                <w:sz w:val="20"/>
                <w:szCs w:val="20"/>
              </w:rPr>
              <m:t>i</m:t>
            </m:r>
          </m:sub>
        </m:sSub>
      </m:oMath>
      <w:r w:rsidRPr="00A272A4">
        <w:rPr>
          <w:rFonts w:ascii="Helvetica" w:hAnsi="Helvetica" w:cs="Arial"/>
          <w:sz w:val="20"/>
          <w:szCs w:val="20"/>
        </w:rPr>
        <w:t> amplifies the value of routing, escalation, and early-exit policies. Collectively, these results reinforce the central claim of this paper: cost- and energy-efficient contract analysis requires coordinated cross-layer optimization—spanning model compression, inference serving, hardware efficiency, and workflow design—under legal accuracy and governance constraints.</w:t>
      </w:r>
    </w:p>
    <w:p w14:paraId="7D0C865C" w14:textId="77777777" w:rsidR="00502315" w:rsidRPr="00502315" w:rsidRDefault="00B92865" w:rsidP="00502315">
      <w:pPr>
        <w:spacing w:after="210" w:line="360" w:lineRule="auto"/>
        <w:rPr>
          <w:rFonts w:ascii="Helvetica" w:hAnsi="Helvetica" w:cs="Arial"/>
          <w:sz w:val="20"/>
          <w:szCs w:val="20"/>
        </w:rPr>
      </w:pPr>
      <w:r>
        <w:rPr>
          <w:rFonts w:ascii="Helvetica" w:hAnsi="Helvetica" w:cs="Arial"/>
          <w:noProof/>
          <w:sz w:val="20"/>
          <w:szCs w:val="20"/>
        </w:rPr>
        <w:pict w14:anchorId="5F7C87E0">
          <v:rect id="_x0000_i1025" alt="" style="width:451.3pt;height:.05pt;mso-width-percent:0;mso-height-percent:0;mso-width-percent:0;mso-height-percent:0" o:hralign="center" o:hrstd="t" o:hr="t" fillcolor="#a0a0a0" stroked="f"/>
        </w:pict>
      </w:r>
    </w:p>
    <w:p w14:paraId="648B6843" w14:textId="68FA55DE" w:rsidR="00502315" w:rsidRDefault="00502315" w:rsidP="00502315">
      <w:pPr>
        <w:spacing w:after="210" w:line="360" w:lineRule="auto"/>
        <w:rPr>
          <w:rFonts w:ascii="Helvetica" w:hAnsi="Helvetica" w:cs="Arial"/>
          <w:b/>
          <w:bCs/>
          <w:sz w:val="20"/>
          <w:szCs w:val="20"/>
        </w:rPr>
      </w:pPr>
      <w:r w:rsidRPr="00502315">
        <w:rPr>
          <w:rFonts w:ascii="Helvetica" w:hAnsi="Helvetica" w:cs="Arial"/>
          <w:b/>
          <w:bCs/>
          <w:sz w:val="20"/>
          <w:szCs w:val="20"/>
        </w:rPr>
        <w:t xml:space="preserve">VI. </w:t>
      </w:r>
      <w:r w:rsidR="000F4232" w:rsidRPr="000F4232">
        <w:rPr>
          <w:rFonts w:ascii="Helvetica" w:hAnsi="Helvetica" w:cs="Arial"/>
          <w:b/>
          <w:bCs/>
          <w:sz w:val="20"/>
          <w:szCs w:val="20"/>
        </w:rPr>
        <w:t>Discussion and Design Implications</w:t>
      </w:r>
    </w:p>
    <w:p w14:paraId="0B0FDFDA" w14:textId="77777777" w:rsidR="000F4232" w:rsidRPr="000F4232" w:rsidRDefault="000F4232" w:rsidP="000F4232">
      <w:pPr>
        <w:spacing w:after="210" w:line="360" w:lineRule="auto"/>
        <w:rPr>
          <w:rFonts w:ascii="Helvetica" w:hAnsi="Helvetica" w:cs="Arial"/>
          <w:b/>
          <w:bCs/>
          <w:sz w:val="20"/>
          <w:szCs w:val="20"/>
        </w:rPr>
      </w:pPr>
      <w:r w:rsidRPr="000F4232">
        <w:rPr>
          <w:rFonts w:ascii="Helvetica" w:hAnsi="Helvetica" w:cs="Arial"/>
          <w:b/>
          <w:bCs/>
          <w:sz w:val="20"/>
          <w:szCs w:val="20"/>
        </w:rPr>
        <w:t>VI.A Key Findings and System-Level Insights</w:t>
      </w:r>
    </w:p>
    <w:p w14:paraId="7B0B5EAC" w14:textId="5F32667C" w:rsidR="000F4232" w:rsidRPr="000F4232" w:rsidRDefault="00511E7D" w:rsidP="000F4232">
      <w:pPr>
        <w:spacing w:after="210" w:line="360" w:lineRule="auto"/>
        <w:rPr>
          <w:rFonts w:ascii="Helvetica" w:hAnsi="Helvetica" w:cs="Arial"/>
          <w:sz w:val="20"/>
          <w:szCs w:val="20"/>
        </w:rPr>
      </w:pPr>
      <w:r w:rsidRPr="00511E7D">
        <w:rPr>
          <w:rFonts w:ascii="Helvetica" w:hAnsi="Helvetica" w:cs="Arial"/>
          <w:sz w:val="20"/>
          <w:szCs w:val="20"/>
        </w:rPr>
        <w:t>This section synthesizes the analytical results from Sections III and the model-based evaluation in Sections V.C–V.D to extract system-level insights about cost- and energy-efficient inference for enterprise contract analysis.</w:t>
      </w:r>
      <w:r w:rsidRPr="00511E7D">
        <w:rPr>
          <w:rFonts w:ascii="Helvetica" w:hAnsi="Helvetica" w:cs="Arial"/>
          <w:sz w:val="20"/>
          <w:szCs w:val="20"/>
        </w:rPr>
        <w:t xml:space="preserve"> </w:t>
      </w:r>
      <w:r w:rsidR="000F4232" w:rsidRPr="000F4232">
        <w:rPr>
          <w:rFonts w:ascii="Helvetica" w:hAnsi="Helvetica" w:cs="Arial"/>
          <w:sz w:val="20"/>
          <w:szCs w:val="20"/>
        </w:rPr>
        <w:t>Rather than introducing new measurements, we distill design-relevant findings from the model-</w:t>
      </w:r>
      <w:r w:rsidR="000F4232" w:rsidRPr="000F4232">
        <w:rPr>
          <w:rFonts w:ascii="Helvetica" w:hAnsi="Helvetica" w:cs="Arial"/>
          <w:sz w:val="20"/>
          <w:szCs w:val="20"/>
        </w:rPr>
        <w:lastRenderedPageBreak/>
        <w:t>based evaluation and scenario analysis, with an emphasis on identifying which architectural levers dominate efficiency outcomes in realistic contract review workflows.</w:t>
      </w:r>
    </w:p>
    <w:p w14:paraId="7E3BDA53" w14:textId="77777777" w:rsidR="000F4232" w:rsidRPr="000F4232" w:rsidRDefault="000F4232" w:rsidP="000F4232">
      <w:pPr>
        <w:spacing w:after="210" w:line="360" w:lineRule="auto"/>
        <w:rPr>
          <w:rFonts w:ascii="Helvetica" w:hAnsi="Helvetica" w:cs="Arial"/>
          <w:b/>
          <w:bCs/>
          <w:sz w:val="20"/>
          <w:szCs w:val="20"/>
        </w:rPr>
      </w:pPr>
      <w:r w:rsidRPr="000F4232">
        <w:rPr>
          <w:rFonts w:ascii="Helvetica" w:hAnsi="Helvetica" w:cs="Arial"/>
          <w:b/>
          <w:bCs/>
          <w:sz w:val="20"/>
          <w:szCs w:val="20"/>
        </w:rPr>
        <w:t>Workflow-Level Call Reduction Dominates Efficiency Outcomes</w:t>
      </w:r>
    </w:p>
    <w:p w14:paraId="5933AD4B" w14:textId="6F6E0CE7" w:rsidR="000F4232" w:rsidRPr="000F4232" w:rsidRDefault="000F4232" w:rsidP="000F4232">
      <w:pPr>
        <w:spacing w:after="210" w:line="360" w:lineRule="auto"/>
        <w:rPr>
          <w:rFonts w:ascii="Helvetica" w:hAnsi="Helvetica" w:cs="Arial"/>
          <w:sz w:val="20"/>
          <w:szCs w:val="20"/>
        </w:rPr>
      </w:pPr>
      <w:r w:rsidRPr="000F4232">
        <w:rPr>
          <w:rFonts w:ascii="Helvetica" w:hAnsi="Helvetica" w:cs="Arial"/>
          <w:sz w:val="20"/>
          <w:szCs w:val="20"/>
        </w:rPr>
        <w:t>A central finding of the evaluation is that reductions in the number of inference calls per contract (</w:t>
      </w:r>
      <m:oMath>
        <m:sSub>
          <m:sSubPr>
            <m:ctrlPr>
              <w:rPr>
                <w:rFonts w:ascii="Cambria Math" w:hAnsi="Cambria Math" w:cs="Arial"/>
                <w:sz w:val="20"/>
                <w:szCs w:val="20"/>
              </w:rPr>
            </m:ctrlPr>
          </m:sSubPr>
          <m:e>
            <m:r>
              <w:rPr>
                <w:rFonts w:ascii="Cambria Math" w:hAnsi="Cambria Math" w:cs="Arial"/>
                <w:sz w:val="20"/>
                <w:szCs w:val="20"/>
              </w:rPr>
              <m:t>K</m:t>
            </m:r>
          </m:e>
          <m:sub>
            <m:r>
              <w:rPr>
                <w:rFonts w:ascii="Cambria Math" w:hAnsi="Cambria Math" w:cs="Arial"/>
                <w:sz w:val="20"/>
                <w:szCs w:val="20"/>
              </w:rPr>
              <m:t>i</m:t>
            </m:r>
          </m:sub>
        </m:sSub>
      </m:oMath>
      <w:r w:rsidRPr="000F4232">
        <w:rPr>
          <w:rFonts w:ascii="Helvetica" w:hAnsi="Helvetica" w:cs="Arial"/>
          <w:sz w:val="20"/>
          <w:szCs w:val="20"/>
        </w:rPr>
        <w:t>) have comparable or greater impact on total cost and energy consumption than per-call efficiency improvements, particularly for complex agreements such as MSAs and DPAs. As instantiated in Section V.C.1, baseline energy consumption scales nearly linearly with both token volume and the number of pipeline stages invoked per contract. For multi-pass pipelines operating on long-context inputs, even modest reductions in </w:t>
      </w:r>
      <m:oMath>
        <m:sSub>
          <m:sSubPr>
            <m:ctrlPr>
              <w:rPr>
                <w:rFonts w:ascii="Cambria Math" w:hAnsi="Cambria Math" w:cs="Arial"/>
                <w:sz w:val="20"/>
                <w:szCs w:val="20"/>
              </w:rPr>
            </m:ctrlPr>
          </m:sSubPr>
          <m:e>
            <m:r>
              <w:rPr>
                <w:rFonts w:ascii="Cambria Math" w:hAnsi="Cambria Math" w:cs="Arial"/>
                <w:sz w:val="20"/>
                <w:szCs w:val="20"/>
              </w:rPr>
              <m:t>K</m:t>
            </m:r>
          </m:e>
          <m:sub>
            <m:r>
              <w:rPr>
                <w:rFonts w:ascii="Cambria Math" w:hAnsi="Cambria Math" w:cs="Arial"/>
                <w:sz w:val="20"/>
                <w:szCs w:val="20"/>
              </w:rPr>
              <m:t>i</m:t>
            </m:r>
          </m:sub>
        </m:sSub>
      </m:oMath>
      <w:r w:rsidRPr="000F4232">
        <w:rPr>
          <w:rFonts w:ascii="Helvetica" w:hAnsi="Helvetica" w:cs="Arial"/>
          <w:sz w:val="20"/>
          <w:szCs w:val="20"/>
        </w:rPr>
        <w:t> yield substantial aggregate savings.</w:t>
      </w:r>
    </w:p>
    <w:p w14:paraId="2E8BFBED" w14:textId="77777777" w:rsidR="000F4232" w:rsidRPr="000F4232" w:rsidRDefault="000F4232" w:rsidP="000F4232">
      <w:pPr>
        <w:spacing w:after="210" w:line="360" w:lineRule="auto"/>
        <w:rPr>
          <w:rFonts w:ascii="Helvetica" w:hAnsi="Helvetica" w:cs="Arial"/>
          <w:sz w:val="20"/>
          <w:szCs w:val="20"/>
        </w:rPr>
      </w:pPr>
      <w:r w:rsidRPr="000F4232">
        <w:rPr>
          <w:rFonts w:ascii="Helvetica" w:hAnsi="Helvetica" w:cs="Arial"/>
          <w:sz w:val="20"/>
          <w:szCs w:val="20"/>
        </w:rPr>
        <w:t>In the modeled scenarios, workflow-level controls—including tiered routing, clause-level escalation, deduplication, and early exits—reduce effective call count by a factor of approximately 2–4×. These reductions compound multiplicatively with per-call efficiency gains, but critically, they address a distinct and often overlooked cost driver: repeated full-document processing across pipeline stages. The results indicate that optimizing per-query efficiency alone, without addressing call frequency, yields diminishing returns for contract-centric workloads characterized by long documents and structured multi-stage analysis.</w:t>
      </w:r>
    </w:p>
    <w:p w14:paraId="4B4C793B" w14:textId="77777777" w:rsidR="000F4232" w:rsidRPr="000F4232" w:rsidRDefault="000F4232" w:rsidP="000F4232">
      <w:pPr>
        <w:spacing w:after="210" w:line="360" w:lineRule="auto"/>
        <w:rPr>
          <w:rFonts w:ascii="Helvetica" w:hAnsi="Helvetica" w:cs="Arial"/>
          <w:b/>
          <w:bCs/>
          <w:sz w:val="20"/>
          <w:szCs w:val="20"/>
        </w:rPr>
      </w:pPr>
      <w:r w:rsidRPr="000F4232">
        <w:rPr>
          <w:rFonts w:ascii="Helvetica" w:hAnsi="Helvetica" w:cs="Arial"/>
          <w:b/>
          <w:bCs/>
          <w:sz w:val="20"/>
          <w:szCs w:val="20"/>
        </w:rPr>
        <w:t>Token Volume and Call Count Are First-Class Optimization Targets</w:t>
      </w:r>
    </w:p>
    <w:p w14:paraId="4FD3A6DF" w14:textId="77777777" w:rsidR="000F4232" w:rsidRPr="000F4232" w:rsidRDefault="000F4232" w:rsidP="000F4232">
      <w:pPr>
        <w:spacing w:after="210" w:line="360" w:lineRule="auto"/>
        <w:rPr>
          <w:rFonts w:ascii="Helvetica" w:hAnsi="Helvetica" w:cs="Arial"/>
          <w:sz w:val="20"/>
          <w:szCs w:val="20"/>
        </w:rPr>
      </w:pPr>
      <w:r w:rsidRPr="000F4232">
        <w:rPr>
          <w:rFonts w:ascii="Helvetica" w:hAnsi="Helvetica" w:cs="Arial"/>
          <w:sz w:val="20"/>
          <w:szCs w:val="20"/>
        </w:rPr>
        <w:t>The evaluation further shows that baseline Wh/contract scales nearly linearly with token volume processed across all inference calls. Long-context contracts, annex-heavy agreements, and pipelines that reprocess entire documents at each stage incur disproportionately high energy and cost overheads. This behavior contrasts with short-form conversational workloads, where per-query efficiency improvements may dominate.</w:t>
      </w:r>
    </w:p>
    <w:p w14:paraId="05B59C12" w14:textId="6094561B" w:rsidR="000F4232" w:rsidRPr="000F4232" w:rsidRDefault="00511E7D" w:rsidP="000F4232">
      <w:pPr>
        <w:spacing w:after="210" w:line="360" w:lineRule="auto"/>
        <w:rPr>
          <w:rFonts w:ascii="Helvetica" w:hAnsi="Helvetica" w:cs="Arial"/>
          <w:sz w:val="20"/>
          <w:szCs w:val="20"/>
        </w:rPr>
      </w:pPr>
      <w:r w:rsidRPr="00511E7D">
        <w:rPr>
          <w:rFonts w:ascii="Helvetica" w:hAnsi="Helvetica" w:cs="Arial"/>
          <w:sz w:val="20"/>
          <w:szCs w:val="20"/>
        </w:rPr>
        <w:t>The modeled reductions of approximately 12–26× in Wh/contract for representative NDA and MSA/DPA scenarios (Section V.C.1, Table I</w:t>
      </w:r>
      <w:r>
        <w:rPr>
          <w:rFonts w:ascii="Helvetica" w:hAnsi="Helvetica" w:cs="Arial"/>
          <w:sz w:val="20"/>
          <w:szCs w:val="20"/>
        </w:rPr>
        <w:t>)</w:t>
      </w:r>
      <w:r w:rsidR="000F4232" w:rsidRPr="000F4232">
        <w:rPr>
          <w:rFonts w:ascii="Helvetica" w:hAnsi="Helvetica" w:cs="Arial"/>
          <w:sz w:val="20"/>
          <w:szCs w:val="20"/>
        </w:rPr>
        <w:t xml:space="preserve"> are not driven by model compression alone. Instead, they arise from coordinated reductions in (i) tokens processed per call and (ii) the number of calls executed per contract. Selective attention to legally salient sections, constrained decoding for structured outputs, and reuse of previously processed boilerplate materially reduce token throughput without compromising clause-level accuracy. These findings elevate token management and workflow simplification to first-class optimization objectives alongside traditional model- and kernel-level efficiency techniques.</w:t>
      </w:r>
    </w:p>
    <w:p w14:paraId="233116F6" w14:textId="77777777" w:rsidR="000F4232" w:rsidRPr="000F4232" w:rsidRDefault="000F4232" w:rsidP="000F4232">
      <w:pPr>
        <w:spacing w:after="210" w:line="360" w:lineRule="auto"/>
        <w:rPr>
          <w:rFonts w:ascii="Helvetica" w:hAnsi="Helvetica" w:cs="Arial"/>
          <w:b/>
          <w:bCs/>
          <w:sz w:val="20"/>
          <w:szCs w:val="20"/>
        </w:rPr>
      </w:pPr>
      <w:r w:rsidRPr="000F4232">
        <w:rPr>
          <w:rFonts w:ascii="Helvetica" w:hAnsi="Helvetica" w:cs="Arial"/>
          <w:b/>
          <w:bCs/>
          <w:sz w:val="20"/>
          <w:szCs w:val="20"/>
        </w:rPr>
        <w:t>Model Compression Is Necessary but Insufficient in Isolation</w:t>
      </w:r>
    </w:p>
    <w:p w14:paraId="2D4AAC97" w14:textId="77777777" w:rsidR="000F4232" w:rsidRPr="000F4232" w:rsidRDefault="000F4232" w:rsidP="000F4232">
      <w:pPr>
        <w:spacing w:after="210" w:line="360" w:lineRule="auto"/>
        <w:rPr>
          <w:rFonts w:ascii="Helvetica" w:hAnsi="Helvetica" w:cs="Arial"/>
          <w:sz w:val="20"/>
          <w:szCs w:val="20"/>
        </w:rPr>
      </w:pPr>
      <w:r w:rsidRPr="000F4232">
        <w:rPr>
          <w:rFonts w:ascii="Helvetica" w:hAnsi="Helvetica" w:cs="Arial"/>
          <w:sz w:val="20"/>
          <w:szCs w:val="20"/>
        </w:rPr>
        <w:t xml:space="preserve">Replacing large, generic language models with smaller, domain-specialized or distilled contract models contributes meaningfully to efficiency gains by reducing arithmetic intensity and memory traffic. As reflected </w:t>
      </w:r>
      <w:r w:rsidRPr="000F4232">
        <w:rPr>
          <w:rFonts w:ascii="Helvetica" w:hAnsi="Helvetica" w:cs="Arial"/>
          <w:sz w:val="20"/>
          <w:szCs w:val="20"/>
        </w:rPr>
        <w:lastRenderedPageBreak/>
        <w:t>in the evaluation, such model-level optimizations typically deliver 1.5–3× reductions in energy per inference call, consistent with prior inference efficiency studies.</w:t>
      </w:r>
    </w:p>
    <w:p w14:paraId="24CBF2CD" w14:textId="77777777" w:rsidR="000F4232" w:rsidRPr="000F4232" w:rsidRDefault="000F4232" w:rsidP="000F4232">
      <w:pPr>
        <w:spacing w:after="210" w:line="360" w:lineRule="auto"/>
        <w:rPr>
          <w:rFonts w:ascii="Helvetica" w:hAnsi="Helvetica" w:cs="Arial"/>
          <w:sz w:val="20"/>
          <w:szCs w:val="20"/>
        </w:rPr>
      </w:pPr>
      <w:r w:rsidRPr="000F4232">
        <w:rPr>
          <w:rFonts w:ascii="Helvetica" w:hAnsi="Helvetica" w:cs="Arial"/>
          <w:sz w:val="20"/>
          <w:szCs w:val="20"/>
        </w:rPr>
        <w:t>However, the analysis demonstrates that model substitution alone accounts for only a fraction of the observed 8–20× aggregate efficiency gains. Without complementary serving-, hardware-, and workflow-level optimizations, long-context, multi-pass contract pipelines remain fundamentally inefficient. This finding challenges a common assumption in enterprise deployments—that selecting a “cheaper” or smaller model is sufficient to control inference cost. In practice, the majority of efficiency gains accrue only when model compression is integrated into a broader, system-level optimization strategy.</w:t>
      </w:r>
    </w:p>
    <w:p w14:paraId="3F2E6310" w14:textId="77777777" w:rsidR="000F4232" w:rsidRPr="000F4232" w:rsidRDefault="000F4232" w:rsidP="000F4232">
      <w:pPr>
        <w:spacing w:after="210" w:line="360" w:lineRule="auto"/>
        <w:rPr>
          <w:rFonts w:ascii="Helvetica" w:hAnsi="Helvetica" w:cs="Arial"/>
          <w:b/>
          <w:bCs/>
          <w:sz w:val="20"/>
          <w:szCs w:val="20"/>
        </w:rPr>
      </w:pPr>
      <w:r w:rsidRPr="000F4232">
        <w:rPr>
          <w:rFonts w:ascii="Helvetica" w:hAnsi="Helvetica" w:cs="Arial"/>
          <w:b/>
          <w:bCs/>
          <w:sz w:val="20"/>
          <w:szCs w:val="20"/>
        </w:rPr>
        <w:t>Efficiency Gains Compound Across Layers Rather Than Substitute</w:t>
      </w:r>
    </w:p>
    <w:p w14:paraId="719B2651" w14:textId="77777777" w:rsidR="000F4232" w:rsidRPr="000F4232" w:rsidRDefault="000F4232" w:rsidP="000F4232">
      <w:pPr>
        <w:spacing w:after="210" w:line="360" w:lineRule="auto"/>
        <w:rPr>
          <w:rFonts w:ascii="Helvetica" w:hAnsi="Helvetica" w:cs="Arial"/>
          <w:sz w:val="20"/>
          <w:szCs w:val="20"/>
        </w:rPr>
      </w:pPr>
      <w:r w:rsidRPr="000F4232">
        <w:rPr>
          <w:rFonts w:ascii="Helvetica" w:hAnsi="Helvetica" w:cs="Arial"/>
          <w:sz w:val="20"/>
          <w:szCs w:val="20"/>
        </w:rPr>
        <w:t>A key insight from the evaluation is that efficiency improvements across layers compound multiplicatively rather than substituting for one another. Reductions in per-call energy (via model compression and hardware efficiency) and reductions in call count (via workflow orchestration) address orthogonal components of the cost and energy model introduced in Section III. Optimizing only one dimension yields limited benefit for document-centric workloads; optimizing both yields order-of-magnitude improvements.</w:t>
      </w:r>
    </w:p>
    <w:p w14:paraId="6819D288" w14:textId="3969C395" w:rsidR="000F4232" w:rsidRPr="000F4232" w:rsidRDefault="000F4232" w:rsidP="000F4232">
      <w:pPr>
        <w:spacing w:after="210" w:line="360" w:lineRule="auto"/>
        <w:rPr>
          <w:rFonts w:ascii="Helvetica" w:hAnsi="Helvetica" w:cs="Arial"/>
          <w:sz w:val="20"/>
          <w:szCs w:val="20"/>
        </w:rPr>
      </w:pPr>
      <w:r w:rsidRPr="000F4232">
        <w:rPr>
          <w:rFonts w:ascii="Helvetica" w:hAnsi="Helvetica" w:cs="Arial"/>
          <w:sz w:val="20"/>
          <w:szCs w:val="20"/>
        </w:rPr>
        <w:t>This compounding effect explains why the optimized architecture consistently outperforms the baseline across both templated and complex contract scenarios. In particular, complex agreements—with higher baseline </w:t>
      </w:r>
      <m:oMath>
        <m:sSub>
          <m:sSubPr>
            <m:ctrlPr>
              <w:rPr>
                <w:rFonts w:ascii="Cambria Math" w:hAnsi="Cambria Math" w:cs="Arial"/>
                <w:sz w:val="20"/>
                <w:szCs w:val="20"/>
              </w:rPr>
            </m:ctrlPr>
          </m:sSubPr>
          <m:e>
            <m:r>
              <w:rPr>
                <w:rFonts w:ascii="Cambria Math" w:hAnsi="Cambria Math" w:cs="Arial"/>
                <w:sz w:val="20"/>
                <w:szCs w:val="20"/>
              </w:rPr>
              <m:t>K</m:t>
            </m:r>
          </m:e>
          <m:sub>
            <m:r>
              <w:rPr>
                <w:rFonts w:ascii="Cambria Math" w:hAnsi="Cambria Math" w:cs="Arial"/>
                <w:sz w:val="20"/>
                <w:szCs w:val="20"/>
              </w:rPr>
              <m:t>i</m:t>
            </m:r>
          </m:sub>
        </m:sSub>
      </m:oMath>
      <w:r w:rsidRPr="000F4232">
        <w:rPr>
          <w:rFonts w:ascii="Helvetica" w:hAnsi="Helvetica" w:cs="Arial"/>
          <w:sz w:val="20"/>
          <w:szCs w:val="20"/>
        </w:rPr>
        <w:t> and longer context—benefit disproportionately from coordinated cross-layer optimization. These results underscore that inference efficiency for enterprise document AI systems cannot be achieved through isolated improvements to models or runtimes alone.</w:t>
      </w:r>
    </w:p>
    <w:p w14:paraId="41AE94D5" w14:textId="77777777" w:rsidR="000F4232" w:rsidRPr="000F4232" w:rsidRDefault="000F4232" w:rsidP="000F4232">
      <w:pPr>
        <w:spacing w:after="210" w:line="360" w:lineRule="auto"/>
        <w:rPr>
          <w:rFonts w:ascii="Helvetica" w:hAnsi="Helvetica" w:cs="Arial"/>
          <w:b/>
          <w:bCs/>
          <w:sz w:val="20"/>
          <w:szCs w:val="20"/>
        </w:rPr>
      </w:pPr>
      <w:r w:rsidRPr="000F4232">
        <w:rPr>
          <w:rFonts w:ascii="Helvetica" w:hAnsi="Helvetica" w:cs="Arial"/>
          <w:b/>
          <w:bCs/>
          <w:sz w:val="20"/>
          <w:szCs w:val="20"/>
        </w:rPr>
        <w:t>Economic and Environmental Objectives Are Structurally Aligned</w:t>
      </w:r>
    </w:p>
    <w:p w14:paraId="619078A8" w14:textId="77777777" w:rsidR="000F4232" w:rsidRPr="000F4232" w:rsidRDefault="000F4232" w:rsidP="000F4232">
      <w:pPr>
        <w:spacing w:after="210" w:line="360" w:lineRule="auto"/>
        <w:rPr>
          <w:rFonts w:ascii="Helvetica" w:hAnsi="Helvetica" w:cs="Arial"/>
          <w:sz w:val="20"/>
          <w:szCs w:val="20"/>
        </w:rPr>
      </w:pPr>
      <w:r w:rsidRPr="000F4232">
        <w:rPr>
          <w:rFonts w:ascii="Helvetica" w:hAnsi="Helvetica" w:cs="Arial"/>
          <w:sz w:val="20"/>
          <w:szCs w:val="20"/>
        </w:rPr>
        <w:t>Finally, the analysis reveals a strong structural alignment between monetary cost reduction and energy efficiency at test time. Because GPU provisioning costs are tightly coupled to tokens processed and energy consumed, the same architectural choices that reduce Wh/contract also yield comparable order-of-magnitude reductions in $/contract under unchanged pricing assumptions. This alignment holds across modeled scenarios and does not rely on speculative future pricing trends.</w:t>
      </w:r>
    </w:p>
    <w:p w14:paraId="011FD0D9" w14:textId="1EC81628" w:rsidR="000F4232" w:rsidRDefault="000F4232" w:rsidP="00502315">
      <w:pPr>
        <w:spacing w:after="210" w:line="360" w:lineRule="auto"/>
        <w:rPr>
          <w:rFonts w:ascii="Helvetica" w:hAnsi="Helvetica" w:cs="Arial"/>
          <w:sz w:val="20"/>
          <w:szCs w:val="20"/>
        </w:rPr>
      </w:pPr>
      <w:r w:rsidRPr="000F4232">
        <w:rPr>
          <w:rFonts w:ascii="Helvetica" w:hAnsi="Helvetica" w:cs="Arial"/>
          <w:sz w:val="20"/>
          <w:szCs w:val="20"/>
        </w:rPr>
        <w:t>As a result, the proposed framework simultaneously addresses operational expenditure and environmental impact without introducing additional trade-offs. For enterprises operating under ESG reporting requirements, Wh/contract emerges as a workload-relevant metric that directly reflects real usage patterns, in contrast to isolated Wh/query or peak-throughput metrics. The evaluation thus supports treating cost and energy efficiency as co-optimized objectives in the design of production contract analysis systems.</w:t>
      </w:r>
    </w:p>
    <w:p w14:paraId="5DF706DB" w14:textId="77777777" w:rsidR="00511E7D" w:rsidRPr="00511E7D" w:rsidRDefault="00511E7D" w:rsidP="00511E7D">
      <w:pPr>
        <w:spacing w:after="210" w:line="360" w:lineRule="auto"/>
        <w:rPr>
          <w:rFonts w:ascii="Helvetica" w:hAnsi="Helvetica" w:cs="Arial"/>
          <w:b/>
          <w:bCs/>
          <w:sz w:val="20"/>
          <w:szCs w:val="20"/>
        </w:rPr>
      </w:pPr>
      <w:r w:rsidRPr="00511E7D">
        <w:rPr>
          <w:rFonts w:ascii="Helvetica" w:hAnsi="Helvetica" w:cs="Arial"/>
          <w:b/>
          <w:bCs/>
          <w:sz w:val="20"/>
          <w:szCs w:val="20"/>
        </w:rPr>
        <w:t>VI.B Implications for Enterprise Contract AI Architecture</w:t>
      </w:r>
    </w:p>
    <w:p w14:paraId="68CEF99D" w14:textId="77777777" w:rsidR="00511E7D" w:rsidRPr="00511E7D" w:rsidRDefault="00511E7D" w:rsidP="00511E7D">
      <w:pPr>
        <w:spacing w:after="210" w:line="360" w:lineRule="auto"/>
        <w:rPr>
          <w:rFonts w:ascii="Helvetica" w:hAnsi="Helvetica" w:cs="Arial"/>
          <w:sz w:val="20"/>
          <w:szCs w:val="20"/>
        </w:rPr>
      </w:pPr>
      <w:r w:rsidRPr="00511E7D">
        <w:rPr>
          <w:rFonts w:ascii="Helvetica" w:hAnsi="Helvetica" w:cs="Arial"/>
          <w:sz w:val="20"/>
          <w:szCs w:val="20"/>
        </w:rPr>
        <w:lastRenderedPageBreak/>
        <w:t>The analytical results in Sections IV–V carry concrete implications for how enterprise contract analysis systems should be architected in practice. Beyond demonstrating order-of-magnitude efficiency gains, the evaluation clarifies </w:t>
      </w:r>
      <w:r w:rsidRPr="00511E7D">
        <w:rPr>
          <w:rFonts w:ascii="Helvetica" w:hAnsi="Helvetica" w:cs="Arial"/>
          <w:i/>
          <w:iCs/>
          <w:sz w:val="20"/>
          <w:szCs w:val="20"/>
        </w:rPr>
        <w:t>where</w:t>
      </w:r>
      <w:r w:rsidRPr="00511E7D">
        <w:rPr>
          <w:rFonts w:ascii="Helvetica" w:hAnsi="Helvetica" w:cs="Arial"/>
          <w:sz w:val="20"/>
          <w:szCs w:val="20"/>
        </w:rPr>
        <w:t>architectural effort yields the highest returns and </w:t>
      </w:r>
      <w:r w:rsidRPr="00511E7D">
        <w:rPr>
          <w:rFonts w:ascii="Helvetica" w:hAnsi="Helvetica" w:cs="Arial"/>
          <w:i/>
          <w:iCs/>
          <w:sz w:val="20"/>
          <w:szCs w:val="20"/>
        </w:rPr>
        <w:t>why</w:t>
      </w:r>
      <w:r w:rsidRPr="00511E7D">
        <w:rPr>
          <w:rFonts w:ascii="Helvetica" w:hAnsi="Helvetica" w:cs="Arial"/>
          <w:sz w:val="20"/>
          <w:szCs w:val="20"/>
        </w:rPr>
        <w:t> traditional, model-centric optimization strategies are insufficient for production legal workloads. This section distills those implications for system architects, legal technology vendors, and enterprise organizations operating under cost, performance, and governance constraints.</w:t>
      </w:r>
    </w:p>
    <w:p w14:paraId="674AF81D" w14:textId="77777777" w:rsidR="00511E7D" w:rsidRPr="00511E7D" w:rsidRDefault="00511E7D" w:rsidP="00511E7D">
      <w:pPr>
        <w:spacing w:after="210" w:line="360" w:lineRule="auto"/>
        <w:rPr>
          <w:rFonts w:ascii="Helvetica" w:hAnsi="Helvetica" w:cs="Arial"/>
          <w:b/>
          <w:bCs/>
          <w:sz w:val="20"/>
          <w:szCs w:val="20"/>
        </w:rPr>
      </w:pPr>
      <w:r w:rsidRPr="00511E7D">
        <w:rPr>
          <w:rFonts w:ascii="Helvetica" w:hAnsi="Helvetica" w:cs="Arial"/>
          <w:b/>
          <w:bCs/>
          <w:sz w:val="20"/>
          <w:szCs w:val="20"/>
        </w:rPr>
        <w:t>A. Implications for System Architects and ML Engineers</w:t>
      </w:r>
    </w:p>
    <w:p w14:paraId="421D68F2" w14:textId="0AB17DD7" w:rsidR="00511E7D" w:rsidRPr="00511E7D" w:rsidRDefault="00511E7D" w:rsidP="00511E7D">
      <w:pPr>
        <w:spacing w:after="210" w:line="360" w:lineRule="auto"/>
        <w:rPr>
          <w:rFonts w:ascii="Helvetica" w:hAnsi="Helvetica" w:cs="Arial"/>
          <w:sz w:val="20"/>
          <w:szCs w:val="20"/>
        </w:rPr>
      </w:pPr>
      <w:r w:rsidRPr="00511E7D">
        <w:rPr>
          <w:rFonts w:ascii="Helvetica" w:hAnsi="Helvetica" w:cs="Arial"/>
          <w:b/>
          <w:bCs/>
          <w:sz w:val="20"/>
          <w:szCs w:val="20"/>
        </w:rPr>
        <w:t>1) Workflow design is as important as model efficiency.</w:t>
      </w:r>
      <w:r w:rsidRPr="00511E7D">
        <w:rPr>
          <w:rFonts w:ascii="Helvetica" w:hAnsi="Helvetica" w:cs="Arial"/>
          <w:sz w:val="20"/>
          <w:szCs w:val="20"/>
        </w:rPr>
        <w:br/>
        <w:t>The model-based analysis in Sections V.C–V.D shows that total inference cost and energy scale linearly with the number of inference calls per contract </w:t>
      </w:r>
      <m:oMath>
        <m:sSub>
          <m:sSubPr>
            <m:ctrlPr>
              <w:rPr>
                <w:rFonts w:ascii="Cambria Math" w:hAnsi="Cambria Math" w:cs="Arial"/>
                <w:sz w:val="20"/>
                <w:szCs w:val="20"/>
              </w:rPr>
            </m:ctrlPr>
          </m:sSubPr>
          <m:e>
            <m:r>
              <w:rPr>
                <w:rFonts w:ascii="Cambria Math" w:hAnsi="Cambria Math" w:cs="Arial"/>
                <w:sz w:val="20"/>
                <w:szCs w:val="20"/>
              </w:rPr>
              <m:t>K</m:t>
            </m:r>
          </m:e>
          <m:sub>
            <m:r>
              <w:rPr>
                <w:rFonts w:ascii="Cambria Math" w:hAnsi="Cambria Math" w:cs="Arial"/>
                <w:sz w:val="20"/>
                <w:szCs w:val="20"/>
              </w:rPr>
              <m:t>i</m:t>
            </m:r>
          </m:sub>
        </m:sSub>
      </m:oMath>
      <w:r w:rsidRPr="00511E7D">
        <w:rPr>
          <w:rFonts w:ascii="Helvetica" w:hAnsi="Helvetica" w:cs="Arial"/>
          <w:sz w:val="20"/>
          <w:szCs w:val="20"/>
        </w:rPr>
        <w:t>. For multi-stage pipelines typical of contract analysis, reducing </w:t>
      </w:r>
      <m:oMath>
        <m:sSub>
          <m:sSubPr>
            <m:ctrlPr>
              <w:rPr>
                <w:rFonts w:ascii="Cambria Math" w:hAnsi="Cambria Math" w:cs="Arial"/>
                <w:sz w:val="20"/>
                <w:szCs w:val="20"/>
              </w:rPr>
            </m:ctrlPr>
          </m:sSubPr>
          <m:e>
            <m:r>
              <w:rPr>
                <w:rFonts w:ascii="Cambria Math" w:hAnsi="Cambria Math" w:cs="Arial"/>
                <w:sz w:val="20"/>
                <w:szCs w:val="20"/>
              </w:rPr>
              <m:t>K</m:t>
            </m:r>
          </m:e>
          <m:sub>
            <m:r>
              <w:rPr>
                <w:rFonts w:ascii="Cambria Math" w:hAnsi="Cambria Math" w:cs="Arial"/>
                <w:sz w:val="20"/>
                <w:szCs w:val="20"/>
              </w:rPr>
              <m:t>i</m:t>
            </m:r>
          </m:sub>
        </m:sSub>
      </m:oMath>
      <w:r w:rsidRPr="00511E7D">
        <w:rPr>
          <w:rFonts w:ascii="Helvetica" w:hAnsi="Helvetica" w:cs="Arial"/>
          <w:sz w:val="20"/>
          <w:szCs w:val="20"/>
        </w:rPr>
        <w:t>through routing, clause-level escalation, deduplication, and early exits yields efficiency gains comparable to—or greater than—those obtained from aggressive model compression alone. In particular, for complex agreements such as MSAs and DPAs, where baseline </w:t>
      </w:r>
      <m:oMath>
        <m:sSub>
          <m:sSubPr>
            <m:ctrlPr>
              <w:rPr>
                <w:rFonts w:ascii="Cambria Math" w:hAnsi="Cambria Math" w:cs="Arial"/>
                <w:sz w:val="20"/>
                <w:szCs w:val="20"/>
              </w:rPr>
            </m:ctrlPr>
          </m:sSubPr>
          <m:e>
            <m:r>
              <w:rPr>
                <w:rFonts w:ascii="Cambria Math" w:hAnsi="Cambria Math" w:cs="Arial"/>
                <w:sz w:val="20"/>
                <w:szCs w:val="20"/>
              </w:rPr>
              <m:t>K</m:t>
            </m:r>
          </m:e>
          <m:sub>
            <m:r>
              <w:rPr>
                <w:rFonts w:ascii="Cambria Math" w:hAnsi="Cambria Math" w:cs="Arial"/>
                <w:sz w:val="20"/>
                <w:szCs w:val="20"/>
              </w:rPr>
              <m:t>i</m:t>
            </m:r>
          </m:sub>
        </m:sSub>
      </m:oMath>
      <w:r w:rsidRPr="00511E7D">
        <w:rPr>
          <w:rFonts w:ascii="Helvetica" w:hAnsi="Helvetica" w:cs="Arial"/>
          <w:sz w:val="20"/>
          <w:szCs w:val="20"/>
        </w:rPr>
        <w:t> is higher, workflow-level call-count reduction dominates overall efficiency outcomes.</w:t>
      </w:r>
    </w:p>
    <w:p w14:paraId="7D4FE1C7" w14:textId="77777777" w:rsidR="00511E7D" w:rsidRPr="00511E7D" w:rsidRDefault="00511E7D" w:rsidP="00511E7D">
      <w:pPr>
        <w:spacing w:after="210" w:line="360" w:lineRule="auto"/>
        <w:rPr>
          <w:rFonts w:ascii="Helvetica" w:hAnsi="Helvetica" w:cs="Arial"/>
          <w:sz w:val="20"/>
          <w:szCs w:val="20"/>
        </w:rPr>
      </w:pPr>
      <w:r w:rsidRPr="00511E7D">
        <w:rPr>
          <w:rFonts w:ascii="Helvetica" w:hAnsi="Helvetica" w:cs="Arial"/>
          <w:sz w:val="20"/>
          <w:szCs w:val="20"/>
        </w:rPr>
        <w:t>This finding implies that architectural effort should prioritize </w:t>
      </w:r>
      <w:r w:rsidRPr="00511E7D">
        <w:rPr>
          <w:rFonts w:ascii="Helvetica" w:hAnsi="Helvetica" w:cs="Arial"/>
          <w:i/>
          <w:iCs/>
          <w:sz w:val="20"/>
          <w:szCs w:val="20"/>
        </w:rPr>
        <w:t>pipeline structure</w:t>
      </w:r>
      <w:r w:rsidRPr="00511E7D">
        <w:rPr>
          <w:rFonts w:ascii="Helvetica" w:hAnsi="Helvetica" w:cs="Arial"/>
          <w:sz w:val="20"/>
          <w:szCs w:val="20"/>
        </w:rPr>
        <w:t> and </w:t>
      </w:r>
      <w:r w:rsidRPr="00511E7D">
        <w:rPr>
          <w:rFonts w:ascii="Helvetica" w:hAnsi="Helvetica" w:cs="Arial"/>
          <w:i/>
          <w:iCs/>
          <w:sz w:val="20"/>
          <w:szCs w:val="20"/>
        </w:rPr>
        <w:t>execution control</w:t>
      </w:r>
      <w:r w:rsidRPr="00511E7D">
        <w:rPr>
          <w:rFonts w:ascii="Helvetica" w:hAnsi="Helvetica" w:cs="Arial"/>
          <w:sz w:val="20"/>
          <w:szCs w:val="20"/>
        </w:rPr>
        <w:t> early in system design, rather than treating workflow orchestration as a post hoc optimization.</w:t>
      </w:r>
    </w:p>
    <w:p w14:paraId="7C9595A3" w14:textId="77777777" w:rsidR="00511E7D" w:rsidRPr="00511E7D" w:rsidRDefault="00511E7D" w:rsidP="00511E7D">
      <w:pPr>
        <w:spacing w:after="210" w:line="360" w:lineRule="auto"/>
        <w:rPr>
          <w:rFonts w:ascii="Helvetica" w:hAnsi="Helvetica" w:cs="Arial"/>
          <w:sz w:val="20"/>
          <w:szCs w:val="20"/>
        </w:rPr>
      </w:pPr>
      <w:r w:rsidRPr="00511E7D">
        <w:rPr>
          <w:rFonts w:ascii="Helvetica" w:hAnsi="Helvetica" w:cs="Arial"/>
          <w:b/>
          <w:bCs/>
          <w:sz w:val="20"/>
          <w:szCs w:val="20"/>
        </w:rPr>
        <w:t>2) Model compression without serving and scheduling is insufficient.</w:t>
      </w:r>
      <w:r w:rsidRPr="00511E7D">
        <w:rPr>
          <w:rFonts w:ascii="Helvetica" w:hAnsi="Helvetica" w:cs="Arial"/>
          <w:sz w:val="20"/>
          <w:szCs w:val="20"/>
        </w:rPr>
        <w:br/>
        <w:t>While model-level techniques such as distillation and quantization deliver meaningful per-call savings, the analysis shows that they account for only a fraction of the observed 8–20× aggregate efficiency gains. Without continuous batching, SLA-aware scheduling, and constrained decoding, theoretical reductions in FLOPs and precision do not translate into proportional reductions in realized energy or cost. Architects should therefore treat serving infrastructure and runtime configuration as first-class optimization variables, jointly tuned with model selection.</w:t>
      </w:r>
    </w:p>
    <w:p w14:paraId="6F84C591" w14:textId="220D2957" w:rsidR="00511E7D" w:rsidRPr="00511E7D" w:rsidRDefault="00511E7D" w:rsidP="00511E7D">
      <w:pPr>
        <w:spacing w:after="210" w:line="360" w:lineRule="auto"/>
        <w:rPr>
          <w:rFonts w:ascii="Helvetica" w:hAnsi="Helvetica" w:cs="Arial"/>
          <w:sz w:val="20"/>
          <w:szCs w:val="20"/>
        </w:rPr>
      </w:pPr>
      <w:r w:rsidRPr="00511E7D">
        <w:rPr>
          <w:rFonts w:ascii="Helvetica" w:hAnsi="Helvetica" w:cs="Arial"/>
          <w:b/>
          <w:bCs/>
          <w:sz w:val="20"/>
          <w:szCs w:val="20"/>
        </w:rPr>
        <w:t>3) Mixed workloads require differentiated execution paths.</w:t>
      </w:r>
      <w:r w:rsidRPr="00511E7D">
        <w:rPr>
          <w:rFonts w:ascii="Helvetica" w:hAnsi="Helvetica" w:cs="Arial"/>
          <w:sz w:val="20"/>
          <w:szCs w:val="20"/>
        </w:rPr>
        <w:br/>
        <w:t>Enterprise contract systems simultaneously support interactive workflows (e.g., live redlining) and batch workflows (e.g., portfolio reviews). The evaluation demonstrates that globally conservative batching policies—often adopted to protect interactive latency—significantly degrade efficiency for batch workloads. SLA-aware scheduling that isolates interactive traffic while enabling aggressive batching and power-aware execution for batch jobs enables high utilization without violating latency guarantees.</w:t>
      </w:r>
    </w:p>
    <w:p w14:paraId="539C3B78" w14:textId="77777777" w:rsidR="00511E7D" w:rsidRPr="00511E7D" w:rsidRDefault="00511E7D" w:rsidP="00511E7D">
      <w:pPr>
        <w:spacing w:after="210" w:line="360" w:lineRule="auto"/>
        <w:rPr>
          <w:rFonts w:ascii="Helvetica" w:hAnsi="Helvetica" w:cs="Arial"/>
          <w:b/>
          <w:bCs/>
          <w:sz w:val="20"/>
          <w:szCs w:val="20"/>
        </w:rPr>
      </w:pPr>
      <w:r w:rsidRPr="00511E7D">
        <w:rPr>
          <w:rFonts w:ascii="Helvetica" w:hAnsi="Helvetica" w:cs="Arial"/>
          <w:b/>
          <w:bCs/>
          <w:sz w:val="20"/>
          <w:szCs w:val="20"/>
        </w:rPr>
        <w:t>B. Implications for Legal Technology Vendors</w:t>
      </w:r>
    </w:p>
    <w:p w14:paraId="2BA244BC" w14:textId="77777777" w:rsidR="00511E7D" w:rsidRPr="00511E7D" w:rsidRDefault="00511E7D" w:rsidP="00511E7D">
      <w:pPr>
        <w:spacing w:after="210" w:line="360" w:lineRule="auto"/>
        <w:rPr>
          <w:rFonts w:ascii="Helvetica" w:hAnsi="Helvetica" w:cs="Arial"/>
          <w:sz w:val="20"/>
          <w:szCs w:val="20"/>
        </w:rPr>
      </w:pPr>
      <w:r w:rsidRPr="00511E7D">
        <w:rPr>
          <w:rFonts w:ascii="Helvetica" w:hAnsi="Helvetica" w:cs="Arial"/>
          <w:b/>
          <w:bCs/>
          <w:sz w:val="20"/>
          <w:szCs w:val="20"/>
        </w:rPr>
        <w:t>1) Monolithic LLM deployments are structurally inefficient.</w:t>
      </w:r>
      <w:r w:rsidRPr="00511E7D">
        <w:rPr>
          <w:rFonts w:ascii="Helvetica" w:hAnsi="Helvetica" w:cs="Arial"/>
          <w:sz w:val="20"/>
          <w:szCs w:val="20"/>
        </w:rPr>
        <w:br/>
        <w:t xml:space="preserve">The modeled NDA and MSA/DPA scenarios show that portfolios dominated by templated agreements incur </w:t>
      </w:r>
      <w:r w:rsidRPr="00511E7D">
        <w:rPr>
          <w:rFonts w:ascii="Helvetica" w:hAnsi="Helvetica" w:cs="Arial"/>
          <w:sz w:val="20"/>
          <w:szCs w:val="20"/>
        </w:rPr>
        <w:lastRenderedPageBreak/>
        <w:t>unnecessary cost and energy when processed end-to-end by large, generic LLMs. Even as per-token pricing declines, long-context, multi-pass pipelines amplify total spend and energy consumption. Vendors relying on a single model across all contract types therefore embed inefficiency directly into their system architecture.</w:t>
      </w:r>
    </w:p>
    <w:p w14:paraId="0B33A77B" w14:textId="77777777" w:rsidR="00511E7D" w:rsidRPr="00511E7D" w:rsidRDefault="00511E7D" w:rsidP="00511E7D">
      <w:pPr>
        <w:spacing w:after="210" w:line="360" w:lineRule="auto"/>
        <w:rPr>
          <w:rFonts w:ascii="Helvetica" w:hAnsi="Helvetica" w:cs="Arial"/>
          <w:sz w:val="20"/>
          <w:szCs w:val="20"/>
        </w:rPr>
      </w:pPr>
      <w:r w:rsidRPr="00511E7D">
        <w:rPr>
          <w:rFonts w:ascii="Helvetica" w:hAnsi="Helvetica" w:cs="Arial"/>
          <w:sz w:val="20"/>
          <w:szCs w:val="20"/>
        </w:rPr>
        <w:t>The results argue strongly for </w:t>
      </w:r>
      <w:r w:rsidRPr="00511E7D">
        <w:rPr>
          <w:rFonts w:ascii="Helvetica" w:hAnsi="Helvetica" w:cs="Arial"/>
          <w:i/>
          <w:iCs/>
          <w:sz w:val="20"/>
          <w:szCs w:val="20"/>
        </w:rPr>
        <w:t>contract-type–aware</w:t>
      </w:r>
      <w:r w:rsidRPr="00511E7D">
        <w:rPr>
          <w:rFonts w:ascii="Helvetica" w:hAnsi="Helvetica" w:cs="Arial"/>
          <w:sz w:val="20"/>
          <w:szCs w:val="20"/>
        </w:rPr>
        <w:t> and </w:t>
      </w:r>
      <w:r w:rsidRPr="00511E7D">
        <w:rPr>
          <w:rFonts w:ascii="Helvetica" w:hAnsi="Helvetica" w:cs="Arial"/>
          <w:i/>
          <w:iCs/>
          <w:sz w:val="20"/>
          <w:szCs w:val="20"/>
        </w:rPr>
        <w:t>clause-aware</w:t>
      </w:r>
      <w:r w:rsidRPr="00511E7D">
        <w:rPr>
          <w:rFonts w:ascii="Helvetica" w:hAnsi="Helvetica" w:cs="Arial"/>
          <w:sz w:val="20"/>
          <w:szCs w:val="20"/>
        </w:rPr>
        <w:t> routing as core design principles, rather than optional optimizations.</w:t>
      </w:r>
    </w:p>
    <w:p w14:paraId="57ACE296" w14:textId="77777777" w:rsidR="00511E7D" w:rsidRPr="00511E7D" w:rsidRDefault="00511E7D" w:rsidP="00511E7D">
      <w:pPr>
        <w:spacing w:after="210" w:line="360" w:lineRule="auto"/>
        <w:rPr>
          <w:rFonts w:ascii="Helvetica" w:hAnsi="Helvetica" w:cs="Arial"/>
          <w:sz w:val="20"/>
          <w:szCs w:val="20"/>
        </w:rPr>
      </w:pPr>
      <w:r w:rsidRPr="00511E7D">
        <w:rPr>
          <w:rFonts w:ascii="Helvetica" w:hAnsi="Helvetica" w:cs="Arial"/>
          <w:b/>
          <w:bCs/>
          <w:sz w:val="20"/>
          <w:szCs w:val="20"/>
        </w:rPr>
        <w:t>2) Clause-level intelligence unlocks disproportionate gains.</w:t>
      </w:r>
      <w:r w:rsidRPr="00511E7D">
        <w:rPr>
          <w:rFonts w:ascii="Helvetica" w:hAnsi="Helvetica" w:cs="Arial"/>
          <w:sz w:val="20"/>
          <w:szCs w:val="20"/>
        </w:rPr>
        <w:br/>
        <w:t>Fine-grained escalation—where only low-confidence or atypical clauses are routed to higher-capacity models—emerges as a dominant efficiency lever. As modeled in Section V.D, this approach can deliver materially lower $/contract and Wh/contract (e.g., 12–26× reductions for NDA and MSA/DPA scenarios) without compromising legal defensibility. Vendors that invest in uncertainty estimation, confidence calibration, and clause-level governance infrastructure can therefore achieve substantial efficiency gains while preserving legal rigor.</w:t>
      </w:r>
    </w:p>
    <w:p w14:paraId="513A33CB" w14:textId="78EBB74F" w:rsidR="00511E7D" w:rsidRPr="00511E7D" w:rsidRDefault="00511E7D" w:rsidP="00511E7D">
      <w:pPr>
        <w:spacing w:after="210" w:line="360" w:lineRule="auto"/>
        <w:rPr>
          <w:rFonts w:ascii="Helvetica" w:hAnsi="Helvetica" w:cs="Arial"/>
          <w:sz w:val="20"/>
          <w:szCs w:val="20"/>
        </w:rPr>
      </w:pPr>
      <w:r w:rsidRPr="00511E7D">
        <w:rPr>
          <w:rFonts w:ascii="Helvetica" w:hAnsi="Helvetica" w:cs="Arial"/>
          <w:b/>
          <w:bCs/>
          <w:sz w:val="20"/>
          <w:szCs w:val="20"/>
        </w:rPr>
        <w:t>3) Efficiency and auditability are aligned, not opposed.</w:t>
      </w:r>
      <w:r w:rsidRPr="00511E7D">
        <w:rPr>
          <w:rFonts w:ascii="Helvetica" w:hAnsi="Helvetica" w:cs="Arial"/>
          <w:sz w:val="20"/>
          <w:szCs w:val="20"/>
        </w:rPr>
        <w:br/>
        <w:t>A common concern in legal AI is that optimization undermines explainability or compliance. The framework and evaluation demonstrate the opposite: routing, escalation, and early-exit decisions must be logged for governance reasons, and these same mechanisms enable targeted computation and reduced inference volume. Vendors can thus position efficiency gains as a consequence of stronger auditability and control, rather than as a trade-off.</w:t>
      </w:r>
    </w:p>
    <w:p w14:paraId="40E1DF64" w14:textId="77777777" w:rsidR="00511E7D" w:rsidRPr="00511E7D" w:rsidRDefault="00511E7D" w:rsidP="00511E7D">
      <w:pPr>
        <w:spacing w:after="210" w:line="360" w:lineRule="auto"/>
        <w:rPr>
          <w:rFonts w:ascii="Helvetica" w:hAnsi="Helvetica" w:cs="Arial"/>
          <w:b/>
          <w:bCs/>
          <w:sz w:val="20"/>
          <w:szCs w:val="20"/>
        </w:rPr>
      </w:pPr>
      <w:r w:rsidRPr="00511E7D">
        <w:rPr>
          <w:rFonts w:ascii="Helvetica" w:hAnsi="Helvetica" w:cs="Arial"/>
          <w:b/>
          <w:bCs/>
          <w:sz w:val="20"/>
          <w:szCs w:val="20"/>
        </w:rPr>
        <w:t>C. Implications for Enterprise Buyers and ESG-Constrained Organizations</w:t>
      </w:r>
    </w:p>
    <w:p w14:paraId="3443E7B4" w14:textId="77777777" w:rsidR="00511E7D" w:rsidRPr="00511E7D" w:rsidRDefault="00511E7D" w:rsidP="00511E7D">
      <w:pPr>
        <w:spacing w:after="210" w:line="360" w:lineRule="auto"/>
        <w:rPr>
          <w:rFonts w:ascii="Helvetica" w:hAnsi="Helvetica" w:cs="Arial"/>
          <w:sz w:val="20"/>
          <w:szCs w:val="20"/>
        </w:rPr>
      </w:pPr>
      <w:r w:rsidRPr="00511E7D">
        <w:rPr>
          <w:rFonts w:ascii="Helvetica" w:hAnsi="Helvetica" w:cs="Arial"/>
          <w:b/>
          <w:bCs/>
          <w:sz w:val="20"/>
          <w:szCs w:val="20"/>
        </w:rPr>
        <w:t>1) Wh/contract is the right unit of accountability.</w:t>
      </w:r>
      <w:r w:rsidRPr="00511E7D">
        <w:rPr>
          <w:rFonts w:ascii="Helvetica" w:hAnsi="Helvetica" w:cs="Arial"/>
          <w:sz w:val="20"/>
          <w:szCs w:val="20"/>
        </w:rPr>
        <w:br/>
        <w:t>The evaluation shows that Wh/query or Wh/token in isolation obscures the dominant cost drivers in contract analysis, namely long context lengths and multi-pass workflows. Enterprises seeking to manage both operational expenditure and environmental impact should adopt Wh/contract (or Wh/workflow) as the primary reporting unit, as formalized in Section III.B, because it directly reflects real usage patterns and business volume.</w:t>
      </w:r>
    </w:p>
    <w:p w14:paraId="2C1CBF35" w14:textId="77777777" w:rsidR="00511E7D" w:rsidRPr="00511E7D" w:rsidRDefault="00511E7D" w:rsidP="00511E7D">
      <w:pPr>
        <w:spacing w:after="210" w:line="360" w:lineRule="auto"/>
        <w:rPr>
          <w:rFonts w:ascii="Helvetica" w:hAnsi="Helvetica" w:cs="Arial"/>
          <w:sz w:val="20"/>
          <w:szCs w:val="20"/>
        </w:rPr>
      </w:pPr>
      <w:r w:rsidRPr="00511E7D">
        <w:rPr>
          <w:rFonts w:ascii="Helvetica" w:hAnsi="Helvetica" w:cs="Arial"/>
          <w:b/>
          <w:bCs/>
          <w:sz w:val="20"/>
          <w:szCs w:val="20"/>
        </w:rPr>
        <w:t>2) Cost and energy objectives are tightly coupled.</w:t>
      </w:r>
      <w:r w:rsidRPr="00511E7D">
        <w:rPr>
          <w:rFonts w:ascii="Helvetica" w:hAnsi="Helvetica" w:cs="Arial"/>
          <w:sz w:val="20"/>
          <w:szCs w:val="20"/>
        </w:rPr>
        <w:br/>
        <w:t>Because GPU provisioning and inference pricing are strongly correlated with energy consumption and tokens processed, the same architectural optimizations that reduce Wh/contract also yield proportional reductions in $/contract under unchanged pricing assumptions. This alignment simplifies governance: efficiency initiatives motivated by ESG reporting simultaneously reduce operating costs, avoiding competing incentives between sustainability and finance teams.</w:t>
      </w:r>
    </w:p>
    <w:p w14:paraId="5F6FD8C6" w14:textId="263940CE" w:rsidR="00511E7D" w:rsidRPr="00511E7D" w:rsidRDefault="00511E7D" w:rsidP="00511E7D">
      <w:pPr>
        <w:spacing w:after="210" w:line="360" w:lineRule="auto"/>
        <w:rPr>
          <w:rFonts w:ascii="Helvetica" w:hAnsi="Helvetica" w:cs="Arial"/>
          <w:sz w:val="20"/>
          <w:szCs w:val="20"/>
        </w:rPr>
      </w:pPr>
      <w:r w:rsidRPr="00511E7D">
        <w:rPr>
          <w:rFonts w:ascii="Helvetica" w:hAnsi="Helvetica" w:cs="Arial"/>
          <w:b/>
          <w:bCs/>
          <w:sz w:val="20"/>
          <w:szCs w:val="20"/>
        </w:rPr>
        <w:lastRenderedPageBreak/>
        <w:t>3) Hybrid deployment strategies benefit from architectural efficiency.</w:t>
      </w:r>
      <w:r w:rsidRPr="00511E7D">
        <w:rPr>
          <w:rFonts w:ascii="Helvetica" w:hAnsi="Helvetica" w:cs="Arial"/>
          <w:sz w:val="20"/>
          <w:szCs w:val="20"/>
        </w:rPr>
        <w:br/>
        <w:t>Legal, regulatory, and confidentiality constraints often require hybrid on-premises and cloud deployments. The evaluation indicates that reducing inference volume and call count lowers pressure on constrained private infrastructure, making it easier to satisfy data residency and confidentiality requirements without overprovisioning hardware. Efficient architectures therefore expand the feasible design space for compliant deployments, rather than constraining it.</w:t>
      </w:r>
    </w:p>
    <w:p w14:paraId="60DC1D63" w14:textId="77777777" w:rsidR="00511E7D" w:rsidRPr="00511E7D" w:rsidRDefault="00511E7D" w:rsidP="00511E7D">
      <w:pPr>
        <w:spacing w:after="210" w:line="360" w:lineRule="auto"/>
        <w:rPr>
          <w:rFonts w:ascii="Helvetica" w:hAnsi="Helvetica" w:cs="Arial"/>
          <w:b/>
          <w:bCs/>
          <w:sz w:val="20"/>
          <w:szCs w:val="20"/>
        </w:rPr>
      </w:pPr>
      <w:r w:rsidRPr="00511E7D">
        <w:rPr>
          <w:rFonts w:ascii="Helvetica" w:hAnsi="Helvetica" w:cs="Arial"/>
          <w:b/>
          <w:bCs/>
          <w:sz w:val="20"/>
          <w:szCs w:val="20"/>
        </w:rPr>
        <w:t>D. Architectural Takeaway</w:t>
      </w:r>
    </w:p>
    <w:p w14:paraId="0A6F4EE3" w14:textId="38FD6972" w:rsidR="00511E7D" w:rsidRPr="00511E7D" w:rsidRDefault="00511E7D" w:rsidP="00502315">
      <w:pPr>
        <w:spacing w:after="210" w:line="360" w:lineRule="auto"/>
        <w:rPr>
          <w:rFonts w:ascii="Helvetica" w:hAnsi="Helvetica" w:cs="Arial"/>
          <w:sz w:val="20"/>
          <w:szCs w:val="20"/>
        </w:rPr>
      </w:pPr>
      <w:r w:rsidRPr="00511E7D">
        <w:rPr>
          <w:rFonts w:ascii="Helvetica" w:hAnsi="Helvetica" w:cs="Arial"/>
          <w:sz w:val="20"/>
          <w:szCs w:val="20"/>
        </w:rPr>
        <w:t>Taken together, the results imply a shift in how enterprise contract AI systems should be designed. Efficiency is not primarily a property of </w:t>
      </w:r>
      <w:r w:rsidRPr="00511E7D">
        <w:rPr>
          <w:rFonts w:ascii="Helvetica" w:hAnsi="Helvetica" w:cs="Arial"/>
          <w:i/>
          <w:iCs/>
          <w:sz w:val="20"/>
          <w:szCs w:val="20"/>
        </w:rPr>
        <w:t>which model is used</w:t>
      </w:r>
      <w:r w:rsidRPr="00511E7D">
        <w:rPr>
          <w:rFonts w:ascii="Helvetica" w:hAnsi="Helvetica" w:cs="Arial"/>
          <w:sz w:val="20"/>
          <w:szCs w:val="20"/>
        </w:rPr>
        <w:t>, but of </w:t>
      </w:r>
      <w:r w:rsidRPr="00511E7D">
        <w:rPr>
          <w:rFonts w:ascii="Helvetica" w:hAnsi="Helvetica" w:cs="Arial"/>
          <w:i/>
          <w:iCs/>
          <w:sz w:val="20"/>
          <w:szCs w:val="20"/>
        </w:rPr>
        <w:t>how inference is structured, routed, scheduled, and governed</w:t>
      </w:r>
      <w:r w:rsidRPr="00511E7D">
        <w:rPr>
          <w:rFonts w:ascii="Helvetica" w:hAnsi="Helvetica" w:cs="Arial"/>
          <w:sz w:val="20"/>
          <w:szCs w:val="20"/>
        </w:rPr>
        <w:t>. Systems that treat workflow orchestration, serving infrastructure, and compliance constraints as first-class design elements can achieve order-of-magnitude reductions in cost and energy while preserving legal accuracy and trust. Conversely, systems that rely solely on cheaper models or per-token pricing improvements will continue to face rising inference costs as contract complexity and context length grow.</w:t>
      </w:r>
    </w:p>
    <w:p w14:paraId="7D75D2B6" w14:textId="77777777" w:rsidR="00446FB0" w:rsidRPr="00446FB0" w:rsidRDefault="00446FB0" w:rsidP="00446FB0">
      <w:pPr>
        <w:spacing w:after="210" w:line="360" w:lineRule="auto"/>
        <w:rPr>
          <w:rFonts w:ascii="Helvetica" w:hAnsi="Helvetica" w:cs="Arial"/>
          <w:b/>
          <w:bCs/>
          <w:sz w:val="20"/>
          <w:szCs w:val="20"/>
        </w:rPr>
      </w:pPr>
      <w:r w:rsidRPr="00446FB0">
        <w:rPr>
          <w:rFonts w:ascii="Helvetica" w:hAnsi="Helvetica" w:cs="Arial"/>
          <w:b/>
          <w:bCs/>
          <w:sz w:val="20"/>
          <w:szCs w:val="20"/>
        </w:rPr>
        <w:t>VI.C Comparison to Prior Efficiency and Document AI Work</w:t>
      </w:r>
    </w:p>
    <w:p w14:paraId="2C2179EB" w14:textId="77777777" w:rsidR="00446FB0" w:rsidRPr="00446FB0" w:rsidRDefault="00446FB0" w:rsidP="00446FB0">
      <w:pPr>
        <w:spacing w:after="210" w:line="360" w:lineRule="auto"/>
        <w:rPr>
          <w:rFonts w:ascii="Helvetica" w:hAnsi="Helvetica" w:cs="Arial"/>
          <w:sz w:val="20"/>
          <w:szCs w:val="20"/>
        </w:rPr>
      </w:pPr>
      <w:r w:rsidRPr="00446FB0">
        <w:rPr>
          <w:rFonts w:ascii="Helvetica" w:hAnsi="Helvetica" w:cs="Arial"/>
          <w:sz w:val="20"/>
          <w:szCs w:val="20"/>
        </w:rPr>
        <w:t>The efficiency gains demonstrated in this paper build on, but are fundamentally distinct from, prior work on efficient AI systems, document understanding, and Green AI. Existing literature has largely addressed efficiency in isolation—at the level of model architecture, inference kernels, hardware accelerators, or pricing trends—without accounting for the structural properties, governance constraints, and multi-stage workflows that characterize enterprise contract analysis. This section situates the present work within that landscape and clarifies its technical contribution.</w:t>
      </w:r>
    </w:p>
    <w:p w14:paraId="1B4EF222" w14:textId="77777777" w:rsidR="00446FB0" w:rsidRPr="00446FB0" w:rsidRDefault="00446FB0" w:rsidP="00446FB0">
      <w:pPr>
        <w:spacing w:after="210" w:line="360" w:lineRule="auto"/>
        <w:rPr>
          <w:rFonts w:ascii="Helvetica" w:hAnsi="Helvetica" w:cs="Arial"/>
          <w:b/>
          <w:bCs/>
          <w:sz w:val="20"/>
          <w:szCs w:val="20"/>
        </w:rPr>
      </w:pPr>
      <w:r w:rsidRPr="00446FB0">
        <w:rPr>
          <w:rFonts w:ascii="Helvetica" w:hAnsi="Helvetica" w:cs="Arial"/>
          <w:b/>
          <w:bCs/>
          <w:sz w:val="20"/>
          <w:szCs w:val="20"/>
        </w:rPr>
        <w:t>A. Comparison to Generic LLM Inference Efficiency Research</w:t>
      </w:r>
    </w:p>
    <w:p w14:paraId="3EABB9F3" w14:textId="382CBACF" w:rsidR="00446FB0" w:rsidRPr="00446FB0" w:rsidRDefault="00446FB0" w:rsidP="00446FB0">
      <w:pPr>
        <w:spacing w:after="210" w:line="360" w:lineRule="auto"/>
        <w:rPr>
          <w:rFonts w:ascii="Helvetica" w:hAnsi="Helvetica" w:cs="Arial"/>
          <w:sz w:val="20"/>
          <w:szCs w:val="20"/>
        </w:rPr>
      </w:pPr>
      <w:r w:rsidRPr="00446FB0">
        <w:rPr>
          <w:rFonts w:ascii="Helvetica" w:hAnsi="Helvetica" w:cs="Arial"/>
          <w:sz w:val="20"/>
          <w:szCs w:val="20"/>
        </w:rPr>
        <w:t>A growing body of work studies the energy and cost of large language model inference, proposing optimizations such as quantization, kernel fusion, batching, speculative decoding, and improved accelerator utilization. Recent production-calibrated studies of AI inference energy and cost—most notably Microsoft Research’s large-scale analysis of test-time compute—quantify energy per query, demonstrate the impact of test-time scaling, and show that coordinated optimizations can yield substantial efficiency gains.</w:t>
      </w:r>
    </w:p>
    <w:p w14:paraId="5D097093" w14:textId="77777777" w:rsidR="00446FB0" w:rsidRPr="00446FB0" w:rsidRDefault="00446FB0" w:rsidP="00446FB0">
      <w:pPr>
        <w:spacing w:after="210" w:line="360" w:lineRule="auto"/>
        <w:rPr>
          <w:rFonts w:ascii="Helvetica" w:hAnsi="Helvetica" w:cs="Arial"/>
          <w:sz w:val="20"/>
          <w:szCs w:val="20"/>
        </w:rPr>
      </w:pPr>
      <w:r w:rsidRPr="00446FB0">
        <w:rPr>
          <w:rFonts w:ascii="Helvetica" w:hAnsi="Helvetica" w:cs="Arial"/>
          <w:sz w:val="20"/>
          <w:szCs w:val="20"/>
        </w:rPr>
        <w:t>While this literature provides essential quantitative anchors—many of which are used in the evaluation of Section V—it typically treats inference requests as homogeneous queries, abstracted away from application-specific structure. As a result, these works do not model:</w:t>
      </w:r>
    </w:p>
    <w:p w14:paraId="4E309450" w14:textId="77777777" w:rsidR="00446FB0" w:rsidRPr="00446FB0" w:rsidRDefault="00446FB0" w:rsidP="00446FB0">
      <w:pPr>
        <w:numPr>
          <w:ilvl w:val="0"/>
          <w:numId w:val="59"/>
        </w:numPr>
        <w:spacing w:after="210" w:line="360" w:lineRule="auto"/>
        <w:rPr>
          <w:rFonts w:ascii="Helvetica" w:hAnsi="Helvetica" w:cs="Arial"/>
          <w:sz w:val="20"/>
          <w:szCs w:val="20"/>
        </w:rPr>
      </w:pPr>
      <w:r w:rsidRPr="00446FB0">
        <w:rPr>
          <w:rFonts w:ascii="Helvetica" w:hAnsi="Helvetica" w:cs="Arial"/>
          <w:sz w:val="20"/>
          <w:szCs w:val="20"/>
        </w:rPr>
        <w:t>Multi-pass pipelines where a single business artifact induces several inference calls,</w:t>
      </w:r>
    </w:p>
    <w:p w14:paraId="38B6A3E5" w14:textId="77777777" w:rsidR="00446FB0" w:rsidRPr="00446FB0" w:rsidRDefault="00446FB0" w:rsidP="00446FB0">
      <w:pPr>
        <w:numPr>
          <w:ilvl w:val="0"/>
          <w:numId w:val="59"/>
        </w:numPr>
        <w:spacing w:after="210" w:line="360" w:lineRule="auto"/>
        <w:rPr>
          <w:rFonts w:ascii="Helvetica" w:hAnsi="Helvetica" w:cs="Arial"/>
          <w:sz w:val="20"/>
          <w:szCs w:val="20"/>
        </w:rPr>
      </w:pPr>
      <w:r w:rsidRPr="00446FB0">
        <w:rPr>
          <w:rFonts w:ascii="Helvetica" w:hAnsi="Helvetica" w:cs="Arial"/>
          <w:sz w:val="20"/>
          <w:szCs w:val="20"/>
        </w:rPr>
        <w:lastRenderedPageBreak/>
        <w:t>Long-context documents with structured sections and repeated boilerplate,</w:t>
      </w:r>
    </w:p>
    <w:p w14:paraId="51BA5212" w14:textId="77777777" w:rsidR="00446FB0" w:rsidRPr="00446FB0" w:rsidRDefault="00446FB0" w:rsidP="00446FB0">
      <w:pPr>
        <w:numPr>
          <w:ilvl w:val="0"/>
          <w:numId w:val="59"/>
        </w:numPr>
        <w:spacing w:after="210" w:line="360" w:lineRule="auto"/>
        <w:rPr>
          <w:rFonts w:ascii="Helvetica" w:hAnsi="Helvetica" w:cs="Arial"/>
          <w:sz w:val="20"/>
          <w:szCs w:val="20"/>
        </w:rPr>
      </w:pPr>
      <w:r w:rsidRPr="00446FB0">
        <w:rPr>
          <w:rFonts w:ascii="Helvetica" w:hAnsi="Helvetica" w:cs="Arial"/>
          <w:sz w:val="20"/>
          <w:szCs w:val="20"/>
        </w:rPr>
        <w:t>Conditional execution paths driven by domain semantics, or</w:t>
      </w:r>
    </w:p>
    <w:p w14:paraId="73EB5A1F" w14:textId="77777777" w:rsidR="00446FB0" w:rsidRPr="00446FB0" w:rsidRDefault="00446FB0" w:rsidP="00446FB0">
      <w:pPr>
        <w:numPr>
          <w:ilvl w:val="0"/>
          <w:numId w:val="59"/>
        </w:numPr>
        <w:spacing w:after="210" w:line="360" w:lineRule="auto"/>
        <w:rPr>
          <w:rFonts w:ascii="Helvetica" w:hAnsi="Helvetica" w:cs="Arial"/>
          <w:sz w:val="20"/>
          <w:szCs w:val="20"/>
        </w:rPr>
      </w:pPr>
      <w:r w:rsidRPr="00446FB0">
        <w:rPr>
          <w:rFonts w:ascii="Helvetica" w:hAnsi="Helvetica" w:cs="Arial"/>
          <w:sz w:val="20"/>
          <w:szCs w:val="20"/>
        </w:rPr>
        <w:t>Legal accuracy constraints that bound how aggressively inference can be approximated or truncated.</w:t>
      </w:r>
    </w:p>
    <w:p w14:paraId="26ED5272" w14:textId="3929FEBC" w:rsidR="00446FB0" w:rsidRPr="00446FB0" w:rsidRDefault="00446FB0" w:rsidP="00446FB0">
      <w:pPr>
        <w:spacing w:after="210" w:line="360" w:lineRule="auto"/>
        <w:rPr>
          <w:rFonts w:ascii="Helvetica" w:hAnsi="Helvetica" w:cs="Arial"/>
          <w:sz w:val="20"/>
          <w:szCs w:val="20"/>
        </w:rPr>
      </w:pPr>
      <w:r w:rsidRPr="00446FB0">
        <w:rPr>
          <w:rFonts w:ascii="Helvetica" w:hAnsi="Helvetica" w:cs="Arial"/>
          <w:sz w:val="20"/>
          <w:szCs w:val="20"/>
        </w:rPr>
        <w:t>In contrast, the present work embeds published inference efficiency results into a </w:t>
      </w:r>
      <w:r w:rsidRPr="00446FB0">
        <w:rPr>
          <w:rFonts w:ascii="Helvetica" w:hAnsi="Helvetica" w:cs="Arial"/>
          <w:i/>
          <w:iCs/>
          <w:sz w:val="20"/>
          <w:szCs w:val="20"/>
        </w:rPr>
        <w:t>contract-aware workload model</w:t>
      </w:r>
      <w:r w:rsidRPr="00446FB0">
        <w:rPr>
          <w:rFonts w:ascii="Helvetica" w:hAnsi="Helvetica" w:cs="Arial"/>
          <w:sz w:val="20"/>
          <w:szCs w:val="20"/>
        </w:rPr>
        <w:t>, explicitly accounting for call count </w:t>
      </w:r>
      <m:oMath>
        <m:sSub>
          <m:sSubPr>
            <m:ctrlPr>
              <w:rPr>
                <w:rFonts w:ascii="Cambria Math" w:hAnsi="Cambria Math" w:cs="Arial"/>
                <w:sz w:val="20"/>
                <w:szCs w:val="20"/>
              </w:rPr>
            </m:ctrlPr>
          </m:sSubPr>
          <m:e>
            <m:r>
              <w:rPr>
                <w:rFonts w:ascii="Cambria Math" w:hAnsi="Cambria Math" w:cs="Arial"/>
                <w:sz w:val="20"/>
                <w:szCs w:val="20"/>
              </w:rPr>
              <m:t>K</m:t>
            </m:r>
          </m:e>
          <m:sub>
            <m:r>
              <w:rPr>
                <w:rFonts w:ascii="Cambria Math" w:hAnsi="Cambria Math" w:cs="Arial"/>
                <w:sz w:val="20"/>
                <w:szCs w:val="20"/>
              </w:rPr>
              <m:t>i</m:t>
            </m:r>
          </m:sub>
        </m:sSub>
      </m:oMath>
      <w:r w:rsidRPr="00446FB0">
        <w:rPr>
          <w:rFonts w:ascii="Helvetica" w:hAnsi="Helvetica" w:cs="Arial"/>
          <w:sz w:val="20"/>
          <w:szCs w:val="20"/>
        </w:rPr>
        <w:t>, token volume, and task heterogeneity at the document and clause levels. The resulting analysis shows that reductions in </w:t>
      </w:r>
      <m:oMath>
        <m:sSub>
          <m:sSubPr>
            <m:ctrlPr>
              <w:rPr>
                <w:rFonts w:ascii="Cambria Math" w:hAnsi="Cambria Math" w:cs="Arial"/>
                <w:sz w:val="20"/>
                <w:szCs w:val="20"/>
              </w:rPr>
            </m:ctrlPr>
          </m:sSubPr>
          <m:e>
            <m:r>
              <w:rPr>
                <w:rFonts w:ascii="Cambria Math" w:hAnsi="Cambria Math" w:cs="Arial"/>
                <w:sz w:val="20"/>
                <w:szCs w:val="20"/>
              </w:rPr>
              <m:t>K</m:t>
            </m:r>
          </m:e>
          <m:sub>
            <m:r>
              <w:rPr>
                <w:rFonts w:ascii="Cambria Math" w:hAnsi="Cambria Math" w:cs="Arial"/>
                <w:sz w:val="20"/>
                <w:szCs w:val="20"/>
              </w:rPr>
              <m:t>i</m:t>
            </m:r>
          </m:sub>
        </m:sSub>
      </m:oMath>
      <w:r w:rsidRPr="00446FB0">
        <w:rPr>
          <w:rFonts w:ascii="Helvetica" w:hAnsi="Helvetica" w:cs="Arial"/>
          <w:sz w:val="20"/>
          <w:szCs w:val="20"/>
        </w:rPr>
        <w:t> and selective execution dominate efficiency outcomes for legal workflows—an effect that cannot be observed in query-centric efficiency studies alone.</w:t>
      </w:r>
    </w:p>
    <w:p w14:paraId="7980AA90" w14:textId="77777777" w:rsidR="00446FB0" w:rsidRPr="00446FB0" w:rsidRDefault="00446FB0" w:rsidP="00446FB0">
      <w:pPr>
        <w:spacing w:after="210" w:line="360" w:lineRule="auto"/>
        <w:rPr>
          <w:rFonts w:ascii="Helvetica" w:hAnsi="Helvetica" w:cs="Arial"/>
          <w:b/>
          <w:bCs/>
          <w:sz w:val="20"/>
          <w:szCs w:val="20"/>
        </w:rPr>
      </w:pPr>
      <w:r w:rsidRPr="00446FB0">
        <w:rPr>
          <w:rFonts w:ascii="Helvetica" w:hAnsi="Helvetica" w:cs="Arial"/>
          <w:b/>
          <w:bCs/>
          <w:sz w:val="20"/>
          <w:szCs w:val="20"/>
        </w:rPr>
        <w:t>B. Comparison to Model-Centric Compression and Green AI Work</w:t>
      </w:r>
    </w:p>
    <w:p w14:paraId="581C5DA2" w14:textId="77777777" w:rsidR="00446FB0" w:rsidRPr="00446FB0" w:rsidRDefault="00446FB0" w:rsidP="00446FB0">
      <w:pPr>
        <w:spacing w:after="210" w:line="360" w:lineRule="auto"/>
        <w:rPr>
          <w:rFonts w:ascii="Helvetica" w:hAnsi="Helvetica" w:cs="Arial"/>
          <w:sz w:val="20"/>
          <w:szCs w:val="20"/>
        </w:rPr>
      </w:pPr>
      <w:r w:rsidRPr="00446FB0">
        <w:rPr>
          <w:rFonts w:ascii="Helvetica" w:hAnsi="Helvetica" w:cs="Arial"/>
          <w:sz w:val="20"/>
          <w:szCs w:val="20"/>
        </w:rPr>
        <w:t>Another substantial body of prior work focuses on reducing the environmental footprint of AI through model-centric techniques, including parameter pruning, low-precision arithmetic, efficient transformer architectures, and student–teacher distillation. Closely related Green AI literature emphasizes reporting energy and carbon costs, often with a strong focus on training efficiency.</w:t>
      </w:r>
    </w:p>
    <w:p w14:paraId="5340EB57" w14:textId="77777777" w:rsidR="00446FB0" w:rsidRPr="00446FB0" w:rsidRDefault="00446FB0" w:rsidP="00446FB0">
      <w:pPr>
        <w:spacing w:after="210" w:line="360" w:lineRule="auto"/>
        <w:rPr>
          <w:rFonts w:ascii="Helvetica" w:hAnsi="Helvetica" w:cs="Arial"/>
          <w:sz w:val="20"/>
          <w:szCs w:val="20"/>
        </w:rPr>
      </w:pPr>
      <w:r w:rsidRPr="00446FB0">
        <w:rPr>
          <w:rFonts w:ascii="Helvetica" w:hAnsi="Helvetica" w:cs="Arial"/>
          <w:sz w:val="20"/>
          <w:szCs w:val="20"/>
        </w:rPr>
        <w:t>This paper differs in two key respects. First, it is explicitly </w:t>
      </w:r>
      <w:r w:rsidRPr="00446FB0">
        <w:rPr>
          <w:rFonts w:ascii="Helvetica" w:hAnsi="Helvetica" w:cs="Arial"/>
          <w:i/>
          <w:iCs/>
          <w:sz w:val="20"/>
          <w:szCs w:val="20"/>
        </w:rPr>
        <w:t>training-agnostic</w:t>
      </w:r>
      <w:r w:rsidRPr="00446FB0">
        <w:rPr>
          <w:rFonts w:ascii="Helvetica" w:hAnsi="Helvetica" w:cs="Arial"/>
          <w:sz w:val="20"/>
          <w:szCs w:val="20"/>
        </w:rPr>
        <w:t> and inference-centric, reflecting the reality that enterprise contract analysis systems operate on fixed, pretrained models whose primary cost and energy burden arises at test time. Second, rather than proposing new compression mechanisms, the paper analyzes how existing techniques interact with legal accuracy constraints and multi-stage workflows. The evaluation shows that even aggressive model compression yields limited benefits unless paired with serving, hardware, and workflow-level controls.</w:t>
      </w:r>
    </w:p>
    <w:p w14:paraId="7C913A20" w14:textId="77777777" w:rsidR="00446FB0" w:rsidRPr="00446FB0" w:rsidRDefault="00446FB0" w:rsidP="00446FB0">
      <w:pPr>
        <w:spacing w:after="210" w:line="360" w:lineRule="auto"/>
        <w:rPr>
          <w:rFonts w:ascii="Helvetica" w:hAnsi="Helvetica" w:cs="Arial"/>
          <w:sz w:val="20"/>
          <w:szCs w:val="20"/>
        </w:rPr>
      </w:pPr>
      <w:r w:rsidRPr="00446FB0">
        <w:rPr>
          <w:rFonts w:ascii="Helvetica" w:hAnsi="Helvetica" w:cs="Arial"/>
          <w:sz w:val="20"/>
          <w:szCs w:val="20"/>
        </w:rPr>
        <w:t>By framing model optimization as only one layer in a broader system design, this work complements Green AI research while addressing a different optimization target: sustained, production-scale inference under domain-specific correctness and governance requirements.</w:t>
      </w:r>
    </w:p>
    <w:p w14:paraId="6A6FCF70" w14:textId="77777777" w:rsidR="00446FB0" w:rsidRPr="00446FB0" w:rsidRDefault="00446FB0" w:rsidP="00446FB0">
      <w:pPr>
        <w:spacing w:after="210" w:line="360" w:lineRule="auto"/>
        <w:rPr>
          <w:rFonts w:ascii="Helvetica" w:hAnsi="Helvetica" w:cs="Arial"/>
          <w:b/>
          <w:bCs/>
          <w:sz w:val="20"/>
          <w:szCs w:val="20"/>
        </w:rPr>
      </w:pPr>
      <w:r w:rsidRPr="00446FB0">
        <w:rPr>
          <w:rFonts w:ascii="Helvetica" w:hAnsi="Helvetica" w:cs="Arial"/>
          <w:b/>
          <w:bCs/>
          <w:sz w:val="20"/>
          <w:szCs w:val="20"/>
        </w:rPr>
        <w:t>C. Comparison to Document AI and Legal NLP Literature</w:t>
      </w:r>
    </w:p>
    <w:p w14:paraId="5E75F897" w14:textId="77777777" w:rsidR="00446FB0" w:rsidRPr="00446FB0" w:rsidRDefault="00446FB0" w:rsidP="00446FB0">
      <w:pPr>
        <w:spacing w:after="210" w:line="360" w:lineRule="auto"/>
        <w:rPr>
          <w:rFonts w:ascii="Helvetica" w:hAnsi="Helvetica" w:cs="Arial"/>
          <w:sz w:val="20"/>
          <w:szCs w:val="20"/>
        </w:rPr>
      </w:pPr>
      <w:r w:rsidRPr="00446FB0">
        <w:rPr>
          <w:rFonts w:ascii="Helvetica" w:hAnsi="Helvetica" w:cs="Arial"/>
          <w:sz w:val="20"/>
          <w:szCs w:val="20"/>
        </w:rPr>
        <w:t>Surveys and benchmarks in document AI and legal NLP have extensively characterized tasks such as clause classification, entity extraction, layout understanding, and document summarization. This literature establishes that contracts are long, structured, and often multimodal, and it reports accuracy metrics for a variety of legal tasks and datasets.</w:t>
      </w:r>
    </w:p>
    <w:p w14:paraId="6ECEB130" w14:textId="57EA7AA8" w:rsidR="00446FB0" w:rsidRPr="00446FB0" w:rsidRDefault="00446FB0" w:rsidP="00446FB0">
      <w:pPr>
        <w:spacing w:after="210" w:line="360" w:lineRule="auto"/>
        <w:rPr>
          <w:rFonts w:ascii="Helvetica" w:hAnsi="Helvetica" w:cs="Arial"/>
          <w:sz w:val="20"/>
          <w:szCs w:val="20"/>
        </w:rPr>
      </w:pPr>
      <w:r w:rsidRPr="00446FB0">
        <w:rPr>
          <w:rFonts w:ascii="Helvetica" w:hAnsi="Helvetica" w:cs="Arial"/>
          <w:sz w:val="20"/>
          <w:szCs w:val="20"/>
        </w:rPr>
        <w:t xml:space="preserve">However, most document AI research evaluates models in isolation or under simplified inference assumptions. Runtime behavior, deployment cost, energy consumption (e.g., Wh/contract), and inference </w:t>
      </w:r>
      <w:r w:rsidRPr="00446FB0">
        <w:rPr>
          <w:rFonts w:ascii="Helvetica" w:hAnsi="Helvetica" w:cs="Arial"/>
          <w:sz w:val="20"/>
          <w:szCs w:val="20"/>
        </w:rPr>
        <w:lastRenderedPageBreak/>
        <w:t>serving architecture are typically outside the scope of document AI and legal NLP evaluations. As a result, the literature does not address how contract-specific workloads stress inference infrastructure, nor how system-level design choices influence total cost of ownership in production CLM environments.</w:t>
      </w:r>
    </w:p>
    <w:p w14:paraId="0A7073B4" w14:textId="77777777" w:rsidR="00446FB0" w:rsidRPr="00446FB0" w:rsidRDefault="00446FB0" w:rsidP="00446FB0">
      <w:pPr>
        <w:spacing w:after="210" w:line="360" w:lineRule="auto"/>
        <w:rPr>
          <w:rFonts w:ascii="Helvetica" w:hAnsi="Helvetica" w:cs="Arial"/>
          <w:sz w:val="20"/>
          <w:szCs w:val="20"/>
        </w:rPr>
      </w:pPr>
      <w:r w:rsidRPr="00446FB0">
        <w:rPr>
          <w:rFonts w:ascii="Helvetica" w:hAnsi="Helvetica" w:cs="Arial"/>
          <w:sz w:val="20"/>
          <w:szCs w:val="20"/>
        </w:rPr>
        <w:t>The present work bridges this gap by explicitly linking document-level properties (length, structure, clause diversity) to inference execution patterns, and by quantifying how these properties amplify or mitigate cost and energy consumption at scale. In doing so, it reframes document AI for contracts not merely as a modeling problem, but as a systems problem.</w:t>
      </w:r>
    </w:p>
    <w:p w14:paraId="17137E36" w14:textId="77777777" w:rsidR="00446FB0" w:rsidRPr="00446FB0" w:rsidRDefault="00446FB0" w:rsidP="00446FB0">
      <w:pPr>
        <w:spacing w:after="210" w:line="360" w:lineRule="auto"/>
        <w:rPr>
          <w:rFonts w:ascii="Helvetica" w:hAnsi="Helvetica" w:cs="Arial"/>
          <w:b/>
          <w:bCs/>
          <w:sz w:val="20"/>
          <w:szCs w:val="20"/>
        </w:rPr>
      </w:pPr>
      <w:r w:rsidRPr="00446FB0">
        <w:rPr>
          <w:rFonts w:ascii="Helvetica" w:hAnsi="Helvetica" w:cs="Arial"/>
          <w:b/>
          <w:bCs/>
          <w:sz w:val="20"/>
          <w:szCs w:val="20"/>
        </w:rPr>
        <w:t>D. Comparison to Pricing and Token-Economics Analyses</w:t>
      </w:r>
    </w:p>
    <w:p w14:paraId="61DD8B79" w14:textId="14097C2B" w:rsidR="00446FB0" w:rsidRPr="00446FB0" w:rsidRDefault="00446FB0" w:rsidP="00446FB0">
      <w:pPr>
        <w:spacing w:after="210" w:line="360" w:lineRule="auto"/>
        <w:rPr>
          <w:rFonts w:ascii="Helvetica" w:hAnsi="Helvetica" w:cs="Arial"/>
          <w:sz w:val="20"/>
          <w:szCs w:val="20"/>
        </w:rPr>
      </w:pPr>
      <w:r w:rsidRPr="00446FB0">
        <w:rPr>
          <w:rFonts w:ascii="Helvetica" w:hAnsi="Helvetica" w:cs="Arial"/>
          <w:sz w:val="20"/>
          <w:szCs w:val="20"/>
        </w:rPr>
        <w:t>Industry analyses of LLM pricing and token economics have highlighted rapid declines in per-token costs alongside rising application-level spend driven by longer contexts and more complex workflows. While these discussions correctly identify token volume as a cost driver, they generally stop short of proposing architectural remedies beyond model selection, prompt engineering, or vendor switching.</w:t>
      </w:r>
    </w:p>
    <w:p w14:paraId="0B3C8118" w14:textId="77777777" w:rsidR="00446FB0" w:rsidRPr="00446FB0" w:rsidRDefault="00446FB0" w:rsidP="00446FB0">
      <w:pPr>
        <w:spacing w:after="210" w:line="360" w:lineRule="auto"/>
        <w:rPr>
          <w:rFonts w:ascii="Helvetica" w:hAnsi="Helvetica" w:cs="Arial"/>
          <w:sz w:val="20"/>
          <w:szCs w:val="20"/>
        </w:rPr>
      </w:pPr>
      <w:r w:rsidRPr="00446FB0">
        <w:rPr>
          <w:rFonts w:ascii="Helvetica" w:hAnsi="Helvetica" w:cs="Arial"/>
          <w:sz w:val="20"/>
          <w:szCs w:val="20"/>
        </w:rPr>
        <w:t>This paper advances that discussion by demonstrating—analytically and quantitatively—that architectural choices determining </w:t>
      </w:r>
      <w:r w:rsidRPr="00446FB0">
        <w:rPr>
          <w:rFonts w:ascii="Helvetica" w:hAnsi="Helvetica" w:cs="Arial"/>
          <w:i/>
          <w:iCs/>
          <w:sz w:val="20"/>
          <w:szCs w:val="20"/>
        </w:rPr>
        <w:t>when</w:t>
      </w:r>
      <w:r w:rsidRPr="00446FB0">
        <w:rPr>
          <w:rFonts w:ascii="Helvetica" w:hAnsi="Helvetica" w:cs="Arial"/>
          <w:sz w:val="20"/>
          <w:szCs w:val="20"/>
        </w:rPr>
        <w:t> and </w:t>
      </w:r>
      <w:r w:rsidRPr="00446FB0">
        <w:rPr>
          <w:rFonts w:ascii="Helvetica" w:hAnsi="Helvetica" w:cs="Arial"/>
          <w:i/>
          <w:iCs/>
          <w:sz w:val="20"/>
          <w:szCs w:val="20"/>
        </w:rPr>
        <w:t>how often</w:t>
      </w:r>
      <w:r w:rsidRPr="00446FB0">
        <w:rPr>
          <w:rFonts w:ascii="Helvetica" w:hAnsi="Helvetica" w:cs="Arial"/>
          <w:sz w:val="20"/>
          <w:szCs w:val="20"/>
        </w:rPr>
        <w:t> tokens are processed matter more than token price alone. The modeled results show that even dramatic reductions in per-token pricing do not prevent rising $/contract unless inference call counts and token volumes are actively constrained through workflow-aware design.</w:t>
      </w:r>
    </w:p>
    <w:p w14:paraId="2B312AEB" w14:textId="77777777" w:rsidR="00446FB0" w:rsidRPr="00446FB0" w:rsidRDefault="00446FB0" w:rsidP="00446FB0">
      <w:pPr>
        <w:spacing w:after="210" w:line="360" w:lineRule="auto"/>
        <w:rPr>
          <w:rFonts w:ascii="Helvetica" w:hAnsi="Helvetica" w:cs="Arial"/>
          <w:b/>
          <w:bCs/>
          <w:sz w:val="20"/>
          <w:szCs w:val="20"/>
        </w:rPr>
      </w:pPr>
      <w:r w:rsidRPr="00446FB0">
        <w:rPr>
          <w:rFonts w:ascii="Helvetica" w:hAnsi="Helvetica" w:cs="Arial"/>
          <w:b/>
          <w:bCs/>
          <w:sz w:val="20"/>
          <w:szCs w:val="20"/>
        </w:rPr>
        <w:t>E. Distinguishing Contribution</w:t>
      </w:r>
    </w:p>
    <w:p w14:paraId="184851DD" w14:textId="77777777" w:rsidR="00446FB0" w:rsidRPr="00446FB0" w:rsidRDefault="00446FB0" w:rsidP="00446FB0">
      <w:pPr>
        <w:spacing w:after="210" w:line="360" w:lineRule="auto"/>
        <w:rPr>
          <w:rFonts w:ascii="Helvetica" w:hAnsi="Helvetica" w:cs="Arial"/>
          <w:sz w:val="20"/>
          <w:szCs w:val="20"/>
        </w:rPr>
      </w:pPr>
      <w:r w:rsidRPr="00446FB0">
        <w:rPr>
          <w:rFonts w:ascii="Helvetica" w:hAnsi="Helvetica" w:cs="Arial"/>
          <w:sz w:val="20"/>
          <w:szCs w:val="20"/>
        </w:rPr>
        <w:t>Taken together, prior work optimizes isolated components: models, kernels, accelerators, or pricing. The contribution of this paper lies in integrating these elements into a unified, contract-aware optimization framework that:</w:t>
      </w:r>
    </w:p>
    <w:p w14:paraId="2979529E" w14:textId="77777777" w:rsidR="00446FB0" w:rsidRPr="00446FB0" w:rsidRDefault="00446FB0" w:rsidP="00446FB0">
      <w:pPr>
        <w:numPr>
          <w:ilvl w:val="0"/>
          <w:numId w:val="60"/>
        </w:numPr>
        <w:spacing w:after="210" w:line="360" w:lineRule="auto"/>
        <w:rPr>
          <w:rFonts w:ascii="Helvetica" w:hAnsi="Helvetica" w:cs="Arial"/>
          <w:sz w:val="20"/>
          <w:szCs w:val="20"/>
        </w:rPr>
      </w:pPr>
      <w:r w:rsidRPr="00446FB0">
        <w:rPr>
          <w:rFonts w:ascii="Helvetica" w:hAnsi="Helvetica" w:cs="Arial"/>
          <w:sz w:val="20"/>
          <w:szCs w:val="20"/>
        </w:rPr>
        <w:t>Treats inference—not training—as the primary optimization target,</w:t>
      </w:r>
    </w:p>
    <w:p w14:paraId="2E634E3E" w14:textId="77777777" w:rsidR="00446FB0" w:rsidRPr="00446FB0" w:rsidRDefault="00446FB0" w:rsidP="00446FB0">
      <w:pPr>
        <w:numPr>
          <w:ilvl w:val="0"/>
          <w:numId w:val="60"/>
        </w:numPr>
        <w:spacing w:after="210" w:line="360" w:lineRule="auto"/>
        <w:rPr>
          <w:rFonts w:ascii="Helvetica" w:hAnsi="Helvetica" w:cs="Arial"/>
          <w:sz w:val="20"/>
          <w:szCs w:val="20"/>
        </w:rPr>
      </w:pPr>
      <w:r w:rsidRPr="00446FB0">
        <w:rPr>
          <w:rFonts w:ascii="Helvetica" w:hAnsi="Helvetica" w:cs="Arial"/>
          <w:sz w:val="20"/>
          <w:szCs w:val="20"/>
        </w:rPr>
        <w:t>Models contract analysis as a multi-stage, conditional workflow rather than a single query,</w:t>
      </w:r>
    </w:p>
    <w:p w14:paraId="32BD6802" w14:textId="77777777" w:rsidR="00446FB0" w:rsidRPr="00446FB0" w:rsidRDefault="00446FB0" w:rsidP="00446FB0">
      <w:pPr>
        <w:numPr>
          <w:ilvl w:val="0"/>
          <w:numId w:val="60"/>
        </w:numPr>
        <w:spacing w:after="210" w:line="360" w:lineRule="auto"/>
        <w:rPr>
          <w:rFonts w:ascii="Helvetica" w:hAnsi="Helvetica" w:cs="Arial"/>
          <w:sz w:val="20"/>
          <w:szCs w:val="20"/>
        </w:rPr>
      </w:pPr>
      <w:r w:rsidRPr="00446FB0">
        <w:rPr>
          <w:rFonts w:ascii="Helvetica" w:hAnsi="Helvetica" w:cs="Arial"/>
          <w:sz w:val="20"/>
          <w:szCs w:val="20"/>
        </w:rPr>
        <w:t>Incorporates legal accuracy, latency, confidentiality, and auditability as hard constraints, and</w:t>
      </w:r>
    </w:p>
    <w:p w14:paraId="274BD325" w14:textId="77777777" w:rsidR="00446FB0" w:rsidRPr="00446FB0" w:rsidRDefault="00446FB0" w:rsidP="00446FB0">
      <w:pPr>
        <w:numPr>
          <w:ilvl w:val="0"/>
          <w:numId w:val="60"/>
        </w:numPr>
        <w:spacing w:after="210" w:line="360" w:lineRule="auto"/>
        <w:rPr>
          <w:rFonts w:ascii="Helvetica" w:hAnsi="Helvetica" w:cs="Arial"/>
          <w:sz w:val="20"/>
          <w:szCs w:val="20"/>
        </w:rPr>
      </w:pPr>
      <w:r w:rsidRPr="00446FB0">
        <w:rPr>
          <w:rFonts w:ascii="Helvetica" w:hAnsi="Helvetica" w:cs="Arial"/>
          <w:sz w:val="20"/>
          <w:szCs w:val="20"/>
        </w:rPr>
        <w:t>Demonstrates, through model-based analysis, how cross-layer coordination yields order-of-magnitude efficiency gains unattainable by isolated optimizations.</w:t>
      </w:r>
    </w:p>
    <w:p w14:paraId="22EFF1AF" w14:textId="77777777" w:rsidR="00446FB0" w:rsidRDefault="00446FB0" w:rsidP="00446FB0">
      <w:pPr>
        <w:spacing w:after="210" w:line="360" w:lineRule="auto"/>
        <w:rPr>
          <w:rFonts w:ascii="Helvetica" w:hAnsi="Helvetica" w:cs="Arial"/>
          <w:sz w:val="20"/>
          <w:szCs w:val="20"/>
        </w:rPr>
      </w:pPr>
      <w:r w:rsidRPr="00446FB0">
        <w:rPr>
          <w:rFonts w:ascii="Helvetica" w:hAnsi="Helvetica" w:cs="Arial"/>
          <w:sz w:val="20"/>
          <w:szCs w:val="20"/>
        </w:rPr>
        <w:t>By positioning efficiency as an emergent property of end-to-end system design rather than a byproduct of cheaper models, this work fills a gap between AI systems research and practical legal technology deployment.</w:t>
      </w:r>
    </w:p>
    <w:p w14:paraId="7024B5D7" w14:textId="77777777" w:rsidR="00446FB0" w:rsidRPr="00446FB0" w:rsidRDefault="00446FB0" w:rsidP="00446FB0">
      <w:pPr>
        <w:spacing w:after="210" w:line="360" w:lineRule="auto"/>
        <w:rPr>
          <w:rFonts w:ascii="Helvetica" w:hAnsi="Helvetica" w:cs="Arial"/>
          <w:b/>
          <w:bCs/>
          <w:sz w:val="20"/>
          <w:szCs w:val="20"/>
        </w:rPr>
      </w:pPr>
      <w:r w:rsidRPr="00446FB0">
        <w:rPr>
          <w:rFonts w:ascii="Helvetica" w:hAnsi="Helvetica" w:cs="Arial"/>
          <w:b/>
          <w:bCs/>
          <w:sz w:val="20"/>
          <w:szCs w:val="20"/>
        </w:rPr>
        <w:t>VI.D Limitations and Future Directions</w:t>
      </w:r>
    </w:p>
    <w:p w14:paraId="4B60E8D3" w14:textId="77777777" w:rsidR="00446FB0" w:rsidRPr="00446FB0" w:rsidRDefault="00446FB0" w:rsidP="00446FB0">
      <w:pPr>
        <w:spacing w:after="210" w:line="360" w:lineRule="auto"/>
        <w:rPr>
          <w:rFonts w:ascii="Helvetica" w:hAnsi="Helvetica" w:cs="Arial"/>
          <w:sz w:val="20"/>
          <w:szCs w:val="20"/>
        </w:rPr>
      </w:pPr>
      <w:r w:rsidRPr="00446FB0">
        <w:rPr>
          <w:rFonts w:ascii="Helvetica" w:hAnsi="Helvetica" w:cs="Arial"/>
          <w:sz w:val="20"/>
          <w:szCs w:val="20"/>
        </w:rPr>
        <w:lastRenderedPageBreak/>
        <w:t>While the proposed framework and model-based evaluation provide structured insight into the cost and energy dynamics of enterprise-scale contract analysis systems, several limitations should be acknowledged.</w:t>
      </w:r>
    </w:p>
    <w:p w14:paraId="5FD0B9E5" w14:textId="77777777" w:rsidR="00446FB0" w:rsidRPr="00446FB0" w:rsidRDefault="00446FB0" w:rsidP="00446FB0">
      <w:pPr>
        <w:spacing w:after="210" w:line="360" w:lineRule="auto"/>
        <w:rPr>
          <w:rFonts w:ascii="Helvetica" w:hAnsi="Helvetica" w:cs="Arial"/>
          <w:sz w:val="20"/>
          <w:szCs w:val="20"/>
        </w:rPr>
      </w:pPr>
      <w:r w:rsidRPr="00446FB0">
        <w:rPr>
          <w:rFonts w:ascii="Helvetica" w:hAnsi="Helvetica" w:cs="Arial"/>
          <w:b/>
          <w:bCs/>
          <w:sz w:val="20"/>
          <w:szCs w:val="20"/>
        </w:rPr>
        <w:t>Analytical Evaluation Rather Than Empirical Measurement.</w:t>
      </w:r>
      <w:r w:rsidRPr="00446FB0">
        <w:rPr>
          <w:rFonts w:ascii="Helvetica" w:hAnsi="Helvetica" w:cs="Arial"/>
          <w:sz w:val="20"/>
          <w:szCs w:val="20"/>
        </w:rPr>
        <w:br/>
        <w:t>The evaluation presented in Section V is analytical rather than empirical. Due to the proprietary nature of enterprise legal workloads, infrastructure configurations, and energy telemetry, the analysis relies on production-calibrated measurements reported in recent large-scale inference studies rather than direct end-to-end benchmarking of a deployed system. Although these sources reflect real-world inference behavior, absolute cost and energy values will vary across organizations depending on model selection, hardware mix, runtime implementations, and contractual constraints. Consequently, the evaluation emphasizes relative trends, multiplicative efficiency gains, and architectural implications rather than precise deployment-level predictions.</w:t>
      </w:r>
    </w:p>
    <w:p w14:paraId="65787ED3" w14:textId="77777777" w:rsidR="00446FB0" w:rsidRPr="00446FB0" w:rsidRDefault="00446FB0" w:rsidP="00446FB0">
      <w:pPr>
        <w:spacing w:after="210" w:line="360" w:lineRule="auto"/>
        <w:rPr>
          <w:rFonts w:ascii="Helvetica" w:hAnsi="Helvetica" w:cs="Arial"/>
          <w:sz w:val="20"/>
          <w:szCs w:val="20"/>
        </w:rPr>
      </w:pPr>
      <w:r w:rsidRPr="00446FB0">
        <w:rPr>
          <w:rFonts w:ascii="Helvetica" w:hAnsi="Helvetica" w:cs="Arial"/>
          <w:b/>
          <w:bCs/>
          <w:sz w:val="20"/>
          <w:szCs w:val="20"/>
        </w:rPr>
        <w:t>Abstracted Workload and Accuracy Assumptions.</w:t>
      </w:r>
      <w:r w:rsidRPr="00446FB0">
        <w:rPr>
          <w:rFonts w:ascii="Helvetica" w:hAnsi="Helvetica" w:cs="Arial"/>
          <w:sz w:val="20"/>
          <w:szCs w:val="20"/>
        </w:rPr>
        <w:br/>
        <w:t>The contract workload model captures representative agreement types (e.g., NDAs, MSAs, DPAs) and pipeline structures, but abstracts away organization-specific variations in document formatting, clause taxonomies, and risk labeling conventions. Similarly, the analysis assumes that conservative routing, escalation, and early-exit strategies preserve task-level accuracy and recall thresholds for legally material clauses, consistent with reported performance of domain-specialized legal models. In practice, acceptable accuracy budgets may vary by clause category, jurisdiction, or legal context, and may require explicit calibration during deployment.</w:t>
      </w:r>
    </w:p>
    <w:p w14:paraId="3941DC38" w14:textId="1F0B8C2E" w:rsidR="00446FB0" w:rsidRPr="00446FB0" w:rsidRDefault="00446FB0" w:rsidP="00446FB0">
      <w:pPr>
        <w:spacing w:after="210" w:line="360" w:lineRule="auto"/>
        <w:rPr>
          <w:rFonts w:ascii="Helvetica" w:hAnsi="Helvetica" w:cs="Arial"/>
          <w:sz w:val="20"/>
          <w:szCs w:val="20"/>
        </w:rPr>
      </w:pPr>
      <w:r w:rsidRPr="00446FB0">
        <w:rPr>
          <w:rFonts w:ascii="Helvetica" w:hAnsi="Helvetica" w:cs="Arial"/>
          <w:b/>
          <w:bCs/>
          <w:sz w:val="20"/>
          <w:szCs w:val="20"/>
        </w:rPr>
        <w:t>Limited Treatment of Multimodal and OCR Variability.</w:t>
      </w:r>
      <w:r w:rsidRPr="00446FB0">
        <w:rPr>
          <w:rFonts w:ascii="Helvetica" w:hAnsi="Helvetica" w:cs="Arial"/>
          <w:sz w:val="20"/>
          <w:szCs w:val="20"/>
        </w:rPr>
        <w:br/>
        <w:t>While OCR and layout processing costs are included in aggregate Wh/contract accounting, the analysis does not explicitly model variability in OCR quality, document scan fidelity, or complex multimodal reasoning requirements (e.g., heavily tabular or image-rich contracts). Such factors may increase preprocessing overhead or necessitate heavier vision–language models, potentially reducing the magnitude of achievable efficiency gains for certain document classes.</w:t>
      </w:r>
    </w:p>
    <w:p w14:paraId="2EAA1F18" w14:textId="77777777" w:rsidR="00446FB0" w:rsidRPr="00446FB0" w:rsidRDefault="00446FB0" w:rsidP="00446FB0">
      <w:pPr>
        <w:spacing w:after="210" w:line="360" w:lineRule="auto"/>
        <w:rPr>
          <w:rFonts w:ascii="Helvetica" w:hAnsi="Helvetica" w:cs="Arial"/>
          <w:b/>
          <w:bCs/>
          <w:sz w:val="20"/>
          <w:szCs w:val="20"/>
        </w:rPr>
      </w:pPr>
      <w:r w:rsidRPr="00446FB0">
        <w:rPr>
          <w:rFonts w:ascii="Helvetica" w:hAnsi="Helvetica" w:cs="Arial"/>
          <w:b/>
          <w:bCs/>
          <w:sz w:val="20"/>
          <w:szCs w:val="20"/>
        </w:rPr>
        <w:t>Future Research Directions</w:t>
      </w:r>
    </w:p>
    <w:p w14:paraId="4F77B1E3" w14:textId="77777777" w:rsidR="00446FB0" w:rsidRPr="00446FB0" w:rsidRDefault="00446FB0" w:rsidP="00446FB0">
      <w:pPr>
        <w:spacing w:after="210" w:line="360" w:lineRule="auto"/>
        <w:rPr>
          <w:rFonts w:ascii="Helvetica" w:hAnsi="Helvetica" w:cs="Arial"/>
          <w:sz w:val="20"/>
          <w:szCs w:val="20"/>
        </w:rPr>
      </w:pPr>
      <w:r w:rsidRPr="00446FB0">
        <w:rPr>
          <w:rFonts w:ascii="Helvetica" w:hAnsi="Helvetica" w:cs="Arial"/>
          <w:sz w:val="20"/>
          <w:szCs w:val="20"/>
        </w:rPr>
        <w:t>These limitations point naturally to several promising directions for future work.</w:t>
      </w:r>
    </w:p>
    <w:p w14:paraId="3DF026F5" w14:textId="74B7236F" w:rsidR="00446FB0" w:rsidRPr="00446FB0" w:rsidRDefault="00446FB0" w:rsidP="00446FB0">
      <w:pPr>
        <w:spacing w:after="210" w:line="360" w:lineRule="auto"/>
        <w:rPr>
          <w:rFonts w:ascii="Helvetica" w:hAnsi="Helvetica" w:cs="Arial"/>
          <w:sz w:val="20"/>
          <w:szCs w:val="20"/>
        </w:rPr>
      </w:pPr>
      <w:r w:rsidRPr="00446FB0">
        <w:rPr>
          <w:rFonts w:ascii="Helvetica" w:hAnsi="Helvetica" w:cs="Arial"/>
          <w:b/>
          <w:bCs/>
          <w:sz w:val="20"/>
          <w:szCs w:val="20"/>
        </w:rPr>
        <w:t>Validation on Realistic Enterprise Traces.</w:t>
      </w:r>
      <w:r w:rsidRPr="00446FB0">
        <w:rPr>
          <w:rFonts w:ascii="Helvetica" w:hAnsi="Helvetica" w:cs="Arial"/>
          <w:sz w:val="20"/>
          <w:szCs w:val="20"/>
        </w:rPr>
        <w:br/>
        <w:t>A critical next step is validation using anonymized, synthetic, or partially disclosed enterprise CLM traces that capture realistic distributions of contract types, lengths, and lifecycle events. Even limited deployment telemetry would enable tighter calibration of </w:t>
      </w:r>
      <m:oMath>
        <m:sSub>
          <m:sSubPr>
            <m:ctrlPr>
              <w:rPr>
                <w:rFonts w:ascii="Cambria Math" w:hAnsi="Cambria Math" w:cs="Arial"/>
                <w:sz w:val="20"/>
                <w:szCs w:val="20"/>
              </w:rPr>
            </m:ctrlPr>
          </m:sSubPr>
          <m:e>
            <m:r>
              <w:rPr>
                <w:rFonts w:ascii="Cambria Math" w:hAnsi="Cambria Math" w:cs="Arial"/>
                <w:sz w:val="20"/>
                <w:szCs w:val="20"/>
              </w:rPr>
              <m:t>K</m:t>
            </m:r>
          </m:e>
          <m:sub>
            <m:r>
              <w:rPr>
                <w:rFonts w:ascii="Cambria Math" w:hAnsi="Cambria Math" w:cs="Arial"/>
                <w:sz w:val="20"/>
                <w:szCs w:val="20"/>
              </w:rPr>
              <m:t>i</m:t>
            </m:r>
          </m:sub>
        </m:sSub>
      </m:oMath>
      <w:r w:rsidRPr="00446FB0">
        <w:rPr>
          <w:rFonts w:ascii="Helvetica" w:hAnsi="Helvetica" w:cs="Arial"/>
          <w:sz w:val="20"/>
          <w:szCs w:val="20"/>
        </w:rPr>
        <w:t>, token volumes, and routing thresholds, strengthening confidence in the modeled efficiency gains.</w:t>
      </w:r>
    </w:p>
    <w:p w14:paraId="41136882" w14:textId="77777777" w:rsidR="00446FB0" w:rsidRPr="00446FB0" w:rsidRDefault="00446FB0" w:rsidP="00446FB0">
      <w:pPr>
        <w:spacing w:after="210" w:line="360" w:lineRule="auto"/>
        <w:rPr>
          <w:rFonts w:ascii="Helvetica" w:hAnsi="Helvetica" w:cs="Arial"/>
          <w:sz w:val="20"/>
          <w:szCs w:val="20"/>
        </w:rPr>
      </w:pPr>
      <w:r w:rsidRPr="00446FB0">
        <w:rPr>
          <w:rFonts w:ascii="Helvetica" w:hAnsi="Helvetica" w:cs="Arial"/>
          <w:b/>
          <w:bCs/>
          <w:sz w:val="20"/>
          <w:szCs w:val="20"/>
        </w:rPr>
        <w:lastRenderedPageBreak/>
        <w:t>Joint Optimization of Efficiency and Legal Accuracy Budgets.</w:t>
      </w:r>
      <w:r w:rsidRPr="00446FB0">
        <w:rPr>
          <w:rFonts w:ascii="Helvetica" w:hAnsi="Helvetica" w:cs="Arial"/>
          <w:sz w:val="20"/>
          <w:szCs w:val="20"/>
        </w:rPr>
        <w:br/>
        <w:t>Future frameworks could explicitly formalize legal accuracy constraints as budgeted resources, allowing controlled trade-offs between cost, energy, and clause-level recall or precision. For example, different clause categories could be assigned distinct accuracy budgets based on legal risk, enabling more aggressive optimization where tolerable and stricter controls where legally necessary.</w:t>
      </w:r>
    </w:p>
    <w:p w14:paraId="209D2576" w14:textId="77777777" w:rsidR="00446FB0" w:rsidRPr="00446FB0" w:rsidRDefault="00446FB0" w:rsidP="00446FB0">
      <w:pPr>
        <w:spacing w:after="210" w:line="360" w:lineRule="auto"/>
        <w:rPr>
          <w:rFonts w:ascii="Helvetica" w:hAnsi="Helvetica" w:cs="Arial"/>
          <w:sz w:val="20"/>
          <w:szCs w:val="20"/>
        </w:rPr>
      </w:pPr>
      <w:r w:rsidRPr="00446FB0">
        <w:rPr>
          <w:rFonts w:ascii="Helvetica" w:hAnsi="Helvetica" w:cs="Arial"/>
          <w:b/>
          <w:bCs/>
          <w:sz w:val="20"/>
          <w:szCs w:val="20"/>
        </w:rPr>
        <w:t>Carbon-Aware Scheduling Aligned with Contract Lifecycles.</w:t>
      </w:r>
      <w:r w:rsidRPr="00446FB0">
        <w:rPr>
          <w:rFonts w:ascii="Helvetica" w:hAnsi="Helvetica" w:cs="Arial"/>
          <w:sz w:val="20"/>
          <w:szCs w:val="20"/>
        </w:rPr>
        <w:br/>
        <w:t>While this work considers energy and cost at inference time, future systems could integrate carbon-aware scheduling with CLM timelines. Non-urgent batch analyses (e.g., portfolio reviews) could be deferred to lower-carbon regions or time windows, while latency-critical workflows remain prioritized, aligning environmental objectives with legal deadlines and business operations.</w:t>
      </w:r>
    </w:p>
    <w:p w14:paraId="33233FFA" w14:textId="3338803C" w:rsidR="00446FB0" w:rsidRPr="00446FB0" w:rsidRDefault="00446FB0" w:rsidP="00446FB0">
      <w:pPr>
        <w:spacing w:after="210" w:line="360" w:lineRule="auto"/>
        <w:rPr>
          <w:rFonts w:ascii="Helvetica" w:hAnsi="Helvetica" w:cs="Arial"/>
          <w:sz w:val="20"/>
          <w:szCs w:val="20"/>
        </w:rPr>
      </w:pPr>
      <w:r w:rsidRPr="00446FB0">
        <w:rPr>
          <w:rFonts w:ascii="Helvetica" w:hAnsi="Helvetica" w:cs="Arial"/>
          <w:b/>
          <w:bCs/>
          <w:sz w:val="20"/>
          <w:szCs w:val="20"/>
        </w:rPr>
        <w:t>Standardized Benchmarks for Document-Level Energy and Cost.</w:t>
      </w:r>
      <w:r w:rsidRPr="00446FB0">
        <w:rPr>
          <w:rFonts w:ascii="Helvetica" w:hAnsi="Helvetica" w:cs="Arial"/>
          <w:sz w:val="20"/>
          <w:szCs w:val="20"/>
        </w:rPr>
        <w:br/>
        <w:t>The absence of standardized benchmarks for </w:t>
      </w:r>
      <w:r w:rsidRPr="00446FB0">
        <w:rPr>
          <w:rFonts w:ascii="Helvetica" w:hAnsi="Helvetica" w:cs="Arial"/>
          <w:b/>
          <w:bCs/>
          <w:sz w:val="20"/>
          <w:szCs w:val="20"/>
        </w:rPr>
        <w:t>Wh/contract, Wh/token, and cost-per-document</w:t>
      </w:r>
      <w:r w:rsidRPr="00446FB0">
        <w:rPr>
          <w:rFonts w:ascii="Helvetica" w:hAnsi="Helvetica" w:cs="Arial"/>
          <w:sz w:val="20"/>
          <w:szCs w:val="20"/>
        </w:rPr>
        <w:t>, as formalized in Section III, remains a barrier to systematic comparison across systems. Developing shared evaluation protocols for document AI workloads—analogous to throughput and latency benchmarks in serving systems—would materially advance the field.</w:t>
      </w:r>
    </w:p>
    <w:p w14:paraId="6A5A2BA4" w14:textId="77777777" w:rsidR="00446FB0" w:rsidRPr="00446FB0" w:rsidRDefault="00446FB0" w:rsidP="00446FB0">
      <w:pPr>
        <w:spacing w:after="210" w:line="360" w:lineRule="auto"/>
        <w:rPr>
          <w:rFonts w:ascii="Helvetica" w:hAnsi="Helvetica" w:cs="Arial"/>
          <w:b/>
          <w:bCs/>
          <w:sz w:val="20"/>
          <w:szCs w:val="20"/>
        </w:rPr>
      </w:pPr>
      <w:r w:rsidRPr="00446FB0">
        <w:rPr>
          <w:rFonts w:ascii="Helvetica" w:hAnsi="Helvetica" w:cs="Arial"/>
          <w:b/>
          <w:bCs/>
          <w:sz w:val="20"/>
          <w:szCs w:val="20"/>
        </w:rPr>
        <w:t>Closing Perspective</w:t>
      </w:r>
    </w:p>
    <w:p w14:paraId="66843F0A" w14:textId="5A8C0E19" w:rsidR="008778B7" w:rsidRDefault="00446FB0" w:rsidP="008778B7">
      <w:pPr>
        <w:spacing w:after="210" w:line="360" w:lineRule="auto"/>
        <w:rPr>
          <w:rFonts w:ascii="Helvetica" w:hAnsi="Helvetica" w:cs="Arial"/>
          <w:sz w:val="20"/>
          <w:szCs w:val="20"/>
        </w:rPr>
      </w:pPr>
      <w:r w:rsidRPr="00446FB0">
        <w:rPr>
          <w:rFonts w:ascii="Helvetica" w:hAnsi="Helvetica" w:cs="Arial"/>
          <w:sz w:val="20"/>
          <w:szCs w:val="20"/>
        </w:rPr>
        <w:t>Despite these limitations, the framework and analysis presented in this paper demonstrate that meaningful reductions in inference cost and energy for enterprise contract analysis are achievable without compromising legal accuracy, governance, or service guarantees. By explicitly treating inference as a system-level optimization problem—spanning models, runtimes, hardware, and workflows—this work provides a foundation for </w:t>
      </w:r>
      <w:r w:rsidRPr="00446FB0">
        <w:rPr>
          <w:rFonts w:ascii="Helvetica" w:hAnsi="Helvetica" w:cs="Arial"/>
          <w:b/>
          <w:bCs/>
          <w:sz w:val="20"/>
          <w:szCs w:val="20"/>
        </w:rPr>
        <w:t>scalable document AI systems in legally and operationally constrained enterprise environments</w:t>
      </w:r>
      <w:r w:rsidRPr="00446FB0">
        <w:rPr>
          <w:rFonts w:ascii="Helvetica" w:hAnsi="Helvetica" w:cs="Arial"/>
          <w:sz w:val="20"/>
          <w:szCs w:val="20"/>
        </w:rPr>
        <w:t>.</w:t>
      </w:r>
    </w:p>
    <w:p w14:paraId="4FFD507E" w14:textId="77777777" w:rsidR="00A8525E" w:rsidRDefault="00A8525E" w:rsidP="008778B7">
      <w:pPr>
        <w:spacing w:after="210" w:line="360" w:lineRule="auto"/>
        <w:rPr>
          <w:rFonts w:ascii="Helvetica" w:hAnsi="Helvetica" w:cs="Arial"/>
          <w:sz w:val="20"/>
          <w:szCs w:val="20"/>
        </w:rPr>
      </w:pPr>
    </w:p>
    <w:p w14:paraId="2E21AF0B" w14:textId="54DB204C" w:rsidR="00A8525E" w:rsidRPr="00A8525E" w:rsidRDefault="00A8525E" w:rsidP="008778B7">
      <w:pPr>
        <w:spacing w:after="210" w:line="360" w:lineRule="auto"/>
        <w:rPr>
          <w:rFonts w:ascii="Helvetica" w:hAnsi="Helvetica" w:cs="Arial"/>
          <w:b/>
          <w:bCs/>
          <w:sz w:val="20"/>
          <w:szCs w:val="20"/>
        </w:rPr>
      </w:pPr>
      <w:r w:rsidRPr="00A8525E">
        <w:rPr>
          <w:rFonts w:ascii="Helvetica" w:hAnsi="Helvetica" w:cs="Arial"/>
          <w:b/>
          <w:bCs/>
          <w:sz w:val="20"/>
          <w:szCs w:val="20"/>
        </w:rPr>
        <w:t>References</w:t>
      </w:r>
    </w:p>
    <w:p w14:paraId="46A21360" w14:textId="18455B45" w:rsidR="00A8525E" w:rsidRPr="00A8525E" w:rsidRDefault="00A8525E" w:rsidP="00A8525E">
      <w:pPr>
        <w:spacing w:after="210" w:line="360" w:lineRule="auto"/>
        <w:rPr>
          <w:rFonts w:ascii="Helvetica" w:hAnsi="Helvetica" w:cs="Arial"/>
          <w:sz w:val="20"/>
          <w:szCs w:val="20"/>
        </w:rPr>
      </w:pPr>
      <w:r w:rsidRPr="00A8525E">
        <w:rPr>
          <w:rFonts w:ascii="Helvetica" w:hAnsi="Helvetica" w:cs="Arial"/>
          <w:sz w:val="20"/>
          <w:szCs w:val="20"/>
        </w:rPr>
        <w:t>A. Oviedo, M. Kazhamiaka, and E. Choi, “Energy Use of AI Inference: Efficiency Pathways and Test-Time Compute,” </w:t>
      </w:r>
      <w:r w:rsidRPr="00A8525E">
        <w:rPr>
          <w:rFonts w:ascii="Helvetica" w:hAnsi="Helvetica" w:cs="Arial"/>
          <w:i/>
          <w:iCs/>
          <w:sz w:val="20"/>
          <w:szCs w:val="20"/>
        </w:rPr>
        <w:t>arXiv</w:t>
      </w:r>
      <w:r w:rsidRPr="00A8525E">
        <w:rPr>
          <w:rFonts w:ascii="Helvetica" w:hAnsi="Helvetica" w:cs="Arial"/>
          <w:sz w:val="20"/>
          <w:szCs w:val="20"/>
        </w:rPr>
        <w:t>, 2025. </w:t>
      </w:r>
      <w:hyperlink r:id="rId5" w:tgtFrame="_blank" w:history="1">
        <w:r w:rsidRPr="00A8525E">
          <w:rPr>
            <w:rStyle w:val="Hyperlink"/>
            <w:rFonts w:ascii="Helvetica" w:hAnsi="Helvetica" w:cs="Arial"/>
            <w:sz w:val="20"/>
            <w:szCs w:val="20"/>
          </w:rPr>
          <w:t>ar5iv</w:t>
        </w:r>
      </w:hyperlink>
    </w:p>
    <w:p w14:paraId="52CE1E18" w14:textId="0CC6F637" w:rsidR="00A8525E" w:rsidRPr="00A8525E" w:rsidRDefault="00A8525E" w:rsidP="00A8525E">
      <w:pPr>
        <w:spacing w:after="210" w:line="360" w:lineRule="auto"/>
        <w:rPr>
          <w:rFonts w:ascii="Helvetica" w:hAnsi="Helvetica" w:cs="Arial"/>
          <w:sz w:val="20"/>
          <w:szCs w:val="20"/>
        </w:rPr>
      </w:pPr>
      <w:r w:rsidRPr="00A8525E">
        <w:rPr>
          <w:rFonts w:ascii="Helvetica" w:hAnsi="Helvetica" w:cs="Arial"/>
          <w:sz w:val="20"/>
          <w:szCs w:val="20"/>
        </w:rPr>
        <w:t>“Beyond Test-Time Compute Strategies: Advocating Energy-per-Token in Large Language Model Inference,” in </w:t>
      </w:r>
      <w:r w:rsidRPr="00A8525E">
        <w:rPr>
          <w:rFonts w:ascii="Helvetica" w:hAnsi="Helvetica" w:cs="Arial"/>
          <w:i/>
          <w:iCs/>
          <w:sz w:val="20"/>
          <w:szCs w:val="20"/>
        </w:rPr>
        <w:t>Proc. 5th Workshop on Machine Learning and Systems</w:t>
      </w:r>
      <w:r w:rsidRPr="00A8525E">
        <w:rPr>
          <w:rFonts w:ascii="Helvetica" w:hAnsi="Helvetica" w:cs="Arial"/>
          <w:sz w:val="20"/>
          <w:szCs w:val="20"/>
        </w:rPr>
        <w:t>, 2025, pp. 208–215, doi: 10.1145/3721146.3721953. </w:t>
      </w:r>
      <w:hyperlink r:id="rId6" w:tgtFrame="_blank" w:history="1">
        <w:r w:rsidRPr="00A8525E">
          <w:rPr>
            <w:rStyle w:val="Hyperlink"/>
            <w:rFonts w:ascii="Helvetica" w:hAnsi="Helvetica" w:cs="Arial"/>
            <w:sz w:val="20"/>
            <w:szCs w:val="20"/>
          </w:rPr>
          <w:t>OpenAI Platform+1</w:t>
        </w:r>
      </w:hyperlink>
    </w:p>
    <w:p w14:paraId="48655EDA" w14:textId="051B38BF" w:rsidR="00A8525E" w:rsidRPr="00A8525E" w:rsidRDefault="00A8525E" w:rsidP="00A8525E">
      <w:pPr>
        <w:spacing w:after="210" w:line="360" w:lineRule="auto"/>
        <w:rPr>
          <w:rFonts w:ascii="Helvetica" w:hAnsi="Helvetica" w:cs="Arial"/>
          <w:sz w:val="20"/>
          <w:szCs w:val="20"/>
        </w:rPr>
      </w:pPr>
      <w:r w:rsidRPr="00A8525E">
        <w:rPr>
          <w:rFonts w:ascii="Helvetica" w:hAnsi="Helvetica" w:cs="Arial"/>
          <w:sz w:val="20"/>
          <w:szCs w:val="20"/>
        </w:rPr>
        <w:t>“Document Intelligence in the Era of Large Language Models: A Survey,” </w:t>
      </w:r>
      <w:r w:rsidRPr="00A8525E">
        <w:rPr>
          <w:rFonts w:ascii="Helvetica" w:hAnsi="Helvetica" w:cs="Arial"/>
          <w:i/>
          <w:iCs/>
          <w:sz w:val="20"/>
          <w:szCs w:val="20"/>
        </w:rPr>
        <w:t>arXiv</w:t>
      </w:r>
      <w:r w:rsidRPr="00A8525E">
        <w:rPr>
          <w:rFonts w:ascii="Helvetica" w:hAnsi="Helvetica" w:cs="Arial"/>
          <w:sz w:val="20"/>
          <w:szCs w:val="20"/>
        </w:rPr>
        <w:t>, 2025.</w:t>
      </w:r>
    </w:p>
    <w:p w14:paraId="73F4ACC1" w14:textId="46D22C85" w:rsidR="00A8525E" w:rsidRPr="00A8525E" w:rsidRDefault="00A8525E" w:rsidP="00A8525E">
      <w:pPr>
        <w:spacing w:after="210" w:line="360" w:lineRule="auto"/>
        <w:rPr>
          <w:rFonts w:ascii="Helvetica" w:hAnsi="Helvetica" w:cs="Arial"/>
          <w:sz w:val="20"/>
          <w:szCs w:val="20"/>
        </w:rPr>
      </w:pPr>
      <w:r w:rsidRPr="00A8525E">
        <w:rPr>
          <w:rFonts w:ascii="Helvetica" w:hAnsi="Helvetica" w:cs="Arial"/>
          <w:sz w:val="20"/>
          <w:szCs w:val="20"/>
        </w:rPr>
        <w:lastRenderedPageBreak/>
        <w:t>“Survey on classification tasks and approaches for legal documents,” </w:t>
      </w:r>
      <w:r w:rsidRPr="00A8525E">
        <w:rPr>
          <w:rFonts w:ascii="Helvetica" w:hAnsi="Helvetica" w:cs="Arial"/>
          <w:i/>
          <w:iCs/>
          <w:sz w:val="20"/>
          <w:szCs w:val="20"/>
        </w:rPr>
        <w:t>arXiv</w:t>
      </w:r>
      <w:r w:rsidRPr="00A8525E">
        <w:rPr>
          <w:rFonts w:ascii="Helvetica" w:hAnsi="Helvetica" w:cs="Arial"/>
          <w:sz w:val="20"/>
          <w:szCs w:val="20"/>
        </w:rPr>
        <w:t>, 2025.</w:t>
      </w:r>
    </w:p>
    <w:p w14:paraId="0C9466F8" w14:textId="099187F9" w:rsidR="00A8525E" w:rsidRPr="00A8525E" w:rsidRDefault="00A8525E" w:rsidP="00A8525E">
      <w:pPr>
        <w:spacing w:after="210" w:line="360" w:lineRule="auto"/>
        <w:rPr>
          <w:rFonts w:ascii="Helvetica" w:hAnsi="Helvetica" w:cs="Arial"/>
          <w:sz w:val="20"/>
          <w:szCs w:val="20"/>
        </w:rPr>
      </w:pPr>
      <w:r w:rsidRPr="00A8525E">
        <w:rPr>
          <w:rFonts w:ascii="Helvetica" w:hAnsi="Helvetica" w:cs="Arial"/>
          <w:sz w:val="20"/>
          <w:szCs w:val="20"/>
        </w:rPr>
        <w:t>“ACORD: An Expert-Annotated Retrieval Dataset for Legal Contract Drafting,” </w:t>
      </w:r>
      <w:r w:rsidRPr="00A8525E">
        <w:rPr>
          <w:rFonts w:ascii="Helvetica" w:hAnsi="Helvetica" w:cs="Arial"/>
          <w:i/>
          <w:iCs/>
          <w:sz w:val="20"/>
          <w:szCs w:val="20"/>
        </w:rPr>
        <w:t>arXiv</w:t>
      </w:r>
      <w:r w:rsidRPr="00A8525E">
        <w:rPr>
          <w:rFonts w:ascii="Helvetica" w:hAnsi="Helvetica" w:cs="Arial"/>
          <w:sz w:val="20"/>
          <w:szCs w:val="20"/>
        </w:rPr>
        <w:t>, 2025. </w:t>
      </w:r>
      <w:hyperlink r:id="rId7" w:tgtFrame="_blank" w:history="1">
        <w:r w:rsidRPr="00A8525E">
          <w:rPr>
            <w:rStyle w:val="Hyperlink"/>
            <w:rFonts w:ascii="Helvetica" w:hAnsi="Helvetica" w:cs="Arial"/>
            <w:sz w:val="20"/>
            <w:szCs w:val="20"/>
          </w:rPr>
          <w:t>arXiv</w:t>
        </w:r>
      </w:hyperlink>
    </w:p>
    <w:p w14:paraId="343EFF80" w14:textId="27FACA37" w:rsidR="00A8525E" w:rsidRPr="00A8525E" w:rsidRDefault="00A8525E" w:rsidP="00A8525E">
      <w:pPr>
        <w:spacing w:after="210" w:line="360" w:lineRule="auto"/>
        <w:rPr>
          <w:rFonts w:ascii="Helvetica" w:hAnsi="Helvetica" w:cs="Arial"/>
          <w:sz w:val="20"/>
          <w:szCs w:val="20"/>
        </w:rPr>
      </w:pPr>
      <w:r w:rsidRPr="00A8525E">
        <w:rPr>
          <w:rFonts w:ascii="Helvetica" w:hAnsi="Helvetica" w:cs="Arial"/>
          <w:sz w:val="20"/>
          <w:szCs w:val="20"/>
        </w:rPr>
        <w:t>OpenAI, “Models and Pricing (API),” 2025. </w:t>
      </w:r>
      <w:hyperlink r:id="rId8" w:tgtFrame="_blank" w:history="1">
        <w:r w:rsidRPr="00A8525E">
          <w:rPr>
            <w:rStyle w:val="Hyperlink"/>
            <w:rFonts w:ascii="Helvetica" w:hAnsi="Helvetica" w:cs="Arial"/>
            <w:sz w:val="20"/>
            <w:szCs w:val="20"/>
          </w:rPr>
          <w:t>OpenAI</w:t>
        </w:r>
      </w:hyperlink>
    </w:p>
    <w:p w14:paraId="4B68E165" w14:textId="77777777" w:rsidR="00A8525E" w:rsidRPr="00502315" w:rsidRDefault="00A8525E" w:rsidP="008778B7">
      <w:pPr>
        <w:spacing w:after="210" w:line="360" w:lineRule="auto"/>
        <w:rPr>
          <w:rFonts w:ascii="Helvetica" w:hAnsi="Helvetica" w:cs="Arial"/>
          <w:sz w:val="20"/>
          <w:szCs w:val="20"/>
        </w:rPr>
      </w:pPr>
    </w:p>
    <w:sectPr w:rsidR="00A8525E" w:rsidRPr="00502315">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A360F"/>
    <w:multiLevelType w:val="multilevel"/>
    <w:tmpl w:val="1F905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C19F9"/>
    <w:multiLevelType w:val="hybridMultilevel"/>
    <w:tmpl w:val="4D8AF9BA"/>
    <w:lvl w:ilvl="0" w:tplc="FBA69B0C">
      <w:start w:val="1"/>
      <w:numFmt w:val="bullet"/>
      <w:lvlText w:val=""/>
      <w:lvlJc w:val="left"/>
      <w:pPr>
        <w:tabs>
          <w:tab w:val="num" w:pos="900"/>
        </w:tabs>
        <w:ind w:left="540" w:hanging="360"/>
      </w:pPr>
      <w:rPr>
        <w:rFonts w:ascii="Symbol" w:hAnsi="Symbol" w:hint="default"/>
      </w:rPr>
    </w:lvl>
    <w:lvl w:ilvl="1" w:tplc="C0285578">
      <w:start w:val="1"/>
      <w:numFmt w:val="bullet"/>
      <w:lvlText w:val="o"/>
      <w:lvlJc w:val="left"/>
      <w:pPr>
        <w:tabs>
          <w:tab w:val="num" w:pos="1440"/>
        </w:tabs>
        <w:ind w:left="1080" w:hanging="360"/>
      </w:pPr>
      <w:rPr>
        <w:rFonts w:ascii="Courier New" w:hAnsi="Courier New" w:cs="Courier New" w:hint="default"/>
      </w:rPr>
    </w:lvl>
    <w:lvl w:ilvl="2" w:tplc="5096178E">
      <w:numFmt w:val="decimal"/>
      <w:lvlText w:val=""/>
      <w:lvlJc w:val="left"/>
    </w:lvl>
    <w:lvl w:ilvl="3" w:tplc="2AE642DC">
      <w:numFmt w:val="decimal"/>
      <w:lvlText w:val=""/>
      <w:lvlJc w:val="left"/>
    </w:lvl>
    <w:lvl w:ilvl="4" w:tplc="55785514">
      <w:numFmt w:val="decimal"/>
      <w:lvlText w:val=""/>
      <w:lvlJc w:val="left"/>
    </w:lvl>
    <w:lvl w:ilvl="5" w:tplc="76A037AC">
      <w:numFmt w:val="decimal"/>
      <w:lvlText w:val=""/>
      <w:lvlJc w:val="left"/>
    </w:lvl>
    <w:lvl w:ilvl="6" w:tplc="2CB0C2FC">
      <w:numFmt w:val="decimal"/>
      <w:lvlText w:val=""/>
      <w:lvlJc w:val="left"/>
    </w:lvl>
    <w:lvl w:ilvl="7" w:tplc="F3E09428">
      <w:numFmt w:val="decimal"/>
      <w:lvlText w:val=""/>
      <w:lvlJc w:val="left"/>
    </w:lvl>
    <w:lvl w:ilvl="8" w:tplc="5FC6AAFA">
      <w:numFmt w:val="decimal"/>
      <w:lvlText w:val=""/>
      <w:lvlJc w:val="left"/>
    </w:lvl>
  </w:abstractNum>
  <w:abstractNum w:abstractNumId="2" w15:restartNumberingAfterBreak="0">
    <w:nsid w:val="03D244D0"/>
    <w:multiLevelType w:val="multilevel"/>
    <w:tmpl w:val="60BEF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0972D3"/>
    <w:multiLevelType w:val="hybridMultilevel"/>
    <w:tmpl w:val="BB204B80"/>
    <w:lvl w:ilvl="0" w:tplc="D3D063DA">
      <w:start w:val="1"/>
      <w:numFmt w:val="bullet"/>
      <w:lvlText w:val=""/>
      <w:lvlJc w:val="left"/>
      <w:pPr>
        <w:tabs>
          <w:tab w:val="num" w:pos="900"/>
        </w:tabs>
        <w:ind w:left="540" w:hanging="360"/>
      </w:pPr>
      <w:rPr>
        <w:rFonts w:ascii="Symbol" w:hAnsi="Symbol" w:hint="default"/>
      </w:rPr>
    </w:lvl>
    <w:lvl w:ilvl="1" w:tplc="2A56910A">
      <w:start w:val="1"/>
      <w:numFmt w:val="bullet"/>
      <w:lvlText w:val="o"/>
      <w:lvlJc w:val="left"/>
      <w:pPr>
        <w:tabs>
          <w:tab w:val="num" w:pos="1440"/>
        </w:tabs>
        <w:ind w:left="1080" w:hanging="360"/>
      </w:pPr>
      <w:rPr>
        <w:rFonts w:ascii="Courier New" w:hAnsi="Courier New" w:cs="Courier New" w:hint="default"/>
      </w:rPr>
    </w:lvl>
    <w:lvl w:ilvl="2" w:tplc="B75A9C88">
      <w:numFmt w:val="decimal"/>
      <w:lvlText w:val=""/>
      <w:lvlJc w:val="left"/>
    </w:lvl>
    <w:lvl w:ilvl="3" w:tplc="8F924EBC">
      <w:numFmt w:val="decimal"/>
      <w:lvlText w:val=""/>
      <w:lvlJc w:val="left"/>
    </w:lvl>
    <w:lvl w:ilvl="4" w:tplc="EA985ED0">
      <w:numFmt w:val="decimal"/>
      <w:lvlText w:val=""/>
      <w:lvlJc w:val="left"/>
    </w:lvl>
    <w:lvl w:ilvl="5" w:tplc="B35EC954">
      <w:numFmt w:val="decimal"/>
      <w:lvlText w:val=""/>
      <w:lvlJc w:val="left"/>
    </w:lvl>
    <w:lvl w:ilvl="6" w:tplc="1D780E2E">
      <w:numFmt w:val="decimal"/>
      <w:lvlText w:val=""/>
      <w:lvlJc w:val="left"/>
    </w:lvl>
    <w:lvl w:ilvl="7" w:tplc="8112349A">
      <w:numFmt w:val="decimal"/>
      <w:lvlText w:val=""/>
      <w:lvlJc w:val="left"/>
    </w:lvl>
    <w:lvl w:ilvl="8" w:tplc="650A886E">
      <w:numFmt w:val="decimal"/>
      <w:lvlText w:val=""/>
      <w:lvlJc w:val="left"/>
    </w:lvl>
  </w:abstractNum>
  <w:abstractNum w:abstractNumId="4" w15:restartNumberingAfterBreak="0">
    <w:nsid w:val="05912D2C"/>
    <w:multiLevelType w:val="multilevel"/>
    <w:tmpl w:val="75605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EE0442"/>
    <w:multiLevelType w:val="multilevel"/>
    <w:tmpl w:val="096CB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3C4107"/>
    <w:multiLevelType w:val="multilevel"/>
    <w:tmpl w:val="C4382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9A6272"/>
    <w:multiLevelType w:val="multilevel"/>
    <w:tmpl w:val="D6286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8C059B"/>
    <w:multiLevelType w:val="multilevel"/>
    <w:tmpl w:val="7FAA2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472996"/>
    <w:multiLevelType w:val="multilevel"/>
    <w:tmpl w:val="23E204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9F2823"/>
    <w:multiLevelType w:val="hybridMultilevel"/>
    <w:tmpl w:val="FEE648C0"/>
    <w:lvl w:ilvl="0" w:tplc="829AF290">
      <w:start w:val="1"/>
      <w:numFmt w:val="bullet"/>
      <w:lvlText w:val=""/>
      <w:lvlJc w:val="left"/>
      <w:pPr>
        <w:tabs>
          <w:tab w:val="num" w:pos="900"/>
        </w:tabs>
        <w:ind w:left="540" w:hanging="360"/>
      </w:pPr>
      <w:rPr>
        <w:rFonts w:ascii="Symbol" w:hAnsi="Symbol" w:hint="default"/>
      </w:rPr>
    </w:lvl>
    <w:lvl w:ilvl="1" w:tplc="14BCB13C">
      <w:start w:val="1"/>
      <w:numFmt w:val="bullet"/>
      <w:lvlText w:val="o"/>
      <w:lvlJc w:val="left"/>
      <w:pPr>
        <w:tabs>
          <w:tab w:val="num" w:pos="1440"/>
        </w:tabs>
        <w:ind w:left="1080" w:hanging="360"/>
      </w:pPr>
      <w:rPr>
        <w:rFonts w:ascii="Courier New" w:hAnsi="Courier New" w:cs="Courier New" w:hint="default"/>
      </w:rPr>
    </w:lvl>
    <w:lvl w:ilvl="2" w:tplc="E6643D08">
      <w:numFmt w:val="decimal"/>
      <w:lvlText w:val=""/>
      <w:lvlJc w:val="left"/>
    </w:lvl>
    <w:lvl w:ilvl="3" w:tplc="A776EE6A">
      <w:numFmt w:val="decimal"/>
      <w:lvlText w:val=""/>
      <w:lvlJc w:val="left"/>
    </w:lvl>
    <w:lvl w:ilvl="4" w:tplc="FA648B20">
      <w:numFmt w:val="decimal"/>
      <w:lvlText w:val=""/>
      <w:lvlJc w:val="left"/>
    </w:lvl>
    <w:lvl w:ilvl="5" w:tplc="CD90C99C">
      <w:numFmt w:val="decimal"/>
      <w:lvlText w:val=""/>
      <w:lvlJc w:val="left"/>
    </w:lvl>
    <w:lvl w:ilvl="6" w:tplc="1CAAE8A6">
      <w:numFmt w:val="decimal"/>
      <w:lvlText w:val=""/>
      <w:lvlJc w:val="left"/>
    </w:lvl>
    <w:lvl w:ilvl="7" w:tplc="ECA8989C">
      <w:numFmt w:val="decimal"/>
      <w:lvlText w:val=""/>
      <w:lvlJc w:val="left"/>
    </w:lvl>
    <w:lvl w:ilvl="8" w:tplc="0512C46A">
      <w:numFmt w:val="decimal"/>
      <w:lvlText w:val=""/>
      <w:lvlJc w:val="left"/>
    </w:lvl>
  </w:abstractNum>
  <w:abstractNum w:abstractNumId="11" w15:restartNumberingAfterBreak="0">
    <w:nsid w:val="19CD0EF5"/>
    <w:multiLevelType w:val="multilevel"/>
    <w:tmpl w:val="0AD4B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F80C69"/>
    <w:multiLevelType w:val="hybridMultilevel"/>
    <w:tmpl w:val="839A4B2C"/>
    <w:lvl w:ilvl="0" w:tplc="4502E518">
      <w:numFmt w:val="decimal"/>
      <w:lvlText w:val=""/>
      <w:lvlJc w:val="left"/>
    </w:lvl>
    <w:lvl w:ilvl="1" w:tplc="8E862B88">
      <w:numFmt w:val="decimal"/>
      <w:lvlText w:val=""/>
      <w:lvlJc w:val="left"/>
    </w:lvl>
    <w:lvl w:ilvl="2" w:tplc="55480F16">
      <w:numFmt w:val="decimal"/>
      <w:lvlText w:val=""/>
      <w:lvlJc w:val="left"/>
    </w:lvl>
    <w:lvl w:ilvl="3" w:tplc="1C52E8A2">
      <w:numFmt w:val="decimal"/>
      <w:lvlText w:val=""/>
      <w:lvlJc w:val="left"/>
    </w:lvl>
    <w:lvl w:ilvl="4" w:tplc="30442A0E">
      <w:numFmt w:val="decimal"/>
      <w:lvlText w:val=""/>
      <w:lvlJc w:val="left"/>
    </w:lvl>
    <w:lvl w:ilvl="5" w:tplc="BEB4B2C0">
      <w:numFmt w:val="decimal"/>
      <w:lvlText w:val=""/>
      <w:lvlJc w:val="left"/>
    </w:lvl>
    <w:lvl w:ilvl="6" w:tplc="F434EF32">
      <w:numFmt w:val="decimal"/>
      <w:lvlText w:val=""/>
      <w:lvlJc w:val="left"/>
    </w:lvl>
    <w:lvl w:ilvl="7" w:tplc="FF0E4B8C">
      <w:numFmt w:val="decimal"/>
      <w:lvlText w:val=""/>
      <w:lvlJc w:val="left"/>
    </w:lvl>
    <w:lvl w:ilvl="8" w:tplc="C976568C">
      <w:numFmt w:val="decimal"/>
      <w:lvlText w:val=""/>
      <w:lvlJc w:val="left"/>
    </w:lvl>
  </w:abstractNum>
  <w:abstractNum w:abstractNumId="13" w15:restartNumberingAfterBreak="0">
    <w:nsid w:val="1D3D701E"/>
    <w:multiLevelType w:val="multilevel"/>
    <w:tmpl w:val="108AF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6E3E8F"/>
    <w:multiLevelType w:val="hybridMultilevel"/>
    <w:tmpl w:val="88A46F78"/>
    <w:lvl w:ilvl="0" w:tplc="EF145112">
      <w:start w:val="1"/>
      <w:numFmt w:val="bullet"/>
      <w:lvlText w:val=""/>
      <w:lvlJc w:val="left"/>
      <w:pPr>
        <w:tabs>
          <w:tab w:val="num" w:pos="900"/>
        </w:tabs>
        <w:ind w:left="540" w:hanging="360"/>
      </w:pPr>
      <w:rPr>
        <w:rFonts w:ascii="Symbol" w:hAnsi="Symbol" w:hint="default"/>
      </w:rPr>
    </w:lvl>
    <w:lvl w:ilvl="1" w:tplc="96C6CC36">
      <w:start w:val="1"/>
      <w:numFmt w:val="bullet"/>
      <w:lvlText w:val="o"/>
      <w:lvlJc w:val="left"/>
      <w:pPr>
        <w:tabs>
          <w:tab w:val="num" w:pos="1440"/>
        </w:tabs>
        <w:ind w:left="1080" w:hanging="360"/>
      </w:pPr>
      <w:rPr>
        <w:rFonts w:ascii="Courier New" w:hAnsi="Courier New" w:cs="Courier New" w:hint="default"/>
      </w:rPr>
    </w:lvl>
    <w:lvl w:ilvl="2" w:tplc="BAC0DF00">
      <w:numFmt w:val="decimal"/>
      <w:lvlText w:val=""/>
      <w:lvlJc w:val="left"/>
    </w:lvl>
    <w:lvl w:ilvl="3" w:tplc="86E2017A">
      <w:numFmt w:val="decimal"/>
      <w:lvlText w:val=""/>
      <w:lvlJc w:val="left"/>
    </w:lvl>
    <w:lvl w:ilvl="4" w:tplc="E9420926">
      <w:numFmt w:val="decimal"/>
      <w:lvlText w:val=""/>
      <w:lvlJc w:val="left"/>
    </w:lvl>
    <w:lvl w:ilvl="5" w:tplc="4684C5CC">
      <w:numFmt w:val="decimal"/>
      <w:lvlText w:val=""/>
      <w:lvlJc w:val="left"/>
    </w:lvl>
    <w:lvl w:ilvl="6" w:tplc="CEB0AC3E">
      <w:numFmt w:val="decimal"/>
      <w:lvlText w:val=""/>
      <w:lvlJc w:val="left"/>
    </w:lvl>
    <w:lvl w:ilvl="7" w:tplc="3FE6DCFA">
      <w:numFmt w:val="decimal"/>
      <w:lvlText w:val=""/>
      <w:lvlJc w:val="left"/>
    </w:lvl>
    <w:lvl w:ilvl="8" w:tplc="13B0A1B2">
      <w:numFmt w:val="decimal"/>
      <w:lvlText w:val=""/>
      <w:lvlJc w:val="left"/>
    </w:lvl>
  </w:abstractNum>
  <w:abstractNum w:abstractNumId="15" w15:restartNumberingAfterBreak="0">
    <w:nsid w:val="1EF42DE9"/>
    <w:multiLevelType w:val="hybridMultilevel"/>
    <w:tmpl w:val="F6D8475A"/>
    <w:lvl w:ilvl="0" w:tplc="DC9E242A">
      <w:start w:val="1"/>
      <w:numFmt w:val="decimal"/>
      <w:lvlText w:val="%1."/>
      <w:lvlJc w:val="left"/>
      <w:pPr>
        <w:tabs>
          <w:tab w:val="num" w:pos="900"/>
        </w:tabs>
        <w:ind w:left="540" w:hanging="360"/>
      </w:pPr>
    </w:lvl>
    <w:lvl w:ilvl="1" w:tplc="BFCA2538">
      <w:numFmt w:val="decimal"/>
      <w:lvlText w:val=""/>
      <w:lvlJc w:val="left"/>
    </w:lvl>
    <w:lvl w:ilvl="2" w:tplc="62FA9BDA">
      <w:numFmt w:val="decimal"/>
      <w:lvlText w:val=""/>
      <w:lvlJc w:val="left"/>
    </w:lvl>
    <w:lvl w:ilvl="3" w:tplc="9BC0ACB2">
      <w:numFmt w:val="decimal"/>
      <w:lvlText w:val=""/>
      <w:lvlJc w:val="left"/>
    </w:lvl>
    <w:lvl w:ilvl="4" w:tplc="D75EE68C">
      <w:numFmt w:val="decimal"/>
      <w:lvlText w:val=""/>
      <w:lvlJc w:val="left"/>
    </w:lvl>
    <w:lvl w:ilvl="5" w:tplc="49C6B38C">
      <w:numFmt w:val="decimal"/>
      <w:lvlText w:val=""/>
      <w:lvlJc w:val="left"/>
    </w:lvl>
    <w:lvl w:ilvl="6" w:tplc="A3E6475A">
      <w:numFmt w:val="decimal"/>
      <w:lvlText w:val=""/>
      <w:lvlJc w:val="left"/>
    </w:lvl>
    <w:lvl w:ilvl="7" w:tplc="D744E978">
      <w:numFmt w:val="decimal"/>
      <w:lvlText w:val=""/>
      <w:lvlJc w:val="left"/>
    </w:lvl>
    <w:lvl w:ilvl="8" w:tplc="27D20412">
      <w:numFmt w:val="decimal"/>
      <w:lvlText w:val=""/>
      <w:lvlJc w:val="left"/>
    </w:lvl>
  </w:abstractNum>
  <w:abstractNum w:abstractNumId="16" w15:restartNumberingAfterBreak="0">
    <w:nsid w:val="1F401AB2"/>
    <w:multiLevelType w:val="hybridMultilevel"/>
    <w:tmpl w:val="B5307980"/>
    <w:lvl w:ilvl="0" w:tplc="AD24B6DA">
      <w:start w:val="1"/>
      <w:numFmt w:val="decimal"/>
      <w:lvlText w:val="%1."/>
      <w:lvlJc w:val="left"/>
      <w:pPr>
        <w:tabs>
          <w:tab w:val="num" w:pos="900"/>
        </w:tabs>
        <w:ind w:left="540" w:hanging="360"/>
      </w:pPr>
    </w:lvl>
    <w:lvl w:ilvl="1" w:tplc="3C4A6388">
      <w:start w:val="1"/>
      <w:numFmt w:val="bullet"/>
      <w:lvlText w:val="o"/>
      <w:lvlJc w:val="left"/>
      <w:pPr>
        <w:tabs>
          <w:tab w:val="num" w:pos="1440"/>
        </w:tabs>
        <w:ind w:left="1080" w:hanging="360"/>
      </w:pPr>
      <w:rPr>
        <w:rFonts w:ascii="Courier New" w:hAnsi="Courier New" w:cs="Courier New" w:hint="default"/>
      </w:rPr>
    </w:lvl>
    <w:lvl w:ilvl="2" w:tplc="BBCC18C4">
      <w:numFmt w:val="decimal"/>
      <w:lvlText w:val=""/>
      <w:lvlJc w:val="left"/>
    </w:lvl>
    <w:lvl w:ilvl="3" w:tplc="9FA6303E">
      <w:numFmt w:val="decimal"/>
      <w:lvlText w:val=""/>
      <w:lvlJc w:val="left"/>
    </w:lvl>
    <w:lvl w:ilvl="4" w:tplc="23EEC918">
      <w:numFmt w:val="decimal"/>
      <w:lvlText w:val=""/>
      <w:lvlJc w:val="left"/>
    </w:lvl>
    <w:lvl w:ilvl="5" w:tplc="516E3A0E">
      <w:numFmt w:val="decimal"/>
      <w:lvlText w:val=""/>
      <w:lvlJc w:val="left"/>
    </w:lvl>
    <w:lvl w:ilvl="6" w:tplc="AA4A4ACA">
      <w:numFmt w:val="decimal"/>
      <w:lvlText w:val=""/>
      <w:lvlJc w:val="left"/>
    </w:lvl>
    <w:lvl w:ilvl="7" w:tplc="7A941C9A">
      <w:numFmt w:val="decimal"/>
      <w:lvlText w:val=""/>
      <w:lvlJc w:val="left"/>
    </w:lvl>
    <w:lvl w:ilvl="8" w:tplc="AB601404">
      <w:numFmt w:val="decimal"/>
      <w:lvlText w:val=""/>
      <w:lvlJc w:val="left"/>
    </w:lvl>
  </w:abstractNum>
  <w:abstractNum w:abstractNumId="17" w15:restartNumberingAfterBreak="0">
    <w:nsid w:val="2098281F"/>
    <w:multiLevelType w:val="multilevel"/>
    <w:tmpl w:val="E6A84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015855"/>
    <w:multiLevelType w:val="multilevel"/>
    <w:tmpl w:val="13DA0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AD7978"/>
    <w:multiLevelType w:val="multilevel"/>
    <w:tmpl w:val="A5C04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0C0FE2"/>
    <w:multiLevelType w:val="multilevel"/>
    <w:tmpl w:val="F7483E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603546"/>
    <w:multiLevelType w:val="hybridMultilevel"/>
    <w:tmpl w:val="F998D3C0"/>
    <w:lvl w:ilvl="0" w:tplc="FEB4FE58">
      <w:start w:val="1"/>
      <w:numFmt w:val="bullet"/>
      <w:lvlText w:val=""/>
      <w:lvlJc w:val="left"/>
      <w:pPr>
        <w:tabs>
          <w:tab w:val="num" w:pos="900"/>
        </w:tabs>
        <w:ind w:left="540" w:hanging="360"/>
      </w:pPr>
      <w:rPr>
        <w:rFonts w:ascii="Symbol" w:hAnsi="Symbol" w:hint="default"/>
      </w:rPr>
    </w:lvl>
    <w:lvl w:ilvl="1" w:tplc="0C88F7F2">
      <w:numFmt w:val="decimal"/>
      <w:lvlText w:val=""/>
      <w:lvlJc w:val="left"/>
    </w:lvl>
    <w:lvl w:ilvl="2" w:tplc="B38696F2">
      <w:numFmt w:val="decimal"/>
      <w:lvlText w:val=""/>
      <w:lvlJc w:val="left"/>
    </w:lvl>
    <w:lvl w:ilvl="3" w:tplc="4F747DD2">
      <w:numFmt w:val="decimal"/>
      <w:lvlText w:val=""/>
      <w:lvlJc w:val="left"/>
    </w:lvl>
    <w:lvl w:ilvl="4" w:tplc="64E889DE">
      <w:numFmt w:val="decimal"/>
      <w:lvlText w:val=""/>
      <w:lvlJc w:val="left"/>
    </w:lvl>
    <w:lvl w:ilvl="5" w:tplc="6BCCD894">
      <w:numFmt w:val="decimal"/>
      <w:lvlText w:val=""/>
      <w:lvlJc w:val="left"/>
    </w:lvl>
    <w:lvl w:ilvl="6" w:tplc="5F7C7B3A">
      <w:numFmt w:val="decimal"/>
      <w:lvlText w:val=""/>
      <w:lvlJc w:val="left"/>
    </w:lvl>
    <w:lvl w:ilvl="7" w:tplc="D9BA5240">
      <w:numFmt w:val="decimal"/>
      <w:lvlText w:val=""/>
      <w:lvlJc w:val="left"/>
    </w:lvl>
    <w:lvl w:ilvl="8" w:tplc="BBE279C2">
      <w:numFmt w:val="decimal"/>
      <w:lvlText w:val=""/>
      <w:lvlJc w:val="left"/>
    </w:lvl>
  </w:abstractNum>
  <w:abstractNum w:abstractNumId="22" w15:restartNumberingAfterBreak="0">
    <w:nsid w:val="2B742F07"/>
    <w:multiLevelType w:val="multilevel"/>
    <w:tmpl w:val="C1486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77124D"/>
    <w:multiLevelType w:val="hybridMultilevel"/>
    <w:tmpl w:val="848EDB48"/>
    <w:lvl w:ilvl="0" w:tplc="FD12386C">
      <w:start w:val="1"/>
      <w:numFmt w:val="bullet"/>
      <w:lvlText w:val=""/>
      <w:lvlJc w:val="left"/>
      <w:pPr>
        <w:tabs>
          <w:tab w:val="num" w:pos="900"/>
        </w:tabs>
        <w:ind w:left="540" w:hanging="360"/>
      </w:pPr>
      <w:rPr>
        <w:rFonts w:ascii="Symbol" w:hAnsi="Symbol" w:hint="default"/>
      </w:rPr>
    </w:lvl>
    <w:lvl w:ilvl="1" w:tplc="109CB6F8">
      <w:start w:val="1"/>
      <w:numFmt w:val="bullet"/>
      <w:lvlText w:val="o"/>
      <w:lvlJc w:val="left"/>
      <w:pPr>
        <w:tabs>
          <w:tab w:val="num" w:pos="1440"/>
        </w:tabs>
        <w:ind w:left="1080" w:hanging="360"/>
      </w:pPr>
      <w:rPr>
        <w:rFonts w:ascii="Courier New" w:hAnsi="Courier New" w:cs="Courier New" w:hint="default"/>
      </w:rPr>
    </w:lvl>
    <w:lvl w:ilvl="2" w:tplc="EB7C986A">
      <w:start w:val="1"/>
      <w:numFmt w:val="bullet"/>
      <w:lvlText w:val=""/>
      <w:lvlJc w:val="left"/>
      <w:pPr>
        <w:tabs>
          <w:tab w:val="num" w:pos="1980"/>
        </w:tabs>
        <w:ind w:left="1620" w:hanging="360"/>
      </w:pPr>
      <w:rPr>
        <w:rFonts w:ascii="Wingdings" w:hAnsi="Wingdings" w:hint="default"/>
      </w:rPr>
    </w:lvl>
    <w:lvl w:ilvl="3" w:tplc="98403964">
      <w:numFmt w:val="decimal"/>
      <w:lvlText w:val=""/>
      <w:lvlJc w:val="left"/>
    </w:lvl>
    <w:lvl w:ilvl="4" w:tplc="12C8FE64">
      <w:numFmt w:val="decimal"/>
      <w:lvlText w:val=""/>
      <w:lvlJc w:val="left"/>
    </w:lvl>
    <w:lvl w:ilvl="5" w:tplc="FE8CF76A">
      <w:numFmt w:val="decimal"/>
      <w:lvlText w:val=""/>
      <w:lvlJc w:val="left"/>
    </w:lvl>
    <w:lvl w:ilvl="6" w:tplc="4B6E1F4C">
      <w:numFmt w:val="decimal"/>
      <w:lvlText w:val=""/>
      <w:lvlJc w:val="left"/>
    </w:lvl>
    <w:lvl w:ilvl="7" w:tplc="281C3B2E">
      <w:numFmt w:val="decimal"/>
      <w:lvlText w:val=""/>
      <w:lvlJc w:val="left"/>
    </w:lvl>
    <w:lvl w:ilvl="8" w:tplc="AE046204">
      <w:numFmt w:val="decimal"/>
      <w:lvlText w:val=""/>
      <w:lvlJc w:val="left"/>
    </w:lvl>
  </w:abstractNum>
  <w:abstractNum w:abstractNumId="24" w15:restartNumberingAfterBreak="0">
    <w:nsid w:val="32FD47A6"/>
    <w:multiLevelType w:val="multilevel"/>
    <w:tmpl w:val="E5CC6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755EC4"/>
    <w:multiLevelType w:val="multilevel"/>
    <w:tmpl w:val="B5B67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8468B7"/>
    <w:multiLevelType w:val="hybridMultilevel"/>
    <w:tmpl w:val="17AED164"/>
    <w:lvl w:ilvl="0" w:tplc="A262102E">
      <w:start w:val="1"/>
      <w:numFmt w:val="bullet"/>
      <w:lvlText w:val=""/>
      <w:lvlJc w:val="left"/>
      <w:pPr>
        <w:tabs>
          <w:tab w:val="num" w:pos="900"/>
        </w:tabs>
        <w:ind w:left="540" w:hanging="360"/>
      </w:pPr>
      <w:rPr>
        <w:rFonts w:ascii="Symbol" w:hAnsi="Symbol" w:hint="default"/>
      </w:rPr>
    </w:lvl>
    <w:lvl w:ilvl="1" w:tplc="F7C6E752">
      <w:start w:val="1"/>
      <w:numFmt w:val="bullet"/>
      <w:lvlText w:val="o"/>
      <w:lvlJc w:val="left"/>
      <w:pPr>
        <w:tabs>
          <w:tab w:val="num" w:pos="1440"/>
        </w:tabs>
        <w:ind w:left="1080" w:hanging="360"/>
      </w:pPr>
      <w:rPr>
        <w:rFonts w:ascii="Courier New" w:hAnsi="Courier New" w:cs="Courier New" w:hint="default"/>
      </w:rPr>
    </w:lvl>
    <w:lvl w:ilvl="2" w:tplc="F252B2E8">
      <w:numFmt w:val="decimal"/>
      <w:lvlText w:val=""/>
      <w:lvlJc w:val="left"/>
    </w:lvl>
    <w:lvl w:ilvl="3" w:tplc="E4F40E74">
      <w:numFmt w:val="decimal"/>
      <w:lvlText w:val=""/>
      <w:lvlJc w:val="left"/>
    </w:lvl>
    <w:lvl w:ilvl="4" w:tplc="E0C212D0">
      <w:numFmt w:val="decimal"/>
      <w:lvlText w:val=""/>
      <w:lvlJc w:val="left"/>
    </w:lvl>
    <w:lvl w:ilvl="5" w:tplc="20640978">
      <w:numFmt w:val="decimal"/>
      <w:lvlText w:val=""/>
      <w:lvlJc w:val="left"/>
    </w:lvl>
    <w:lvl w:ilvl="6" w:tplc="80D85780">
      <w:numFmt w:val="decimal"/>
      <w:lvlText w:val=""/>
      <w:lvlJc w:val="left"/>
    </w:lvl>
    <w:lvl w:ilvl="7" w:tplc="62827E08">
      <w:numFmt w:val="decimal"/>
      <w:lvlText w:val=""/>
      <w:lvlJc w:val="left"/>
    </w:lvl>
    <w:lvl w:ilvl="8" w:tplc="98382B8C">
      <w:numFmt w:val="decimal"/>
      <w:lvlText w:val=""/>
      <w:lvlJc w:val="left"/>
    </w:lvl>
  </w:abstractNum>
  <w:abstractNum w:abstractNumId="27" w15:restartNumberingAfterBreak="0">
    <w:nsid w:val="3D2D1A1D"/>
    <w:multiLevelType w:val="multilevel"/>
    <w:tmpl w:val="E6946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073B61"/>
    <w:multiLevelType w:val="multilevel"/>
    <w:tmpl w:val="909C3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277D5D"/>
    <w:multiLevelType w:val="multilevel"/>
    <w:tmpl w:val="52E45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1809EB"/>
    <w:multiLevelType w:val="multilevel"/>
    <w:tmpl w:val="69264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DD331D"/>
    <w:multiLevelType w:val="multilevel"/>
    <w:tmpl w:val="2BCCB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5425CB"/>
    <w:multiLevelType w:val="multilevel"/>
    <w:tmpl w:val="1570A7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251234"/>
    <w:multiLevelType w:val="multilevel"/>
    <w:tmpl w:val="597A3004"/>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3746E2"/>
    <w:multiLevelType w:val="hybridMultilevel"/>
    <w:tmpl w:val="FAB0D2F8"/>
    <w:lvl w:ilvl="0" w:tplc="2340AFD4">
      <w:start w:val="1"/>
      <w:numFmt w:val="bullet"/>
      <w:lvlText w:val=""/>
      <w:lvlJc w:val="left"/>
      <w:pPr>
        <w:tabs>
          <w:tab w:val="num" w:pos="900"/>
        </w:tabs>
        <w:ind w:left="540" w:hanging="360"/>
      </w:pPr>
      <w:rPr>
        <w:rFonts w:ascii="Symbol" w:hAnsi="Symbol" w:hint="default"/>
      </w:rPr>
    </w:lvl>
    <w:lvl w:ilvl="1" w:tplc="CE5ADF64">
      <w:start w:val="1"/>
      <w:numFmt w:val="bullet"/>
      <w:lvlText w:val="o"/>
      <w:lvlJc w:val="left"/>
      <w:pPr>
        <w:tabs>
          <w:tab w:val="num" w:pos="1440"/>
        </w:tabs>
        <w:ind w:left="1080" w:hanging="360"/>
      </w:pPr>
      <w:rPr>
        <w:rFonts w:ascii="Courier New" w:hAnsi="Courier New" w:cs="Courier New" w:hint="default"/>
      </w:rPr>
    </w:lvl>
    <w:lvl w:ilvl="2" w:tplc="BE14AD08">
      <w:numFmt w:val="decimal"/>
      <w:lvlText w:val=""/>
      <w:lvlJc w:val="left"/>
    </w:lvl>
    <w:lvl w:ilvl="3" w:tplc="C246B198">
      <w:numFmt w:val="decimal"/>
      <w:lvlText w:val=""/>
      <w:lvlJc w:val="left"/>
    </w:lvl>
    <w:lvl w:ilvl="4" w:tplc="B3DEE2B0">
      <w:numFmt w:val="decimal"/>
      <w:lvlText w:val=""/>
      <w:lvlJc w:val="left"/>
    </w:lvl>
    <w:lvl w:ilvl="5" w:tplc="053AE21A">
      <w:numFmt w:val="decimal"/>
      <w:lvlText w:val=""/>
      <w:lvlJc w:val="left"/>
    </w:lvl>
    <w:lvl w:ilvl="6" w:tplc="85744158">
      <w:numFmt w:val="decimal"/>
      <w:lvlText w:val=""/>
      <w:lvlJc w:val="left"/>
    </w:lvl>
    <w:lvl w:ilvl="7" w:tplc="324863EA">
      <w:numFmt w:val="decimal"/>
      <w:lvlText w:val=""/>
      <w:lvlJc w:val="left"/>
    </w:lvl>
    <w:lvl w:ilvl="8" w:tplc="8AE86C26">
      <w:numFmt w:val="decimal"/>
      <w:lvlText w:val=""/>
      <w:lvlJc w:val="left"/>
    </w:lvl>
  </w:abstractNum>
  <w:abstractNum w:abstractNumId="35" w15:restartNumberingAfterBreak="0">
    <w:nsid w:val="4F70303B"/>
    <w:multiLevelType w:val="multilevel"/>
    <w:tmpl w:val="F15AA1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13335C"/>
    <w:multiLevelType w:val="multilevel"/>
    <w:tmpl w:val="1352B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3470857"/>
    <w:multiLevelType w:val="hybridMultilevel"/>
    <w:tmpl w:val="AB14C2A4"/>
    <w:lvl w:ilvl="0" w:tplc="1EE0E68C">
      <w:start w:val="1"/>
      <w:numFmt w:val="upperRoman"/>
      <w:pStyle w:val="Heading1"/>
      <w:lvlText w:val="%1."/>
      <w:lvlJc w:val="left"/>
      <w:pPr>
        <w:ind w:left="1080" w:hanging="72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54B45575"/>
    <w:multiLevelType w:val="hybridMultilevel"/>
    <w:tmpl w:val="6534FE42"/>
    <w:lvl w:ilvl="0" w:tplc="F8B00EF8">
      <w:start w:val="1"/>
      <w:numFmt w:val="bullet"/>
      <w:lvlText w:val=""/>
      <w:lvlJc w:val="left"/>
      <w:pPr>
        <w:tabs>
          <w:tab w:val="num" w:pos="900"/>
        </w:tabs>
        <w:ind w:left="540" w:hanging="360"/>
      </w:pPr>
      <w:rPr>
        <w:rFonts w:ascii="Symbol" w:hAnsi="Symbol" w:hint="default"/>
      </w:rPr>
    </w:lvl>
    <w:lvl w:ilvl="1" w:tplc="AD088B52">
      <w:start w:val="1"/>
      <w:numFmt w:val="bullet"/>
      <w:lvlText w:val="o"/>
      <w:lvlJc w:val="left"/>
      <w:pPr>
        <w:tabs>
          <w:tab w:val="num" w:pos="1440"/>
        </w:tabs>
        <w:ind w:left="1080" w:hanging="360"/>
      </w:pPr>
      <w:rPr>
        <w:rFonts w:ascii="Courier New" w:hAnsi="Courier New" w:cs="Courier New" w:hint="default"/>
      </w:rPr>
    </w:lvl>
    <w:lvl w:ilvl="2" w:tplc="34C84F04">
      <w:numFmt w:val="decimal"/>
      <w:lvlText w:val=""/>
      <w:lvlJc w:val="left"/>
    </w:lvl>
    <w:lvl w:ilvl="3" w:tplc="AFF002A6">
      <w:numFmt w:val="decimal"/>
      <w:lvlText w:val=""/>
      <w:lvlJc w:val="left"/>
    </w:lvl>
    <w:lvl w:ilvl="4" w:tplc="0ECCEFDC">
      <w:numFmt w:val="decimal"/>
      <w:lvlText w:val=""/>
      <w:lvlJc w:val="left"/>
    </w:lvl>
    <w:lvl w:ilvl="5" w:tplc="5A90C8C0">
      <w:numFmt w:val="decimal"/>
      <w:lvlText w:val=""/>
      <w:lvlJc w:val="left"/>
    </w:lvl>
    <w:lvl w:ilvl="6" w:tplc="F65CE81A">
      <w:numFmt w:val="decimal"/>
      <w:lvlText w:val=""/>
      <w:lvlJc w:val="left"/>
    </w:lvl>
    <w:lvl w:ilvl="7" w:tplc="E0E2EE12">
      <w:numFmt w:val="decimal"/>
      <w:lvlText w:val=""/>
      <w:lvlJc w:val="left"/>
    </w:lvl>
    <w:lvl w:ilvl="8" w:tplc="E342F704">
      <w:numFmt w:val="decimal"/>
      <w:lvlText w:val=""/>
      <w:lvlJc w:val="left"/>
    </w:lvl>
  </w:abstractNum>
  <w:abstractNum w:abstractNumId="39" w15:restartNumberingAfterBreak="0">
    <w:nsid w:val="563D3568"/>
    <w:multiLevelType w:val="multilevel"/>
    <w:tmpl w:val="0FB4A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72435F4"/>
    <w:multiLevelType w:val="multilevel"/>
    <w:tmpl w:val="2D08F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C206ED2"/>
    <w:multiLevelType w:val="multilevel"/>
    <w:tmpl w:val="5606A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CD641D5"/>
    <w:multiLevelType w:val="multilevel"/>
    <w:tmpl w:val="93C0D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D8502A9"/>
    <w:multiLevelType w:val="multilevel"/>
    <w:tmpl w:val="82E88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27F7B08"/>
    <w:multiLevelType w:val="multilevel"/>
    <w:tmpl w:val="66F06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7410895"/>
    <w:multiLevelType w:val="multilevel"/>
    <w:tmpl w:val="E0F6D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8584FA6"/>
    <w:multiLevelType w:val="hybridMultilevel"/>
    <w:tmpl w:val="AC0E4088"/>
    <w:lvl w:ilvl="0" w:tplc="122C7C06">
      <w:start w:val="1"/>
      <w:numFmt w:val="bullet"/>
      <w:lvlText w:val=""/>
      <w:lvlJc w:val="left"/>
      <w:pPr>
        <w:tabs>
          <w:tab w:val="num" w:pos="900"/>
        </w:tabs>
        <w:ind w:left="540" w:hanging="360"/>
      </w:pPr>
      <w:rPr>
        <w:rFonts w:ascii="Symbol" w:hAnsi="Symbol" w:hint="default"/>
      </w:rPr>
    </w:lvl>
    <w:lvl w:ilvl="1" w:tplc="79423C2A">
      <w:numFmt w:val="decimal"/>
      <w:lvlText w:val=""/>
      <w:lvlJc w:val="left"/>
    </w:lvl>
    <w:lvl w:ilvl="2" w:tplc="A6209E20">
      <w:numFmt w:val="decimal"/>
      <w:lvlText w:val=""/>
      <w:lvlJc w:val="left"/>
    </w:lvl>
    <w:lvl w:ilvl="3" w:tplc="CE8E91F4">
      <w:numFmt w:val="decimal"/>
      <w:lvlText w:val=""/>
      <w:lvlJc w:val="left"/>
    </w:lvl>
    <w:lvl w:ilvl="4" w:tplc="A6824560">
      <w:numFmt w:val="decimal"/>
      <w:lvlText w:val=""/>
      <w:lvlJc w:val="left"/>
    </w:lvl>
    <w:lvl w:ilvl="5" w:tplc="0B5E735E">
      <w:numFmt w:val="decimal"/>
      <w:lvlText w:val=""/>
      <w:lvlJc w:val="left"/>
    </w:lvl>
    <w:lvl w:ilvl="6" w:tplc="5C56DA52">
      <w:numFmt w:val="decimal"/>
      <w:lvlText w:val=""/>
      <w:lvlJc w:val="left"/>
    </w:lvl>
    <w:lvl w:ilvl="7" w:tplc="12F0E96E">
      <w:numFmt w:val="decimal"/>
      <w:lvlText w:val=""/>
      <w:lvlJc w:val="left"/>
    </w:lvl>
    <w:lvl w:ilvl="8" w:tplc="B0EAB5F6">
      <w:numFmt w:val="decimal"/>
      <w:lvlText w:val=""/>
      <w:lvlJc w:val="left"/>
    </w:lvl>
  </w:abstractNum>
  <w:abstractNum w:abstractNumId="47" w15:restartNumberingAfterBreak="0">
    <w:nsid w:val="69DA29EF"/>
    <w:multiLevelType w:val="hybridMultilevel"/>
    <w:tmpl w:val="C74077F8"/>
    <w:lvl w:ilvl="0" w:tplc="C61A64E8">
      <w:start w:val="1"/>
      <w:numFmt w:val="bullet"/>
      <w:lvlText w:val=""/>
      <w:lvlJc w:val="left"/>
      <w:pPr>
        <w:tabs>
          <w:tab w:val="num" w:pos="900"/>
        </w:tabs>
        <w:ind w:left="540" w:hanging="360"/>
      </w:pPr>
      <w:rPr>
        <w:rFonts w:ascii="Symbol" w:hAnsi="Symbol" w:hint="default"/>
      </w:rPr>
    </w:lvl>
    <w:lvl w:ilvl="1" w:tplc="9C5A9DAC">
      <w:start w:val="1"/>
      <w:numFmt w:val="bullet"/>
      <w:lvlText w:val="o"/>
      <w:lvlJc w:val="left"/>
      <w:pPr>
        <w:tabs>
          <w:tab w:val="num" w:pos="1440"/>
        </w:tabs>
        <w:ind w:left="1080" w:hanging="360"/>
      </w:pPr>
      <w:rPr>
        <w:rFonts w:ascii="Courier New" w:hAnsi="Courier New" w:cs="Courier New" w:hint="default"/>
      </w:rPr>
    </w:lvl>
    <w:lvl w:ilvl="2" w:tplc="5D0C31E0">
      <w:numFmt w:val="decimal"/>
      <w:lvlText w:val=""/>
      <w:lvlJc w:val="left"/>
    </w:lvl>
    <w:lvl w:ilvl="3" w:tplc="DAC670C4">
      <w:numFmt w:val="decimal"/>
      <w:lvlText w:val=""/>
      <w:lvlJc w:val="left"/>
    </w:lvl>
    <w:lvl w:ilvl="4" w:tplc="8A06B190">
      <w:numFmt w:val="decimal"/>
      <w:lvlText w:val=""/>
      <w:lvlJc w:val="left"/>
    </w:lvl>
    <w:lvl w:ilvl="5" w:tplc="971EE2B4">
      <w:numFmt w:val="decimal"/>
      <w:lvlText w:val=""/>
      <w:lvlJc w:val="left"/>
    </w:lvl>
    <w:lvl w:ilvl="6" w:tplc="D9F043A6">
      <w:numFmt w:val="decimal"/>
      <w:lvlText w:val=""/>
      <w:lvlJc w:val="left"/>
    </w:lvl>
    <w:lvl w:ilvl="7" w:tplc="CAA49264">
      <w:numFmt w:val="decimal"/>
      <w:lvlText w:val=""/>
      <w:lvlJc w:val="left"/>
    </w:lvl>
    <w:lvl w:ilvl="8" w:tplc="9E2C9DD8">
      <w:numFmt w:val="decimal"/>
      <w:lvlText w:val=""/>
      <w:lvlJc w:val="left"/>
    </w:lvl>
  </w:abstractNum>
  <w:abstractNum w:abstractNumId="48" w15:restartNumberingAfterBreak="0">
    <w:nsid w:val="6A830324"/>
    <w:multiLevelType w:val="hybridMultilevel"/>
    <w:tmpl w:val="33C6BA56"/>
    <w:lvl w:ilvl="0" w:tplc="F69A3DC0">
      <w:start w:val="1"/>
      <w:numFmt w:val="bullet"/>
      <w:lvlText w:val=""/>
      <w:lvlJc w:val="left"/>
      <w:pPr>
        <w:tabs>
          <w:tab w:val="num" w:pos="900"/>
        </w:tabs>
        <w:ind w:left="540" w:hanging="360"/>
      </w:pPr>
      <w:rPr>
        <w:rFonts w:ascii="Symbol" w:hAnsi="Symbol" w:hint="default"/>
      </w:rPr>
    </w:lvl>
    <w:lvl w:ilvl="1" w:tplc="669E3396">
      <w:start w:val="1"/>
      <w:numFmt w:val="bullet"/>
      <w:lvlText w:val="o"/>
      <w:lvlJc w:val="left"/>
      <w:pPr>
        <w:tabs>
          <w:tab w:val="num" w:pos="1440"/>
        </w:tabs>
        <w:ind w:left="1080" w:hanging="360"/>
      </w:pPr>
      <w:rPr>
        <w:rFonts w:ascii="Courier New" w:hAnsi="Courier New" w:cs="Courier New" w:hint="default"/>
      </w:rPr>
    </w:lvl>
    <w:lvl w:ilvl="2" w:tplc="59EE83E4">
      <w:numFmt w:val="decimal"/>
      <w:lvlText w:val=""/>
      <w:lvlJc w:val="left"/>
    </w:lvl>
    <w:lvl w:ilvl="3" w:tplc="2610ACBA">
      <w:numFmt w:val="decimal"/>
      <w:lvlText w:val=""/>
      <w:lvlJc w:val="left"/>
    </w:lvl>
    <w:lvl w:ilvl="4" w:tplc="F9CEF7E4">
      <w:numFmt w:val="decimal"/>
      <w:lvlText w:val=""/>
      <w:lvlJc w:val="left"/>
    </w:lvl>
    <w:lvl w:ilvl="5" w:tplc="83527714">
      <w:numFmt w:val="decimal"/>
      <w:lvlText w:val=""/>
      <w:lvlJc w:val="left"/>
    </w:lvl>
    <w:lvl w:ilvl="6" w:tplc="DA069D6C">
      <w:numFmt w:val="decimal"/>
      <w:lvlText w:val=""/>
      <w:lvlJc w:val="left"/>
    </w:lvl>
    <w:lvl w:ilvl="7" w:tplc="D5A80D80">
      <w:numFmt w:val="decimal"/>
      <w:lvlText w:val=""/>
      <w:lvlJc w:val="left"/>
    </w:lvl>
    <w:lvl w:ilvl="8" w:tplc="2AFA1E18">
      <w:numFmt w:val="decimal"/>
      <w:lvlText w:val=""/>
      <w:lvlJc w:val="left"/>
    </w:lvl>
  </w:abstractNum>
  <w:abstractNum w:abstractNumId="49" w15:restartNumberingAfterBreak="0">
    <w:nsid w:val="6B6140AD"/>
    <w:multiLevelType w:val="multilevel"/>
    <w:tmpl w:val="FACC1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CB53366"/>
    <w:multiLevelType w:val="multilevel"/>
    <w:tmpl w:val="2E8E5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08D17F4"/>
    <w:multiLevelType w:val="multilevel"/>
    <w:tmpl w:val="2760E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2AE3CD1"/>
    <w:multiLevelType w:val="multilevel"/>
    <w:tmpl w:val="D092F3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4D7291B"/>
    <w:multiLevelType w:val="multilevel"/>
    <w:tmpl w:val="3C805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7530A37"/>
    <w:multiLevelType w:val="multilevel"/>
    <w:tmpl w:val="1BA62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85A6DCC"/>
    <w:multiLevelType w:val="multilevel"/>
    <w:tmpl w:val="0476A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86B6715"/>
    <w:multiLevelType w:val="hybridMultilevel"/>
    <w:tmpl w:val="C7F0C97A"/>
    <w:lvl w:ilvl="0" w:tplc="DF020332">
      <w:start w:val="1"/>
      <w:numFmt w:val="bullet"/>
      <w:lvlText w:val=""/>
      <w:lvlJc w:val="left"/>
      <w:pPr>
        <w:tabs>
          <w:tab w:val="num" w:pos="900"/>
        </w:tabs>
        <w:ind w:left="540" w:hanging="360"/>
      </w:pPr>
      <w:rPr>
        <w:rFonts w:ascii="Symbol" w:hAnsi="Symbol" w:hint="default"/>
      </w:rPr>
    </w:lvl>
    <w:lvl w:ilvl="1" w:tplc="00EE18DA">
      <w:start w:val="1"/>
      <w:numFmt w:val="bullet"/>
      <w:lvlText w:val="o"/>
      <w:lvlJc w:val="left"/>
      <w:pPr>
        <w:tabs>
          <w:tab w:val="num" w:pos="1440"/>
        </w:tabs>
        <w:ind w:left="1080" w:hanging="360"/>
      </w:pPr>
      <w:rPr>
        <w:rFonts w:ascii="Courier New" w:hAnsi="Courier New" w:cs="Courier New" w:hint="default"/>
      </w:rPr>
    </w:lvl>
    <w:lvl w:ilvl="2" w:tplc="E4D67E96">
      <w:numFmt w:val="decimal"/>
      <w:lvlText w:val=""/>
      <w:lvlJc w:val="left"/>
    </w:lvl>
    <w:lvl w:ilvl="3" w:tplc="D3D6550C">
      <w:numFmt w:val="decimal"/>
      <w:lvlText w:val=""/>
      <w:lvlJc w:val="left"/>
    </w:lvl>
    <w:lvl w:ilvl="4" w:tplc="47ECBF46">
      <w:numFmt w:val="decimal"/>
      <w:lvlText w:val=""/>
      <w:lvlJc w:val="left"/>
    </w:lvl>
    <w:lvl w:ilvl="5" w:tplc="7F9AA1D4">
      <w:numFmt w:val="decimal"/>
      <w:lvlText w:val=""/>
      <w:lvlJc w:val="left"/>
    </w:lvl>
    <w:lvl w:ilvl="6" w:tplc="B2C259B4">
      <w:numFmt w:val="decimal"/>
      <w:lvlText w:val=""/>
      <w:lvlJc w:val="left"/>
    </w:lvl>
    <w:lvl w:ilvl="7" w:tplc="CF103C04">
      <w:numFmt w:val="decimal"/>
      <w:lvlText w:val=""/>
      <w:lvlJc w:val="left"/>
    </w:lvl>
    <w:lvl w:ilvl="8" w:tplc="B1489802">
      <w:numFmt w:val="decimal"/>
      <w:lvlText w:val=""/>
      <w:lvlJc w:val="left"/>
    </w:lvl>
  </w:abstractNum>
  <w:abstractNum w:abstractNumId="57" w15:restartNumberingAfterBreak="0">
    <w:nsid w:val="7A7C4693"/>
    <w:multiLevelType w:val="multilevel"/>
    <w:tmpl w:val="742EA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D7A03CC"/>
    <w:multiLevelType w:val="multilevel"/>
    <w:tmpl w:val="C90A1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D905534"/>
    <w:multiLevelType w:val="multilevel"/>
    <w:tmpl w:val="D98AFE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2502456">
    <w:abstractNumId w:val="46"/>
  </w:num>
  <w:num w:numId="2" w16cid:durableId="1905526012">
    <w:abstractNumId w:val="10"/>
  </w:num>
  <w:num w:numId="3" w16cid:durableId="1375042041">
    <w:abstractNumId w:val="38"/>
  </w:num>
  <w:num w:numId="4" w16cid:durableId="933628900">
    <w:abstractNumId w:val="23"/>
  </w:num>
  <w:num w:numId="5" w16cid:durableId="1179738324">
    <w:abstractNumId w:val="56"/>
  </w:num>
  <w:num w:numId="6" w16cid:durableId="387998351">
    <w:abstractNumId w:val="48"/>
  </w:num>
  <w:num w:numId="7" w16cid:durableId="1992325146">
    <w:abstractNumId w:val="3"/>
  </w:num>
  <w:num w:numId="8" w16cid:durableId="1444377883">
    <w:abstractNumId w:val="34"/>
  </w:num>
  <w:num w:numId="9" w16cid:durableId="211582955">
    <w:abstractNumId w:val="47"/>
  </w:num>
  <w:num w:numId="10" w16cid:durableId="415251075">
    <w:abstractNumId w:val="14"/>
  </w:num>
  <w:num w:numId="11" w16cid:durableId="2063409178">
    <w:abstractNumId w:val="1"/>
  </w:num>
  <w:num w:numId="12" w16cid:durableId="271324865">
    <w:abstractNumId w:val="21"/>
  </w:num>
  <w:num w:numId="13" w16cid:durableId="543104065">
    <w:abstractNumId w:val="26"/>
  </w:num>
  <w:num w:numId="14" w16cid:durableId="756483841">
    <w:abstractNumId w:val="16"/>
  </w:num>
  <w:num w:numId="15" w16cid:durableId="791902887">
    <w:abstractNumId w:val="12"/>
  </w:num>
  <w:num w:numId="16" w16cid:durableId="27800891">
    <w:abstractNumId w:val="15"/>
  </w:num>
  <w:num w:numId="17" w16cid:durableId="479349493">
    <w:abstractNumId w:val="43"/>
  </w:num>
  <w:num w:numId="18" w16cid:durableId="1950895500">
    <w:abstractNumId w:val="50"/>
  </w:num>
  <w:num w:numId="19" w16cid:durableId="7955191">
    <w:abstractNumId w:val="27"/>
  </w:num>
  <w:num w:numId="20" w16cid:durableId="623388194">
    <w:abstractNumId w:val="57"/>
  </w:num>
  <w:num w:numId="21" w16cid:durableId="138347024">
    <w:abstractNumId w:val="13"/>
  </w:num>
  <w:num w:numId="22" w16cid:durableId="1404639642">
    <w:abstractNumId w:val="32"/>
  </w:num>
  <w:num w:numId="23" w16cid:durableId="900293439">
    <w:abstractNumId w:val="58"/>
  </w:num>
  <w:num w:numId="24" w16cid:durableId="513149302">
    <w:abstractNumId w:val="22"/>
  </w:num>
  <w:num w:numId="25" w16cid:durableId="1822771788">
    <w:abstractNumId w:val="24"/>
  </w:num>
  <w:num w:numId="26" w16cid:durableId="754135071">
    <w:abstractNumId w:val="59"/>
  </w:num>
  <w:num w:numId="27" w16cid:durableId="1762213347">
    <w:abstractNumId w:val="36"/>
  </w:num>
  <w:num w:numId="28" w16cid:durableId="132450206">
    <w:abstractNumId w:val="7"/>
  </w:num>
  <w:num w:numId="29" w16cid:durableId="708456960">
    <w:abstractNumId w:val="40"/>
  </w:num>
  <w:num w:numId="30" w16cid:durableId="1044792501">
    <w:abstractNumId w:val="51"/>
  </w:num>
  <w:num w:numId="31" w16cid:durableId="1492332457">
    <w:abstractNumId w:val="37"/>
  </w:num>
  <w:num w:numId="32" w16cid:durableId="278492777">
    <w:abstractNumId w:val="37"/>
    <w:lvlOverride w:ilvl="0">
      <w:startOverride w:val="1"/>
    </w:lvlOverride>
  </w:num>
  <w:num w:numId="33" w16cid:durableId="236285302">
    <w:abstractNumId w:val="20"/>
  </w:num>
  <w:num w:numId="34" w16cid:durableId="1078291199">
    <w:abstractNumId w:val="19"/>
  </w:num>
  <w:num w:numId="35" w16cid:durableId="1403872009">
    <w:abstractNumId w:val="9"/>
  </w:num>
  <w:num w:numId="36" w16cid:durableId="134877003">
    <w:abstractNumId w:val="11"/>
  </w:num>
  <w:num w:numId="37" w16cid:durableId="709648382">
    <w:abstractNumId w:val="52"/>
  </w:num>
  <w:num w:numId="38" w16cid:durableId="954869836">
    <w:abstractNumId w:val="35"/>
  </w:num>
  <w:num w:numId="39" w16cid:durableId="191387986">
    <w:abstractNumId w:val="0"/>
  </w:num>
  <w:num w:numId="40" w16cid:durableId="779761178">
    <w:abstractNumId w:val="44"/>
  </w:num>
  <w:num w:numId="41" w16cid:durableId="1412964481">
    <w:abstractNumId w:val="33"/>
  </w:num>
  <w:num w:numId="42" w16cid:durableId="214317889">
    <w:abstractNumId w:val="25"/>
  </w:num>
  <w:num w:numId="43" w16cid:durableId="461385807">
    <w:abstractNumId w:val="29"/>
  </w:num>
  <w:num w:numId="44" w16cid:durableId="273634089">
    <w:abstractNumId w:val="5"/>
  </w:num>
  <w:num w:numId="45" w16cid:durableId="245041815">
    <w:abstractNumId w:val="18"/>
  </w:num>
  <w:num w:numId="46" w16cid:durableId="255485254">
    <w:abstractNumId w:val="6"/>
  </w:num>
  <w:num w:numId="47" w16cid:durableId="1087847334">
    <w:abstractNumId w:val="30"/>
  </w:num>
  <w:num w:numId="48" w16cid:durableId="553809604">
    <w:abstractNumId w:val="4"/>
  </w:num>
  <w:num w:numId="49" w16cid:durableId="560290934">
    <w:abstractNumId w:val="39"/>
  </w:num>
  <w:num w:numId="50" w16cid:durableId="1569226015">
    <w:abstractNumId w:val="54"/>
  </w:num>
  <w:num w:numId="51" w16cid:durableId="2044210055">
    <w:abstractNumId w:val="42"/>
  </w:num>
  <w:num w:numId="52" w16cid:durableId="1452363442">
    <w:abstractNumId w:val="2"/>
  </w:num>
  <w:num w:numId="53" w16cid:durableId="326442248">
    <w:abstractNumId w:val="53"/>
  </w:num>
  <w:num w:numId="54" w16cid:durableId="1824850767">
    <w:abstractNumId w:val="45"/>
  </w:num>
  <w:num w:numId="55" w16cid:durableId="1848909737">
    <w:abstractNumId w:val="17"/>
  </w:num>
  <w:num w:numId="56" w16cid:durableId="1146046470">
    <w:abstractNumId w:val="28"/>
  </w:num>
  <w:num w:numId="57" w16cid:durableId="1264605496">
    <w:abstractNumId w:val="31"/>
  </w:num>
  <w:num w:numId="58" w16cid:durableId="1065951257">
    <w:abstractNumId w:val="49"/>
  </w:num>
  <w:num w:numId="59" w16cid:durableId="1850680591">
    <w:abstractNumId w:val="41"/>
  </w:num>
  <w:num w:numId="60" w16cid:durableId="1440027706">
    <w:abstractNumId w:val="55"/>
  </w:num>
  <w:num w:numId="61" w16cid:durableId="4648123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31C8"/>
    <w:rsid w:val="00033627"/>
    <w:rsid w:val="0009637C"/>
    <w:rsid w:val="000F4232"/>
    <w:rsid w:val="00136899"/>
    <w:rsid w:val="001E60D7"/>
    <w:rsid w:val="00204B22"/>
    <w:rsid w:val="00377E68"/>
    <w:rsid w:val="003F41FB"/>
    <w:rsid w:val="00446FB0"/>
    <w:rsid w:val="00502315"/>
    <w:rsid w:val="00511E7D"/>
    <w:rsid w:val="00594495"/>
    <w:rsid w:val="005D548F"/>
    <w:rsid w:val="00853683"/>
    <w:rsid w:val="008778B7"/>
    <w:rsid w:val="00906620"/>
    <w:rsid w:val="00921636"/>
    <w:rsid w:val="00977B96"/>
    <w:rsid w:val="009A0A8F"/>
    <w:rsid w:val="009D44AF"/>
    <w:rsid w:val="009E5A4D"/>
    <w:rsid w:val="00A272A4"/>
    <w:rsid w:val="00A8525E"/>
    <w:rsid w:val="00AE716C"/>
    <w:rsid w:val="00B031C8"/>
    <w:rsid w:val="00B736CA"/>
    <w:rsid w:val="00B92865"/>
    <w:rsid w:val="00BA4581"/>
    <w:rsid w:val="00D8313A"/>
    <w:rsid w:val="00DA2CE5"/>
    <w:rsid w:val="00E65523"/>
    <w:rsid w:val="00EC07CD"/>
    <w:rsid w:val="00F77DC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10365"/>
  <w15:docId w15:val="{3725C90B-3037-8C47-9A7B-A6445E867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6FB0"/>
    <w:pPr>
      <w:spacing w:after="0" w:line="240" w:lineRule="auto"/>
    </w:pPr>
    <w:rPr>
      <w:rFonts w:ascii="Times New Roman" w:eastAsia="Times New Roman" w:hAnsi="Times New Roman" w:cs="Times New Roman"/>
      <w:sz w:val="24"/>
      <w:szCs w:val="24"/>
      <w:lang w:val="en-GB" w:eastAsia="en-GB"/>
    </w:rPr>
  </w:style>
  <w:style w:type="paragraph" w:styleId="Heading1">
    <w:name w:val="heading 1"/>
    <w:basedOn w:val="ListParagraph"/>
    <w:next w:val="Normal"/>
    <w:link w:val="Heading1Char"/>
    <w:uiPriority w:val="9"/>
    <w:qFormat/>
    <w:rsid w:val="00502315"/>
    <w:pPr>
      <w:numPr>
        <w:numId w:val="31"/>
      </w:numPr>
      <w:spacing w:after="210" w:line="360" w:lineRule="auto"/>
      <w:outlineLvl w:val="0"/>
    </w:pPr>
    <w:rPr>
      <w:rFonts w:ascii="Helvetica" w:hAnsi="Helvetica" w:cs="Arial"/>
      <w:b/>
      <w:bCs/>
      <w:sz w:val="20"/>
      <w:szCs w:val="20"/>
    </w:rPr>
  </w:style>
  <w:style w:type="paragraph" w:styleId="Heading2">
    <w:name w:val="heading 2"/>
    <w:basedOn w:val="Normal"/>
    <w:next w:val="Normal"/>
    <w:link w:val="Heading2Char"/>
    <w:uiPriority w:val="9"/>
    <w:semiHidden/>
    <w:unhideWhenUsed/>
    <w:qFormat/>
    <w:rsid w:val="009A0A8F"/>
    <w:pPr>
      <w:keepNext/>
      <w:keepLines/>
      <w:spacing w:before="4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9A0A8F"/>
    <w:pPr>
      <w:keepNext/>
      <w:keepLines/>
      <w:spacing w:before="4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link w:val="Heading4Char"/>
    <w:uiPriority w:val="9"/>
    <w:semiHidden/>
    <w:unhideWhenUsed/>
    <w:qFormat/>
    <w:rsid w:val="00BA4581"/>
    <w:pPr>
      <w:keepNext/>
      <w:keepLines/>
      <w:spacing w:before="4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paragraph" w:styleId="Title">
    <w:name w:val="Title"/>
    <w:basedOn w:val="Normal"/>
    <w:next w:val="Normal"/>
    <w:link w:val="TitleChar"/>
    <w:uiPriority w:val="10"/>
    <w:qFormat/>
    <w:rsid w:val="00502315"/>
    <w:pPr>
      <w:spacing w:after="210" w:line="360" w:lineRule="auto"/>
    </w:pPr>
    <w:rPr>
      <w:rFonts w:ascii="Helvetica" w:hAnsi="Helvetica" w:cs="Arial"/>
      <w:b/>
      <w:bCs/>
      <w:sz w:val="20"/>
      <w:szCs w:val="20"/>
    </w:rPr>
  </w:style>
  <w:style w:type="character" w:customStyle="1" w:styleId="TitleChar">
    <w:name w:val="Title Char"/>
    <w:basedOn w:val="DefaultParagraphFont"/>
    <w:link w:val="Title"/>
    <w:uiPriority w:val="10"/>
    <w:rsid w:val="00502315"/>
    <w:rPr>
      <w:rFonts w:ascii="Helvetica" w:hAnsi="Helvetica" w:cs="Arial"/>
      <w:b/>
      <w:bCs/>
      <w:sz w:val="20"/>
      <w:szCs w:val="20"/>
    </w:rPr>
  </w:style>
  <w:style w:type="character" w:styleId="Hyperlink">
    <w:name w:val="Hyperlink"/>
    <w:basedOn w:val="DefaultParagraphFont"/>
    <w:uiPriority w:val="99"/>
    <w:unhideWhenUsed/>
    <w:rsid w:val="00502315"/>
    <w:rPr>
      <w:color w:val="467886" w:themeColor="hyperlink"/>
      <w:u w:val="single"/>
    </w:rPr>
  </w:style>
  <w:style w:type="character" w:styleId="UnresolvedMention">
    <w:name w:val="Unresolved Mention"/>
    <w:basedOn w:val="DefaultParagraphFont"/>
    <w:uiPriority w:val="99"/>
    <w:semiHidden/>
    <w:unhideWhenUsed/>
    <w:rsid w:val="00502315"/>
    <w:rPr>
      <w:color w:val="605E5C"/>
      <w:shd w:val="clear" w:color="auto" w:fill="E1DFDD"/>
    </w:rPr>
  </w:style>
  <w:style w:type="paragraph" w:styleId="ListParagraph">
    <w:name w:val="List Paragraph"/>
    <w:basedOn w:val="Normal"/>
    <w:uiPriority w:val="34"/>
    <w:qFormat/>
    <w:rsid w:val="00502315"/>
    <w:pPr>
      <w:ind w:left="720"/>
      <w:contextualSpacing/>
    </w:pPr>
  </w:style>
  <w:style w:type="character" w:customStyle="1" w:styleId="Heading1Char">
    <w:name w:val="Heading 1 Char"/>
    <w:basedOn w:val="DefaultParagraphFont"/>
    <w:link w:val="Heading1"/>
    <w:uiPriority w:val="9"/>
    <w:rsid w:val="00502315"/>
    <w:rPr>
      <w:rFonts w:ascii="Helvetica" w:hAnsi="Helvetica" w:cs="Arial"/>
      <w:b/>
      <w:bCs/>
      <w:sz w:val="20"/>
      <w:szCs w:val="20"/>
      <w:lang w:val="en-GB"/>
    </w:rPr>
  </w:style>
  <w:style w:type="character" w:customStyle="1" w:styleId="Heading2Char">
    <w:name w:val="Heading 2 Char"/>
    <w:basedOn w:val="DefaultParagraphFont"/>
    <w:link w:val="Heading2"/>
    <w:uiPriority w:val="9"/>
    <w:semiHidden/>
    <w:rsid w:val="009A0A8F"/>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semiHidden/>
    <w:rsid w:val="009A0A8F"/>
    <w:rPr>
      <w:rFonts w:asciiTheme="majorHAnsi" w:eastAsiaTheme="majorEastAsia" w:hAnsiTheme="majorHAnsi" w:cstheme="majorBidi"/>
      <w:color w:val="0A2F40" w:themeColor="accent1" w:themeShade="7F"/>
      <w:sz w:val="24"/>
      <w:szCs w:val="24"/>
    </w:rPr>
  </w:style>
  <w:style w:type="character" w:styleId="FollowedHyperlink">
    <w:name w:val="FollowedHyperlink"/>
    <w:basedOn w:val="DefaultParagraphFont"/>
    <w:uiPriority w:val="99"/>
    <w:semiHidden/>
    <w:unhideWhenUsed/>
    <w:rsid w:val="009A0A8F"/>
    <w:rPr>
      <w:color w:val="96607D" w:themeColor="followedHyperlink"/>
      <w:u w:val="single"/>
    </w:rPr>
  </w:style>
  <w:style w:type="character" w:customStyle="1" w:styleId="Heading4Char">
    <w:name w:val="Heading 4 Char"/>
    <w:basedOn w:val="DefaultParagraphFont"/>
    <w:link w:val="Heading4"/>
    <w:uiPriority w:val="9"/>
    <w:semiHidden/>
    <w:rsid w:val="00BA4581"/>
    <w:rPr>
      <w:rFonts w:asciiTheme="majorHAnsi" w:eastAsiaTheme="majorEastAsia" w:hAnsiTheme="majorHAnsi" w:cstheme="majorBidi"/>
      <w:i/>
      <w:iCs/>
      <w:color w:val="0F4761" w:themeColor="accent1" w:themeShade="BF"/>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openai.com/api/pricing/?utm_source=chatgpt.com" TargetMode="External"/><Relationship Id="rId3" Type="http://schemas.openxmlformats.org/officeDocument/2006/relationships/settings" Target="settings.xml"/><Relationship Id="rId7" Type="http://schemas.openxmlformats.org/officeDocument/2006/relationships/hyperlink" Target="https://arxiv.org/abs/2510.1336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latform.openai.com/docs/models/o4-mini?utm_source=chatgpt.com" TargetMode="External"/><Relationship Id="rId5" Type="http://schemas.openxmlformats.org/officeDocument/2006/relationships/hyperlink" Target="https://ar5iv.org/pdf/2509.20241"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103</TotalTime>
  <Pages>30</Pages>
  <Words>11018</Words>
  <Characters>62807</Characters>
  <Application>Microsoft Office Word</Application>
  <DocSecurity>0</DocSecurity>
  <Lines>523</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Rishbha Godara</cp:lastModifiedBy>
  <cp:revision>15</cp:revision>
  <dcterms:created xsi:type="dcterms:W3CDTF">2025-12-12T02:13:00Z</dcterms:created>
  <dcterms:modified xsi:type="dcterms:W3CDTF">2025-12-14T05:37:00Z</dcterms:modified>
</cp:coreProperties>
</file>