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22980BB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400" w:type="dxa"/>
              <w:left w:w="300" w:type="dxa"/>
              <w:bottom w:w="400" w:type="dxa"/>
              <w:right w:w="300" w:type="dxa"/>
            </w:tcMar>
          </w:tcPr>
          <w:p w14:paraId="6B5AEDA8" w14:textId="77777777" w:rsidR="00CE2D3E" w:rsidRDefault="00000000">
            <w:pPr>
              <w:spacing w:after="80"/>
              <w:jc w:val="center"/>
            </w:pPr>
            <w:r>
              <w:rPr>
                <w:b/>
                <w:bCs/>
                <w:color w:val="00B4A6"/>
                <w:sz w:val="24"/>
                <w:szCs w:val="24"/>
              </w:rPr>
              <w:t>🧠 FINANCE BRAIN</w:t>
            </w:r>
          </w:p>
          <w:p w14:paraId="1A5C2EEF" w14:textId="77777777" w:rsidR="00CE2D3E" w:rsidRDefault="00000000">
            <w:pPr>
              <w:spacing w:after="80"/>
              <w:jc w:val="center"/>
            </w:pPr>
            <w:r>
              <w:rPr>
                <w:b/>
                <w:bCs/>
                <w:color w:val="FFFFFF"/>
                <w:sz w:val="40"/>
                <w:szCs w:val="40"/>
              </w:rPr>
              <w:t>Finance Intelligence Platform</w:t>
            </w:r>
          </w:p>
          <w:p w14:paraId="5D8145B0" w14:textId="77777777" w:rsidR="00CE2D3E" w:rsidRDefault="00000000">
            <w:pPr>
              <w:spacing w:after="120"/>
              <w:jc w:val="center"/>
            </w:pPr>
            <w:r>
              <w:rPr>
                <w:i/>
                <w:iCs/>
                <w:color w:val="AACCDD"/>
                <w:sz w:val="24"/>
                <w:szCs w:val="24"/>
              </w:rPr>
              <w:t>Full Function Requirements — 2 Use Cases</w:t>
            </w:r>
          </w:p>
          <w:p w14:paraId="435B59FD" w14:textId="77777777" w:rsidR="00CE2D3E" w:rsidRDefault="00000000">
            <w:pPr>
              <w:jc w:val="center"/>
            </w:pPr>
            <w:r>
              <w:rPr>
                <w:color w:val="99AACC"/>
                <w:sz w:val="20"/>
                <w:szCs w:val="20"/>
              </w:rPr>
              <w:t>Tookitaki · Confidential · 2026</w:t>
            </w:r>
          </w:p>
        </w:tc>
      </w:tr>
    </w:tbl>
    <w:p w14:paraId="3E0625ED" w14:textId="77777777" w:rsidR="00CE2D3E" w:rsidRDefault="00CE2D3E">
      <w:pPr>
        <w:spacing w:before="2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7"/>
        <w:gridCol w:w="4293"/>
      </w:tblGrid>
      <w:tr w:rsidR="00CE2D3E" w14:paraId="5471B7F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22222"/>
            <w:tcMar>
              <w:top w:w="160" w:type="dxa"/>
              <w:left w:w="180" w:type="dxa"/>
              <w:bottom w:w="160" w:type="dxa"/>
              <w:right w:w="180" w:type="dxa"/>
            </w:tcMar>
          </w:tcPr>
          <w:p w14:paraId="0CE9C2A7" w14:textId="77777777" w:rsidR="00CE2D3E" w:rsidRDefault="00000000">
            <w:pPr>
              <w:spacing w:after="60"/>
            </w:pPr>
            <w:r>
              <w:rPr>
                <w:b/>
                <w:bCs/>
                <w:color w:val="FFFFFF"/>
              </w:rPr>
              <w:t>🔴  P0 — Build First (1 function)</w:t>
            </w:r>
          </w:p>
          <w:p w14:paraId="7EDD3411" w14:textId="77777777" w:rsidR="00CE2D3E" w:rsidRDefault="00000000">
            <w:r>
              <w:rPr>
                <w:color w:val="FFCCCC"/>
                <w:sz w:val="20"/>
                <w:szCs w:val="20"/>
              </w:rPr>
              <w:t>Automated Financial Reporting from Xero GL</w:t>
            </w:r>
          </w:p>
        </w:tc>
        <w:tc>
          <w:tcPr>
            <w:tcW w:w="0" w:type="auto"/>
            <w:tcBorders>
              <w:top w:val="none" w:sz="0" w:space="0" w:color="FFFFFF"/>
              <w:left w:val="none" w:sz="0" w:space="0" w:color="FFFFFF"/>
              <w:bottom w:val="none" w:sz="0" w:space="0" w:color="FFFFFF"/>
              <w:right w:val="none" w:sz="0" w:space="0" w:color="FFFFFF"/>
            </w:tcBorders>
            <w:shd w:val="clear" w:color="auto" w:fill="FFE066"/>
            <w:tcMar>
              <w:top w:w="160" w:type="dxa"/>
              <w:left w:w="180" w:type="dxa"/>
              <w:bottom w:w="160" w:type="dxa"/>
              <w:right w:w="180" w:type="dxa"/>
            </w:tcMar>
          </w:tcPr>
          <w:p w14:paraId="0723613F" w14:textId="77777777" w:rsidR="00CE2D3E" w:rsidRDefault="00000000">
            <w:pPr>
              <w:spacing w:after="60"/>
            </w:pPr>
            <w:r>
              <w:rPr>
                <w:b/>
                <w:bCs/>
                <w:color w:val="1A1A1A"/>
              </w:rPr>
              <w:t>🟡  P1 — Build Next (1 function)</w:t>
            </w:r>
          </w:p>
          <w:p w14:paraId="7356651B" w14:textId="77777777" w:rsidR="00CE2D3E" w:rsidRDefault="00000000">
            <w:proofErr w:type="spellStart"/>
            <w:r>
              <w:rPr>
                <w:color w:val="554400"/>
                <w:sz w:val="20"/>
                <w:szCs w:val="20"/>
              </w:rPr>
              <w:t>NexusBrain</w:t>
            </w:r>
            <w:proofErr w:type="spellEnd"/>
            <w:r>
              <w:rPr>
                <w:color w:val="554400"/>
                <w:sz w:val="20"/>
                <w:szCs w:val="20"/>
              </w:rPr>
              <w:t xml:space="preserve"> Causal Intelligence Layer</w:t>
            </w:r>
          </w:p>
        </w:tc>
      </w:tr>
    </w:tbl>
    <w:p w14:paraId="29AC566E" w14:textId="77777777" w:rsidR="00CE2D3E" w:rsidRDefault="00CE2D3E">
      <w:pPr>
        <w:spacing w:before="3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6890471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00" w:type="dxa"/>
              <w:left w:w="180" w:type="dxa"/>
              <w:bottom w:w="100" w:type="dxa"/>
              <w:right w:w="180" w:type="dxa"/>
            </w:tcMar>
          </w:tcPr>
          <w:p w14:paraId="537C748E" w14:textId="77777777" w:rsidR="00CE2D3E" w:rsidRDefault="00000000">
            <w:r>
              <w:rPr>
                <w:b/>
                <w:bCs/>
                <w:color w:val="FFFFFF"/>
                <w:sz w:val="20"/>
                <w:szCs w:val="20"/>
              </w:rPr>
              <w:t>── P0 FUNCTION · MUST BUILD FIRST ──</w:t>
            </w:r>
          </w:p>
        </w:tc>
      </w:tr>
    </w:tbl>
    <w:p w14:paraId="0203756E" w14:textId="77777777" w:rsidR="00CE2D3E" w:rsidRDefault="00CE2D3E">
      <w:pPr>
        <w:spacing w:before="160"/>
      </w:pPr>
    </w:p>
    <w:tbl>
      <w:tblPr>
        <w:tblW w:w="9360" w:type="dxa"/>
        <w:tblBorders>
          <w:top w:val="single" w:sz="8" w:space="0" w:color="00B4A6"/>
          <w:left w:val="single" w:sz="8" w:space="0" w:color="00B4A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373A7F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180" w:type="dxa"/>
              <w:left w:w="220" w:type="dxa"/>
              <w:bottom w:w="180" w:type="dxa"/>
              <w:right w:w="220" w:type="dxa"/>
            </w:tcMar>
          </w:tcPr>
          <w:p w14:paraId="59BCA20D" w14:textId="77777777" w:rsidR="00CE2D3E" w:rsidRDefault="00000000">
            <w:pPr>
              <w:spacing w:after="60"/>
            </w:pPr>
            <w:r>
              <w:rPr>
                <w:b/>
                <w:bCs/>
                <w:color w:val="B22222"/>
                <w:sz w:val="20"/>
                <w:szCs w:val="20"/>
              </w:rPr>
              <w:t>🔴  P0 · Function 01</w:t>
            </w:r>
          </w:p>
          <w:p w14:paraId="34A1A331" w14:textId="77777777" w:rsidR="00CE2D3E" w:rsidRDefault="00000000">
            <w:pPr>
              <w:spacing w:after="60"/>
            </w:pPr>
            <w:r>
              <w:rPr>
                <w:b/>
                <w:bCs/>
                <w:color w:val="1B2B6B"/>
                <w:sz w:val="28"/>
                <w:szCs w:val="28"/>
              </w:rPr>
              <w:t>"Generate Our Books From Xero — Automatically"</w:t>
            </w:r>
          </w:p>
          <w:p w14:paraId="37FE70CF" w14:textId="77777777" w:rsidR="00CE2D3E" w:rsidRDefault="00000000">
            <w:r>
              <w:rPr>
                <w:i/>
                <w:iCs/>
                <w:color w:val="555555"/>
              </w:rPr>
              <w:t>Automated Financial Reporting from Xero GL Data</w:t>
            </w:r>
          </w:p>
        </w:tc>
      </w:tr>
    </w:tbl>
    <w:p w14:paraId="5A2CDFB8" w14:textId="77777777" w:rsidR="00CE2D3E" w:rsidRDefault="00CE2D3E">
      <w:pPr>
        <w:spacing w:before="140"/>
      </w:pPr>
    </w:p>
    <w:p w14:paraId="068F8CE9" w14:textId="77777777" w:rsidR="00CE2D3E" w:rsidRDefault="00000000">
      <w:pPr>
        <w:spacing w:after="80"/>
      </w:pPr>
      <w:r>
        <w:rPr>
          <w:b/>
          <w:bCs/>
          <w:color w:val="1B2B6B"/>
        </w:rPr>
        <w:t>What It Watches</w:t>
      </w:r>
    </w:p>
    <w:p w14:paraId="4C1D6BCF" w14:textId="77777777" w:rsidR="00CE2D3E" w:rsidRDefault="00000000">
      <w:r>
        <w:t>Every accounting period, the system ingests the full General Ledger export from Xero — all journal entries, transaction lines, account codes, and tax classifications for FY2025 — and processes it end-to-end without manual intervention.</w:t>
      </w:r>
    </w:p>
    <w:p w14:paraId="1FBDC1A3" w14:textId="77777777" w:rsidR="00CE2D3E" w:rsidRDefault="00CE2D3E">
      <w:pPr>
        <w:spacing w:before="100"/>
      </w:pPr>
    </w:p>
    <w:p w14:paraId="4DBA5119" w14:textId="77777777" w:rsidR="00CE2D3E" w:rsidRDefault="00000000">
      <w:pPr>
        <w:spacing w:after="80"/>
      </w:pPr>
      <w:r>
        <w:rPr>
          <w:b/>
          <w:bCs/>
          <w:color w:val="1B2B6B"/>
        </w:rPr>
        <w:t>What It Generates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559CCF0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8FB"/>
            <w:tcMar>
              <w:top w:w="140" w:type="dxa"/>
              <w:left w:w="200" w:type="dxa"/>
              <w:bottom w:w="140" w:type="dxa"/>
              <w:right w:w="200" w:type="dxa"/>
            </w:tcMar>
          </w:tcPr>
          <w:p w14:paraId="7FC5FF79" w14:textId="77777777" w:rsidR="00CE2D3E" w:rsidRDefault="00000000">
            <w:pPr>
              <w:spacing w:after="80"/>
            </w:pPr>
            <w:r>
              <w:rPr>
                <w:b/>
                <w:bCs/>
                <w:color w:val="1B2B6B"/>
                <w:sz w:val="21"/>
                <w:szCs w:val="21"/>
              </w:rPr>
              <w:t>Five Core Financial Outputs</w:t>
            </w:r>
          </w:p>
          <w:p w14:paraId="69E6CB87" w14:textId="77777777" w:rsidR="00CE2D3E" w:rsidRDefault="00000000">
            <w:pPr>
              <w:spacing w:after="60"/>
            </w:pPr>
            <w:r>
              <w:rPr>
                <w:b/>
                <w:bCs/>
                <w:color w:val="00B4A6"/>
                <w:sz w:val="21"/>
                <w:szCs w:val="21"/>
              </w:rPr>
              <w:t xml:space="preserve">→  </w:t>
            </w:r>
            <w:r>
              <w:rPr>
                <w:color w:val="1A1A1A"/>
                <w:sz w:val="21"/>
                <w:szCs w:val="21"/>
              </w:rPr>
              <w:t>Trial Balance: debit/credit balances for every GL account as at period-end — reconciled automatically</w:t>
            </w:r>
          </w:p>
          <w:p w14:paraId="561ADC93" w14:textId="77777777" w:rsidR="00CE2D3E" w:rsidRDefault="00000000">
            <w:pPr>
              <w:spacing w:after="60"/>
            </w:pPr>
            <w:r>
              <w:rPr>
                <w:b/>
                <w:bCs/>
                <w:color w:val="00B4A6"/>
                <w:sz w:val="21"/>
                <w:szCs w:val="21"/>
              </w:rPr>
              <w:t xml:space="preserve">→  </w:t>
            </w:r>
            <w:r>
              <w:rPr>
                <w:color w:val="1A1A1A"/>
                <w:sz w:val="21"/>
                <w:szCs w:val="21"/>
              </w:rPr>
              <w:t>Profit &amp; Loss (P&amp;L): revenue, cost of sales, operating expenses, EBITDA, and net profit — with prior-period comparison</w:t>
            </w:r>
          </w:p>
          <w:p w14:paraId="5F8CC7C5" w14:textId="77777777" w:rsidR="00CE2D3E" w:rsidRDefault="00000000">
            <w:pPr>
              <w:spacing w:after="60"/>
            </w:pPr>
            <w:r>
              <w:rPr>
                <w:b/>
                <w:bCs/>
                <w:color w:val="00B4A6"/>
                <w:sz w:val="21"/>
                <w:szCs w:val="21"/>
              </w:rPr>
              <w:t xml:space="preserve">→  </w:t>
            </w:r>
            <w:r>
              <w:rPr>
                <w:color w:val="1A1A1A"/>
                <w:sz w:val="21"/>
                <w:szCs w:val="21"/>
              </w:rPr>
              <w:t>Balance Sheet: assets, liabilities, and equity as at 31 December 2025 — structured to accounting standards</w:t>
            </w:r>
          </w:p>
          <w:p w14:paraId="36D8BEA3" w14:textId="77777777" w:rsidR="00CE2D3E" w:rsidRDefault="00000000">
            <w:pPr>
              <w:spacing w:after="60"/>
            </w:pPr>
            <w:r>
              <w:rPr>
                <w:b/>
                <w:bCs/>
                <w:color w:val="00B4A6"/>
                <w:sz w:val="21"/>
                <w:szCs w:val="21"/>
              </w:rPr>
              <w:t xml:space="preserve">→  </w:t>
            </w:r>
            <w:r>
              <w:rPr>
                <w:color w:val="1A1A1A"/>
                <w:sz w:val="21"/>
                <w:szCs w:val="21"/>
              </w:rPr>
              <w:t>GST Computation: input tax, output tax, net GST payable, and supporting schedule per IRAS requirements</w:t>
            </w:r>
          </w:p>
          <w:p w14:paraId="34164689" w14:textId="77777777" w:rsidR="00CE2D3E" w:rsidRDefault="00000000">
            <w:pPr>
              <w:spacing w:after="60"/>
            </w:pPr>
            <w:r>
              <w:rPr>
                <w:b/>
                <w:bCs/>
                <w:color w:val="00B4A6"/>
                <w:sz w:val="21"/>
                <w:szCs w:val="21"/>
              </w:rPr>
              <w:t xml:space="preserve">→  </w:t>
            </w:r>
            <w:r>
              <w:rPr>
                <w:color w:val="1A1A1A"/>
                <w:sz w:val="21"/>
                <w:szCs w:val="21"/>
              </w:rPr>
              <w:t>Transaction Interpretations: plain-English explanations of every significant or unusual transaction — written for non-accountants</w:t>
            </w:r>
          </w:p>
        </w:tc>
      </w:tr>
    </w:tbl>
    <w:p w14:paraId="7BBE6660" w14:textId="77777777" w:rsidR="00CE2D3E" w:rsidRDefault="00CE2D3E">
      <w:pPr>
        <w:spacing w:before="120"/>
      </w:pPr>
    </w:p>
    <w:p w14:paraId="526A6B3B" w14:textId="77777777" w:rsidR="00CE2D3E" w:rsidRDefault="00000000">
      <w:pPr>
        <w:spacing w:after="80"/>
      </w:pPr>
      <w:r>
        <w:rPr>
          <w:b/>
          <w:bCs/>
          <w:color w:val="1B2B6B"/>
        </w:rPr>
        <w:t>What It Calculates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3"/>
        <w:gridCol w:w="7837"/>
      </w:tblGrid>
      <w:tr w:rsidR="00CE2D3E" w14:paraId="2B1B0B1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57A0A819" w14:textId="77777777" w:rsidR="00CE2D3E" w:rsidRDefault="00000000">
            <w:r>
              <w:rPr>
                <w:b/>
                <w:bCs/>
                <w:color w:val="FFFFFF"/>
                <w:sz w:val="20"/>
                <w:szCs w:val="20"/>
              </w:rPr>
              <w:t>TRIAL BALANCE</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495DB5FA" w14:textId="77777777" w:rsidR="00CE2D3E" w:rsidRDefault="00000000">
            <w:r>
              <w:rPr>
                <w:color w:val="1A1A1A"/>
                <w:sz w:val="20"/>
                <w:szCs w:val="20"/>
              </w:rPr>
              <w:t>Aggregates all debit and credit movements by account code across the full FY2025 period. Validates that debits equal credits at every level — journal, account, and total.</w:t>
            </w:r>
          </w:p>
        </w:tc>
      </w:tr>
      <w:tr w:rsidR="00CE2D3E" w14:paraId="2B900A0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47845D72" w14:textId="77777777" w:rsidR="00CE2D3E" w:rsidRDefault="00000000">
            <w:r>
              <w:rPr>
                <w:b/>
                <w:bCs/>
                <w:color w:val="FFFFFF"/>
                <w:sz w:val="20"/>
                <w:szCs w:val="20"/>
              </w:rPr>
              <w:lastRenderedPageBreak/>
              <w:t>P&amp;L</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3C01C930" w14:textId="77777777" w:rsidR="00CE2D3E" w:rsidRDefault="00000000">
            <w:r>
              <w:rPr>
                <w:color w:val="1A1A1A"/>
                <w:sz w:val="20"/>
                <w:szCs w:val="20"/>
              </w:rPr>
              <w:t xml:space="preserve">Maps GL accounts to P&amp;L line items using </w:t>
            </w:r>
            <w:proofErr w:type="spellStart"/>
            <w:r>
              <w:rPr>
                <w:color w:val="1A1A1A"/>
                <w:sz w:val="20"/>
                <w:szCs w:val="20"/>
              </w:rPr>
              <w:t>Tookitaki's</w:t>
            </w:r>
            <w:proofErr w:type="spellEnd"/>
            <w:r>
              <w:rPr>
                <w:color w:val="1A1A1A"/>
                <w:sz w:val="20"/>
                <w:szCs w:val="20"/>
              </w:rPr>
              <w:t xml:space="preserve"> chart of accounts structure. Applies accrual adjustments, prepayment amortisation, and deferred revenue recognition.</w:t>
            </w:r>
          </w:p>
        </w:tc>
      </w:tr>
      <w:tr w:rsidR="00CE2D3E" w14:paraId="697C042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4FDEB033" w14:textId="77777777" w:rsidR="00CE2D3E" w:rsidRDefault="00000000">
            <w:r>
              <w:rPr>
                <w:b/>
                <w:bCs/>
                <w:color w:val="FFFFFF"/>
                <w:sz w:val="20"/>
                <w:szCs w:val="20"/>
              </w:rPr>
              <w:t>BALANCE SHEET</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2D1A6AB2" w14:textId="77777777" w:rsidR="00CE2D3E" w:rsidRDefault="00000000">
            <w:r>
              <w:rPr>
                <w:color w:val="1A1A1A"/>
                <w:sz w:val="20"/>
                <w:szCs w:val="20"/>
              </w:rPr>
              <w:t>Derives asset, liability, and equity positions from closing GL balances. Cross-validates retained earnings movement against the P&amp;L net profit figure.</w:t>
            </w:r>
          </w:p>
        </w:tc>
      </w:tr>
      <w:tr w:rsidR="00CE2D3E" w14:paraId="1B47025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55B85609" w14:textId="77777777" w:rsidR="00CE2D3E" w:rsidRDefault="00000000">
            <w:r>
              <w:rPr>
                <w:b/>
                <w:bCs/>
                <w:color w:val="FFFFFF"/>
                <w:sz w:val="20"/>
                <w:szCs w:val="20"/>
              </w:rPr>
              <w:t>GST</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1BC97981" w14:textId="77777777" w:rsidR="00CE2D3E" w:rsidRDefault="00000000">
            <w:r>
              <w:rPr>
                <w:color w:val="1A1A1A"/>
                <w:sz w:val="20"/>
                <w:szCs w:val="20"/>
              </w:rPr>
              <w:t>Classifies each transaction as standard-rated, zero-rated, or exempt per Singapore IRAS rules. Calculates output tax collected and input tax claimable. Produces the GST F5 schedule.</w:t>
            </w:r>
          </w:p>
        </w:tc>
      </w:tr>
      <w:tr w:rsidR="00CE2D3E" w14:paraId="142A23E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0E325B9E" w14:textId="77777777" w:rsidR="00CE2D3E" w:rsidRDefault="00000000">
            <w:r>
              <w:rPr>
                <w:b/>
                <w:bCs/>
                <w:color w:val="FFFFFF"/>
                <w:sz w:val="20"/>
                <w:szCs w:val="20"/>
              </w:rPr>
              <w:t>MODEL</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3CF167DB" w14:textId="77777777" w:rsidR="00CE2D3E" w:rsidRDefault="00000000">
            <w:r>
              <w:rPr>
                <w:color w:val="1A1A1A"/>
                <w:sz w:val="20"/>
                <w:szCs w:val="20"/>
              </w:rPr>
              <w:t>Claude agent with structured accounting logic · Benchmarked against Account team actuals before deployment</w:t>
            </w:r>
          </w:p>
        </w:tc>
      </w:tr>
    </w:tbl>
    <w:p w14:paraId="2FAF8173" w14:textId="77777777" w:rsidR="00CE2D3E" w:rsidRDefault="00CE2D3E">
      <w:pPr>
        <w:spacing w:before="120"/>
      </w:pPr>
    </w:p>
    <w:p w14:paraId="7B05E547" w14:textId="77777777" w:rsidR="00CE2D3E" w:rsidRDefault="00000000">
      <w:pPr>
        <w:spacing w:after="80"/>
      </w:pPr>
      <w:r>
        <w:rPr>
          <w:b/>
          <w:bCs/>
          <w:color w:val="1B2B6B"/>
        </w:rPr>
        <w:t>When It Fires an Alert</w:t>
      </w:r>
    </w:p>
    <w:p w14:paraId="2C39C018" w14:textId="77777777" w:rsidR="00CE2D3E" w:rsidRDefault="00000000">
      <w:r>
        <w:t>Alert fires when: a GL account balance moves more than 20% versus the prior period with no corresponding journal explanation — or when a transaction is uncategorised and cannot be auto-mapped to a P&amp;L or Balance Sheet line item.</w:t>
      </w:r>
    </w:p>
    <w:p w14:paraId="3E8B1064" w14:textId="77777777" w:rsidR="00CE2D3E" w:rsidRDefault="00CE2D3E">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712A469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40" w:type="dxa"/>
              <w:left w:w="200" w:type="dxa"/>
              <w:bottom w:w="140" w:type="dxa"/>
              <w:right w:w="200" w:type="dxa"/>
            </w:tcMar>
          </w:tcPr>
          <w:p w14:paraId="7800A497" w14:textId="77777777" w:rsidR="00CE2D3E" w:rsidRDefault="00000000">
            <w:pPr>
              <w:spacing w:after="80"/>
            </w:pPr>
            <w:r>
              <w:rPr>
                <w:b/>
                <w:bCs/>
                <w:color w:val="FFFFFF"/>
                <w:sz w:val="21"/>
                <w:szCs w:val="21"/>
              </w:rPr>
              <w:t>Output Package</w:t>
            </w:r>
          </w:p>
          <w:p w14:paraId="4BB73402" w14:textId="77777777" w:rsidR="00CE2D3E" w:rsidRDefault="00000000">
            <w:pPr>
              <w:spacing w:after="60"/>
            </w:pPr>
            <w:r>
              <w:rPr>
                <w:b/>
                <w:bCs/>
                <w:color w:val="00B4A6"/>
                <w:sz w:val="21"/>
                <w:szCs w:val="21"/>
              </w:rPr>
              <w:t xml:space="preserve">→  </w:t>
            </w:r>
            <w:r>
              <w:rPr>
                <w:color w:val="FFFFFF"/>
                <w:sz w:val="21"/>
                <w:szCs w:val="21"/>
              </w:rPr>
              <w:t>Trial Balance in Excel — every account, opening balance, period movement, closing balance</w:t>
            </w:r>
          </w:p>
          <w:p w14:paraId="4E531402" w14:textId="77777777" w:rsidR="00CE2D3E" w:rsidRDefault="00000000">
            <w:pPr>
              <w:spacing w:after="60"/>
            </w:pPr>
            <w:r>
              <w:rPr>
                <w:b/>
                <w:bCs/>
                <w:color w:val="00B4A6"/>
                <w:sz w:val="21"/>
                <w:szCs w:val="21"/>
              </w:rPr>
              <w:t xml:space="preserve">→  </w:t>
            </w:r>
            <w:r>
              <w:rPr>
                <w:color w:val="FFFFFF"/>
                <w:sz w:val="21"/>
                <w:szCs w:val="21"/>
              </w:rPr>
              <w:t>P&amp;L in Excel — current period vs. prior period, with variance column and auto-commentary</w:t>
            </w:r>
          </w:p>
          <w:p w14:paraId="64335E0D" w14:textId="77777777" w:rsidR="00CE2D3E" w:rsidRDefault="00000000">
            <w:pPr>
              <w:spacing w:after="60"/>
            </w:pPr>
            <w:r>
              <w:rPr>
                <w:b/>
                <w:bCs/>
                <w:color w:val="00B4A6"/>
                <w:sz w:val="21"/>
                <w:szCs w:val="21"/>
              </w:rPr>
              <w:t xml:space="preserve">→  </w:t>
            </w:r>
            <w:r>
              <w:rPr>
                <w:color w:val="FFFFFF"/>
                <w:sz w:val="21"/>
                <w:szCs w:val="21"/>
              </w:rPr>
              <w:t>Balance Sheet in Excel — formatted to Singapore FRS standards</w:t>
            </w:r>
          </w:p>
          <w:p w14:paraId="21AC03F2" w14:textId="77777777" w:rsidR="00CE2D3E" w:rsidRDefault="00000000">
            <w:pPr>
              <w:spacing w:after="60"/>
            </w:pPr>
            <w:r>
              <w:rPr>
                <w:b/>
                <w:bCs/>
                <w:color w:val="00B4A6"/>
                <w:sz w:val="21"/>
                <w:szCs w:val="21"/>
              </w:rPr>
              <w:t xml:space="preserve">→  </w:t>
            </w:r>
            <w:r>
              <w:rPr>
                <w:color w:val="FFFFFF"/>
                <w:sz w:val="21"/>
                <w:szCs w:val="21"/>
              </w:rPr>
              <w:t>GST schedule — IRAS F5 structure, ready for filing review</w:t>
            </w:r>
          </w:p>
          <w:p w14:paraId="5F2031FB" w14:textId="77777777" w:rsidR="00CE2D3E" w:rsidRDefault="00000000">
            <w:pPr>
              <w:spacing w:after="60"/>
            </w:pPr>
            <w:r>
              <w:rPr>
                <w:b/>
                <w:bCs/>
                <w:color w:val="00B4A6"/>
                <w:sz w:val="21"/>
                <w:szCs w:val="21"/>
              </w:rPr>
              <w:t xml:space="preserve">→  </w:t>
            </w:r>
            <w:r>
              <w:rPr>
                <w:color w:val="FFFFFF"/>
                <w:sz w:val="21"/>
                <w:szCs w:val="21"/>
              </w:rPr>
              <w:t>Transaction Interpretation Report — top 30 items by value with plain-English narrative</w:t>
            </w:r>
          </w:p>
        </w:tc>
      </w:tr>
    </w:tbl>
    <w:p w14:paraId="7DE22773" w14:textId="77777777" w:rsidR="00CE2D3E" w:rsidRDefault="00CE2D3E">
      <w:pPr>
        <w:spacing w:before="120"/>
      </w:pPr>
    </w:p>
    <w:p w14:paraId="681073DD" w14:textId="77777777" w:rsidR="00CE2D3E" w:rsidRDefault="00000000">
      <w:pPr>
        <w:spacing w:after="80"/>
      </w:pPr>
      <w:r>
        <w:rPr>
          <w:b/>
          <w:bCs/>
          <w:color w:val="1B2B6B"/>
        </w:rPr>
        <w:t>Who Gets Notified &amp; When</w:t>
      </w:r>
    </w:p>
    <w:p w14:paraId="5A39E6AF" w14:textId="77777777" w:rsidR="00CE2D3E" w:rsidRDefault="00000000">
      <w:r>
        <w:t>Isabel (CFO) receives the full output package within 2 hours of triggering the Xero GL export. The Account team receives a benchmark comparison report showing AI output versus their manual preparation — line by line — for validation in the first run.</w:t>
      </w:r>
    </w:p>
    <w:p w14:paraId="7A53BC02" w14:textId="77777777" w:rsidR="00CE2D3E" w:rsidRDefault="00CE2D3E">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9354"/>
      </w:tblGrid>
      <w:tr w:rsidR="00CE2D3E" w14:paraId="1620ADF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4A6"/>
            <w:tcMar>
              <w:top w:w="0" w:type="dxa"/>
              <w:left w:w="0" w:type="dxa"/>
              <w:bottom w:w="0" w:type="dxa"/>
              <w:right w:w="0" w:type="dxa"/>
            </w:tcMar>
          </w:tcPr>
          <w:p w14:paraId="7960A344" w14:textId="77777777" w:rsidR="00CE2D3E" w:rsidRDefault="00CE2D3E"/>
        </w:tc>
        <w:tc>
          <w:tcPr>
            <w:tcW w:w="0" w:type="auto"/>
            <w:tcBorders>
              <w:top w:val="none" w:sz="0" w:space="0" w:color="FFFFFF"/>
              <w:left w:val="none" w:sz="0" w:space="0" w:color="FFFFFF"/>
              <w:bottom w:val="none" w:sz="0" w:space="0" w:color="FFFFFF"/>
              <w:right w:val="none" w:sz="0" w:space="0" w:color="FFFFFF"/>
            </w:tcBorders>
            <w:shd w:val="clear" w:color="auto" w:fill="EBF5FB"/>
            <w:tcMar>
              <w:top w:w="140" w:type="dxa"/>
              <w:left w:w="180" w:type="dxa"/>
              <w:bottom w:w="140" w:type="dxa"/>
              <w:right w:w="180" w:type="dxa"/>
            </w:tcMar>
          </w:tcPr>
          <w:p w14:paraId="0B64625D" w14:textId="77777777" w:rsidR="00CE2D3E" w:rsidRDefault="00000000">
            <w:pPr>
              <w:spacing w:after="60"/>
            </w:pPr>
            <w:r>
              <w:rPr>
                <w:b/>
                <w:bCs/>
                <w:color w:val="00B4A6"/>
                <w:sz w:val="18"/>
                <w:szCs w:val="18"/>
              </w:rPr>
              <w:t>TOOKITAKI CONTEXT</w:t>
            </w:r>
          </w:p>
          <w:p w14:paraId="251E4A9A" w14:textId="77777777" w:rsidR="00CE2D3E" w:rsidRDefault="00000000">
            <w:r>
              <w:rPr>
                <w:color w:val="1A1A1A"/>
                <w:sz w:val="20"/>
                <w:szCs w:val="20"/>
              </w:rPr>
              <w:t>Tookitaki operates with zero margin for error in FY26. Isabel's team currently produces these statements manually — a process that takes days and is vulnerable to human error under time pressure. This function does in 2 hours what takes 2 days, and produces a benchmark that tells us exactly where AI accounting is reliable and where it needs human review. The GST computation alone — with its IRAS classification rules — is high-value: one misclassification is a compliance risk with the regulator that recognises us as a technology pioneer.</w:t>
            </w:r>
          </w:p>
        </w:tc>
      </w:tr>
    </w:tbl>
    <w:p w14:paraId="7EBFBE04" w14:textId="77777777" w:rsidR="00CE2D3E"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4660071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00" w:type="dxa"/>
              <w:left w:w="180" w:type="dxa"/>
              <w:bottom w:w="100" w:type="dxa"/>
              <w:right w:w="180" w:type="dxa"/>
            </w:tcMar>
          </w:tcPr>
          <w:p w14:paraId="1CE98A01" w14:textId="77777777" w:rsidR="00CE2D3E" w:rsidRDefault="00000000">
            <w:r>
              <w:rPr>
                <w:b/>
                <w:bCs/>
                <w:color w:val="FFFFFF"/>
                <w:sz w:val="20"/>
                <w:szCs w:val="20"/>
              </w:rPr>
              <w:lastRenderedPageBreak/>
              <w:t>── P1 FUNCTION · CAUSAL INTELLIGENCE ──</w:t>
            </w:r>
          </w:p>
        </w:tc>
      </w:tr>
    </w:tbl>
    <w:p w14:paraId="6CFC6560" w14:textId="77777777" w:rsidR="00CE2D3E" w:rsidRDefault="00CE2D3E">
      <w:pPr>
        <w:spacing w:before="160"/>
      </w:pPr>
    </w:p>
    <w:tbl>
      <w:tblPr>
        <w:tblW w:w="9360" w:type="dxa"/>
        <w:tblBorders>
          <w:top w:val="single" w:sz="8" w:space="0" w:color="00B4A6"/>
          <w:left w:val="single" w:sz="8" w:space="0" w:color="00B4A6"/>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1E7D9CE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BF5FB"/>
            <w:tcMar>
              <w:top w:w="180" w:type="dxa"/>
              <w:left w:w="220" w:type="dxa"/>
              <w:bottom w:w="180" w:type="dxa"/>
              <w:right w:w="220" w:type="dxa"/>
            </w:tcMar>
          </w:tcPr>
          <w:p w14:paraId="29CA0F49" w14:textId="77777777" w:rsidR="00CE2D3E" w:rsidRDefault="00000000">
            <w:pPr>
              <w:spacing w:after="60"/>
            </w:pPr>
            <w:r>
              <w:rPr>
                <w:b/>
                <w:bCs/>
                <w:color w:val="997700"/>
                <w:sz w:val="20"/>
                <w:szCs w:val="20"/>
              </w:rPr>
              <w:t>🟡  P1 · Function 02</w:t>
            </w:r>
          </w:p>
          <w:p w14:paraId="47B91D4A" w14:textId="77777777" w:rsidR="00CE2D3E" w:rsidRDefault="00000000">
            <w:pPr>
              <w:spacing w:after="60"/>
            </w:pPr>
            <w:r>
              <w:rPr>
                <w:b/>
                <w:bCs/>
                <w:color w:val="1B2B6B"/>
                <w:sz w:val="28"/>
                <w:szCs w:val="28"/>
              </w:rPr>
              <w:t>"Spot What a Pure AI Agent Misses"</w:t>
            </w:r>
          </w:p>
          <w:p w14:paraId="23A57B72" w14:textId="77777777" w:rsidR="00CE2D3E" w:rsidRDefault="00000000">
            <w:proofErr w:type="spellStart"/>
            <w:r>
              <w:rPr>
                <w:i/>
                <w:iCs/>
                <w:color w:val="555555"/>
              </w:rPr>
              <w:t>NexusBrain</w:t>
            </w:r>
            <w:proofErr w:type="spellEnd"/>
            <w:r>
              <w:rPr>
                <w:i/>
                <w:iCs/>
                <w:color w:val="555555"/>
              </w:rPr>
              <w:t xml:space="preserve"> Causal Intelligence Layer</w:t>
            </w:r>
          </w:p>
        </w:tc>
      </w:tr>
    </w:tbl>
    <w:p w14:paraId="53F9379D" w14:textId="77777777" w:rsidR="00CE2D3E" w:rsidRDefault="00CE2D3E">
      <w:pPr>
        <w:spacing w:before="140"/>
      </w:pPr>
    </w:p>
    <w:p w14:paraId="1AD758E1" w14:textId="77777777" w:rsidR="00CE2D3E" w:rsidRDefault="00000000">
      <w:pPr>
        <w:spacing w:after="80"/>
      </w:pPr>
      <w:r>
        <w:rPr>
          <w:b/>
          <w:bCs/>
          <w:color w:val="1B2B6B"/>
        </w:rPr>
        <w:t>What It Does</w:t>
      </w:r>
    </w:p>
    <w:p w14:paraId="52797738" w14:textId="77777777" w:rsidR="00CE2D3E" w:rsidRDefault="00000000">
      <w:proofErr w:type="spellStart"/>
      <w:r>
        <w:t>NexusBrain's</w:t>
      </w:r>
      <w:proofErr w:type="spellEnd"/>
      <w:r>
        <w:t xml:space="preserve"> causal layer sits above the GL data and the standard AI agent. It builds a causal graph of </w:t>
      </w:r>
      <w:proofErr w:type="spellStart"/>
      <w:r>
        <w:t>Tookitaki's</w:t>
      </w:r>
      <w:proofErr w:type="spellEnd"/>
      <w:r>
        <w:t xml:space="preserve"> financial relationships — contracts to revenue, purchase orders to vendor payments, payroll cycles to </w:t>
      </w:r>
      <w:proofErr w:type="spellStart"/>
      <w:r>
        <w:t>OpEx</w:t>
      </w:r>
      <w:proofErr w:type="spellEnd"/>
      <w:r>
        <w:t xml:space="preserve"> — and flags any transaction that breaks the expected causal chain, even when the accounting entries themselves are technically correct.</w:t>
      </w:r>
    </w:p>
    <w:p w14:paraId="18DF8420" w14:textId="77777777" w:rsidR="00CE2D3E" w:rsidRDefault="00CE2D3E">
      <w:pPr>
        <w:spacing w:before="100"/>
      </w:pPr>
    </w:p>
    <w:p w14:paraId="51DC7EDD" w14:textId="77777777" w:rsidR="00CE2D3E" w:rsidRDefault="00000000">
      <w:pPr>
        <w:spacing w:after="80"/>
      </w:pPr>
      <w:r>
        <w:rPr>
          <w:b/>
          <w:bCs/>
          <w:color w:val="1B2B6B"/>
        </w:rPr>
        <w:t>What It Watches</w:t>
      </w:r>
    </w:p>
    <w:p w14:paraId="12FBC9D1" w14:textId="77777777" w:rsidR="00CE2D3E" w:rsidRDefault="00000000">
      <w:r>
        <w:t>Every GL transaction processed in Function 01 — but viewed through the lens of causality, not just accounting correctness. The causal layer asks: does this transaction make sense given what preceded it in the business process?</w:t>
      </w:r>
    </w:p>
    <w:p w14:paraId="607A0F1F" w14:textId="77777777" w:rsidR="00CE2D3E" w:rsidRDefault="00CE2D3E">
      <w:pPr>
        <w:spacing w:before="100"/>
      </w:pPr>
    </w:p>
    <w:p w14:paraId="45A2FAF1" w14:textId="77777777" w:rsidR="00CE2D3E" w:rsidRDefault="00000000">
      <w:pPr>
        <w:spacing w:after="80"/>
      </w:pPr>
      <w:r>
        <w:rPr>
          <w:b/>
          <w:bCs/>
          <w:color w:val="1B2B6B"/>
        </w:rPr>
        <w:t>What It Calculates</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293DC4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4F8FB"/>
            <w:tcMar>
              <w:top w:w="140" w:type="dxa"/>
              <w:left w:w="200" w:type="dxa"/>
              <w:bottom w:w="140" w:type="dxa"/>
              <w:right w:w="200" w:type="dxa"/>
            </w:tcMar>
          </w:tcPr>
          <w:p w14:paraId="1881D1DC" w14:textId="77777777" w:rsidR="00CE2D3E" w:rsidRDefault="00000000">
            <w:pPr>
              <w:spacing w:after="80"/>
            </w:pPr>
            <w:r>
              <w:rPr>
                <w:b/>
                <w:bCs/>
                <w:color w:val="1B2B6B"/>
                <w:sz w:val="21"/>
                <w:szCs w:val="21"/>
              </w:rPr>
              <w:t>Causal Graph Metrics — Per Transaction</w:t>
            </w:r>
          </w:p>
          <w:p w14:paraId="475CA463" w14:textId="77777777" w:rsidR="00CE2D3E" w:rsidRDefault="00000000">
            <w:pPr>
              <w:spacing w:after="60"/>
            </w:pPr>
            <w:r>
              <w:rPr>
                <w:b/>
                <w:bCs/>
                <w:color w:val="00B4A6"/>
                <w:sz w:val="21"/>
                <w:szCs w:val="21"/>
              </w:rPr>
              <w:t xml:space="preserve">→  </w:t>
            </w:r>
            <w:r>
              <w:rPr>
                <w:color w:val="1A1A1A"/>
                <w:sz w:val="21"/>
                <w:szCs w:val="21"/>
              </w:rPr>
              <w:t>Causal predecessors: what business events should have preceded this transaction (e.g. signed contract → invoice raised → payment received)</w:t>
            </w:r>
          </w:p>
          <w:p w14:paraId="481B3E09" w14:textId="77777777" w:rsidR="00CE2D3E" w:rsidRDefault="00000000">
            <w:pPr>
              <w:spacing w:after="60"/>
            </w:pPr>
            <w:r>
              <w:rPr>
                <w:b/>
                <w:bCs/>
                <w:color w:val="00B4A6"/>
                <w:sz w:val="21"/>
                <w:szCs w:val="21"/>
              </w:rPr>
              <w:t xml:space="preserve">→  </w:t>
            </w:r>
            <w:r>
              <w:rPr>
                <w:color w:val="1A1A1A"/>
                <w:sz w:val="21"/>
                <w:szCs w:val="21"/>
              </w:rPr>
              <w:t>Chain completeness score: 0–100, where 100 = full causal chain intact, 0 = payment with no upstream event</w:t>
            </w:r>
          </w:p>
          <w:p w14:paraId="5827B177" w14:textId="77777777" w:rsidR="00CE2D3E" w:rsidRDefault="00000000">
            <w:pPr>
              <w:spacing w:after="60"/>
            </w:pPr>
            <w:r>
              <w:rPr>
                <w:b/>
                <w:bCs/>
                <w:color w:val="00B4A6"/>
                <w:sz w:val="21"/>
                <w:szCs w:val="21"/>
              </w:rPr>
              <w:t xml:space="preserve">→  </w:t>
            </w:r>
            <w:r>
              <w:rPr>
                <w:color w:val="1A1A1A"/>
                <w:sz w:val="21"/>
                <w:szCs w:val="21"/>
              </w:rPr>
              <w:t>Anomaly delta: how far this transaction deviates from the established causal pattern for its account code</w:t>
            </w:r>
          </w:p>
          <w:p w14:paraId="05D0060A" w14:textId="77777777" w:rsidR="00CE2D3E" w:rsidRDefault="00000000">
            <w:pPr>
              <w:spacing w:after="60"/>
            </w:pPr>
            <w:r>
              <w:rPr>
                <w:b/>
                <w:bCs/>
                <w:color w:val="00B4A6"/>
                <w:sz w:val="21"/>
                <w:szCs w:val="21"/>
              </w:rPr>
              <w:t xml:space="preserve">→  </w:t>
            </w:r>
            <w:r>
              <w:rPr>
                <w:color w:val="1A1A1A"/>
                <w:sz w:val="21"/>
                <w:szCs w:val="21"/>
              </w:rPr>
              <w:t>Peer comparison: how similar transactions in the same GL account behaved across the same period</w:t>
            </w:r>
          </w:p>
          <w:p w14:paraId="18845F03" w14:textId="77777777" w:rsidR="00CE2D3E" w:rsidRDefault="00000000">
            <w:pPr>
              <w:spacing w:after="60"/>
            </w:pPr>
            <w:r>
              <w:rPr>
                <w:b/>
                <w:bCs/>
                <w:color w:val="00B4A6"/>
                <w:sz w:val="21"/>
                <w:szCs w:val="21"/>
              </w:rPr>
              <w:t xml:space="preserve">→  </w:t>
            </w:r>
            <w:r>
              <w:rPr>
                <w:color w:val="1A1A1A"/>
                <w:sz w:val="21"/>
                <w:szCs w:val="21"/>
              </w:rPr>
              <w:t>Causal Anomaly Score (CAS): 0–100 composite — flags transactions requiring human review</w:t>
            </w:r>
          </w:p>
        </w:tc>
      </w:tr>
    </w:tbl>
    <w:p w14:paraId="41A6E2EB" w14:textId="77777777" w:rsidR="00CE2D3E" w:rsidRDefault="00CE2D3E">
      <w:pPr>
        <w:spacing w:before="120"/>
      </w:pPr>
    </w:p>
    <w:p w14:paraId="3A5C3B78" w14:textId="77777777" w:rsidR="00CE2D3E" w:rsidRDefault="00000000">
      <w:pPr>
        <w:spacing w:after="80"/>
      </w:pPr>
      <w:r>
        <w:rPr>
          <w:b/>
          <w:bCs/>
          <w:color w:val="1B2B6B"/>
        </w:rPr>
        <w:t>Anomaly Definition — High Risk Conditions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9"/>
        <w:gridCol w:w="7891"/>
      </w:tblGrid>
      <w:tr w:rsidR="00CE2D3E" w14:paraId="6CEE3FA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7F624C39" w14:textId="77777777" w:rsidR="00CE2D3E" w:rsidRDefault="00000000">
            <w:r>
              <w:rPr>
                <w:b/>
                <w:bCs/>
                <w:color w:val="FFFFFF"/>
                <w:sz w:val="20"/>
                <w:szCs w:val="20"/>
              </w:rPr>
              <w:t>CONDITION A</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79131A8B" w14:textId="77777777" w:rsidR="00CE2D3E" w:rsidRDefault="00000000">
            <w:r>
              <w:rPr>
                <w:color w:val="1A1A1A"/>
                <w:sz w:val="20"/>
                <w:szCs w:val="20"/>
              </w:rPr>
              <w:t>Vendor payment posted with no corresponding purchase order or approved vendor in Xero — payment without a procurement root cause</w:t>
            </w:r>
          </w:p>
        </w:tc>
      </w:tr>
      <w:tr w:rsidR="00CE2D3E" w14:paraId="7FDD4BC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0B0CDEEF" w14:textId="77777777" w:rsidR="00CE2D3E" w:rsidRDefault="00000000">
            <w:r>
              <w:rPr>
                <w:b/>
                <w:bCs/>
                <w:color w:val="FFFFFF"/>
                <w:sz w:val="20"/>
                <w:szCs w:val="20"/>
              </w:rPr>
              <w:t>CONDITION B</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07D134A5" w14:textId="77777777" w:rsidR="00CE2D3E" w:rsidRDefault="00000000">
            <w:r>
              <w:rPr>
                <w:color w:val="1A1A1A"/>
                <w:sz w:val="20"/>
                <w:szCs w:val="20"/>
              </w:rPr>
              <w:t>Revenue recognised in a period where no corresponding delivery confirmation or contract milestone exists in the business record</w:t>
            </w:r>
          </w:p>
        </w:tc>
      </w:tr>
      <w:tr w:rsidR="00CE2D3E" w14:paraId="64F3CB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67B1B13E" w14:textId="77777777" w:rsidR="00CE2D3E" w:rsidRDefault="00000000">
            <w:r>
              <w:rPr>
                <w:b/>
                <w:bCs/>
                <w:color w:val="FFFFFF"/>
                <w:sz w:val="20"/>
                <w:szCs w:val="20"/>
              </w:rPr>
              <w:t>CONDITION C</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26E9732A" w14:textId="77777777" w:rsidR="00CE2D3E" w:rsidRDefault="00000000">
            <w:r>
              <w:rPr>
                <w:color w:val="1A1A1A"/>
                <w:sz w:val="20"/>
                <w:szCs w:val="20"/>
              </w:rPr>
              <w:t>Intercompany charge between Tookitaki and Thunes deviates from the established pattern of prior periods without a documented group policy change</w:t>
            </w:r>
          </w:p>
        </w:tc>
      </w:tr>
      <w:tr w:rsidR="00CE2D3E" w14:paraId="02BA777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77CD2544" w14:textId="77777777" w:rsidR="00CE2D3E" w:rsidRDefault="00000000">
            <w:r>
              <w:rPr>
                <w:b/>
                <w:bCs/>
                <w:color w:val="FFFFFF"/>
                <w:sz w:val="20"/>
                <w:szCs w:val="20"/>
              </w:rPr>
              <w:t>CONDITION D</w:t>
            </w:r>
          </w:p>
        </w:tc>
        <w:tc>
          <w:tcPr>
            <w:tcW w:w="0" w:type="auto"/>
            <w:tcBorders>
              <w:top w:val="none" w:sz="0" w:space="0" w:color="FFFFFF"/>
              <w:left w:val="none" w:sz="0" w:space="0" w:color="FFFFFF"/>
              <w:bottom w:val="none" w:sz="0" w:space="0" w:color="FFFFFF"/>
              <w:right w:val="none" w:sz="0" w:space="0" w:color="FFFFFF"/>
            </w:tcBorders>
            <w:shd w:val="clear" w:color="auto" w:fill="E8EFF5"/>
            <w:tcMar>
              <w:top w:w="120" w:type="dxa"/>
              <w:left w:w="140" w:type="dxa"/>
              <w:bottom w:w="120" w:type="dxa"/>
              <w:right w:w="140" w:type="dxa"/>
            </w:tcMar>
          </w:tcPr>
          <w:p w14:paraId="141B9F49" w14:textId="77777777" w:rsidR="00CE2D3E" w:rsidRDefault="00000000">
            <w:r>
              <w:rPr>
                <w:color w:val="1A1A1A"/>
                <w:sz w:val="20"/>
                <w:szCs w:val="20"/>
              </w:rPr>
              <w:t>GST input tax claimed on a transaction where the supplier category has no prior history of GST-eligible purchases</w:t>
            </w:r>
          </w:p>
        </w:tc>
      </w:tr>
      <w:tr w:rsidR="00CE2D3E" w14:paraId="320A7A3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20" w:type="dxa"/>
              <w:left w:w="120" w:type="dxa"/>
              <w:bottom w:w="120" w:type="dxa"/>
              <w:right w:w="120" w:type="dxa"/>
            </w:tcMar>
          </w:tcPr>
          <w:p w14:paraId="468679DB" w14:textId="77777777" w:rsidR="00CE2D3E" w:rsidRDefault="00000000">
            <w:r>
              <w:rPr>
                <w:b/>
                <w:bCs/>
                <w:color w:val="FFFFFF"/>
                <w:sz w:val="20"/>
                <w:szCs w:val="20"/>
              </w:rPr>
              <w:t>MODEL</w:t>
            </w:r>
          </w:p>
        </w:tc>
        <w:tc>
          <w:tcPr>
            <w:tcW w:w="0" w:type="auto"/>
            <w:tcBorders>
              <w:top w:val="none" w:sz="0" w:space="0" w:color="FFFFFF"/>
              <w:left w:val="none" w:sz="0" w:space="0" w:color="FFFFFF"/>
              <w:bottom w:val="none" w:sz="0" w:space="0" w:color="FFFFFF"/>
              <w:right w:val="none" w:sz="0" w:space="0" w:color="FFFFFF"/>
            </w:tcBorders>
            <w:shd w:val="clear" w:color="auto" w:fill="F0F4F8"/>
            <w:tcMar>
              <w:top w:w="120" w:type="dxa"/>
              <w:left w:w="140" w:type="dxa"/>
              <w:bottom w:w="120" w:type="dxa"/>
              <w:right w:w="140" w:type="dxa"/>
            </w:tcMar>
          </w:tcPr>
          <w:p w14:paraId="2FFDAE0A" w14:textId="77777777" w:rsidR="00CE2D3E" w:rsidRDefault="00000000">
            <w:proofErr w:type="spellStart"/>
            <w:r>
              <w:rPr>
                <w:color w:val="1A1A1A"/>
                <w:sz w:val="20"/>
                <w:szCs w:val="20"/>
              </w:rPr>
              <w:t>NexusBrain</w:t>
            </w:r>
            <w:proofErr w:type="spellEnd"/>
            <w:r>
              <w:rPr>
                <w:color w:val="1A1A1A"/>
                <w:sz w:val="20"/>
                <w:szCs w:val="20"/>
              </w:rPr>
              <w:t xml:space="preserve"> causal graph seeded with FY2025 GL data · Anomaly scores </w:t>
            </w:r>
            <w:proofErr w:type="spellStart"/>
            <w:r>
              <w:rPr>
                <w:color w:val="1A1A1A"/>
                <w:sz w:val="20"/>
                <w:szCs w:val="20"/>
              </w:rPr>
              <w:t>backtested</w:t>
            </w:r>
            <w:proofErr w:type="spellEnd"/>
            <w:r>
              <w:rPr>
                <w:color w:val="1A1A1A"/>
                <w:sz w:val="20"/>
                <w:szCs w:val="20"/>
              </w:rPr>
              <w:t xml:space="preserve"> against Account team review flags</w:t>
            </w:r>
          </w:p>
        </w:tc>
      </w:tr>
    </w:tbl>
    <w:p w14:paraId="56FE8B5B" w14:textId="77777777" w:rsidR="00CE2D3E" w:rsidRDefault="00CE2D3E">
      <w:pPr>
        <w:spacing w:before="120"/>
      </w:pPr>
    </w:p>
    <w:p w14:paraId="7E350EED" w14:textId="77777777" w:rsidR="00CE2D3E" w:rsidRDefault="00000000">
      <w:pPr>
        <w:spacing w:after="80"/>
      </w:pPr>
      <w:r>
        <w:rPr>
          <w:b/>
          <w:bCs/>
          <w:color w:val="1B2B6B"/>
        </w:rPr>
        <w:t>What the Alert Tells You</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509263B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40" w:type="dxa"/>
              <w:left w:w="200" w:type="dxa"/>
              <w:bottom w:w="140" w:type="dxa"/>
              <w:right w:w="200" w:type="dxa"/>
            </w:tcMar>
          </w:tcPr>
          <w:p w14:paraId="548A9760" w14:textId="77777777" w:rsidR="00CE2D3E" w:rsidRDefault="00000000">
            <w:pPr>
              <w:spacing w:after="80"/>
            </w:pPr>
            <w:r>
              <w:rPr>
                <w:b/>
                <w:bCs/>
                <w:color w:val="FFFFFF"/>
                <w:sz w:val="21"/>
                <w:szCs w:val="21"/>
              </w:rPr>
              <w:t>Causal Anomaly Alert Payload</w:t>
            </w:r>
          </w:p>
          <w:p w14:paraId="63DE32B0" w14:textId="77777777" w:rsidR="00CE2D3E" w:rsidRDefault="00000000">
            <w:pPr>
              <w:spacing w:after="60"/>
            </w:pPr>
            <w:r>
              <w:rPr>
                <w:b/>
                <w:bCs/>
                <w:color w:val="00B4A6"/>
                <w:sz w:val="21"/>
                <w:szCs w:val="21"/>
              </w:rPr>
              <w:t xml:space="preserve">→  </w:t>
            </w:r>
            <w:r>
              <w:rPr>
                <w:color w:val="FFFFFF"/>
                <w:sz w:val="21"/>
                <w:szCs w:val="21"/>
              </w:rPr>
              <w:t>Transaction ID, date, amount, GL account — the specific entry flagged</w:t>
            </w:r>
          </w:p>
          <w:p w14:paraId="5E4B6A98" w14:textId="77777777" w:rsidR="00CE2D3E" w:rsidRDefault="00000000">
            <w:pPr>
              <w:spacing w:after="60"/>
            </w:pPr>
            <w:r>
              <w:rPr>
                <w:b/>
                <w:bCs/>
                <w:color w:val="00B4A6"/>
                <w:sz w:val="21"/>
                <w:szCs w:val="21"/>
              </w:rPr>
              <w:t xml:space="preserve">→  </w:t>
            </w:r>
            <w:r>
              <w:rPr>
                <w:color w:val="FFFFFF"/>
                <w:sz w:val="21"/>
                <w:szCs w:val="21"/>
              </w:rPr>
              <w:t>Expected causal chain: what should have preceded this transaction but did not</w:t>
            </w:r>
          </w:p>
          <w:p w14:paraId="0E452F33" w14:textId="77777777" w:rsidR="00CE2D3E" w:rsidRDefault="00000000">
            <w:pPr>
              <w:spacing w:after="60"/>
            </w:pPr>
            <w:r>
              <w:rPr>
                <w:b/>
                <w:bCs/>
                <w:color w:val="00B4A6"/>
                <w:sz w:val="21"/>
                <w:szCs w:val="21"/>
              </w:rPr>
              <w:t xml:space="preserve">→  </w:t>
            </w:r>
            <w:r>
              <w:rPr>
                <w:color w:val="FFFFFF"/>
                <w:sz w:val="21"/>
                <w:szCs w:val="21"/>
              </w:rPr>
              <w:t>CAS score and what drove it: which missing causal predecessor triggered the flag</w:t>
            </w:r>
          </w:p>
          <w:p w14:paraId="0F30732C" w14:textId="77777777" w:rsidR="00CE2D3E" w:rsidRDefault="00000000">
            <w:pPr>
              <w:spacing w:after="60"/>
            </w:pPr>
            <w:r>
              <w:rPr>
                <w:b/>
                <w:bCs/>
                <w:color w:val="00B4A6"/>
                <w:sz w:val="21"/>
                <w:szCs w:val="21"/>
              </w:rPr>
              <w:t xml:space="preserve">→  </w:t>
            </w:r>
            <w:r>
              <w:rPr>
                <w:color w:val="FFFFFF"/>
                <w:sz w:val="21"/>
                <w:szCs w:val="21"/>
              </w:rPr>
              <w:t>Peer comparison: how similar transactions behaved — showing this is the outlier, not the norm</w:t>
            </w:r>
          </w:p>
          <w:p w14:paraId="50BF28F0" w14:textId="77777777" w:rsidR="00CE2D3E" w:rsidRDefault="00000000">
            <w:pPr>
              <w:spacing w:after="60"/>
            </w:pPr>
            <w:r>
              <w:rPr>
                <w:b/>
                <w:bCs/>
                <w:color w:val="00B4A6"/>
                <w:sz w:val="21"/>
                <w:szCs w:val="21"/>
              </w:rPr>
              <w:t xml:space="preserve">→  </w:t>
            </w:r>
            <w:r>
              <w:rPr>
                <w:color w:val="FFFFFF"/>
                <w:sz w:val="21"/>
                <w:szCs w:val="21"/>
              </w:rPr>
              <w:t>Recommended action: 'Request supporting PO from procurement' or 'Verify revenue recognition basis with Isabel'</w:t>
            </w:r>
          </w:p>
        </w:tc>
      </w:tr>
    </w:tbl>
    <w:p w14:paraId="1B0940B9" w14:textId="77777777" w:rsidR="00CE2D3E" w:rsidRDefault="00CE2D3E">
      <w:pPr>
        <w:spacing w:before="120"/>
      </w:pPr>
    </w:p>
    <w:p w14:paraId="4D04C4BC" w14:textId="77777777" w:rsidR="00CE2D3E" w:rsidRDefault="00000000">
      <w:pPr>
        <w:spacing w:after="80"/>
      </w:pPr>
      <w:r>
        <w:rPr>
          <w:b/>
          <w:bCs/>
          <w:color w:val="1B2B6B"/>
        </w:rPr>
        <w:t xml:space="preserve">Head-to-Head: Pure LLM vs. </w:t>
      </w:r>
      <w:proofErr w:type="spellStart"/>
      <w:r>
        <w:rPr>
          <w:b/>
          <w:bCs/>
          <w:color w:val="1B2B6B"/>
        </w:rPr>
        <w:t>NexusBrain</w:t>
      </w:r>
      <w:proofErr w:type="spellEnd"/>
      <w:r>
        <w:rPr>
          <w:b/>
          <w:bCs/>
          <w:color w:val="1B2B6B"/>
        </w:rPr>
        <w:t xml:space="preserve"> Causal Agent</w:t>
      </w: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CE2D3E" w14:paraId="07ADC00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4AFC3DBB" w14:textId="77777777" w:rsidR="00CE2D3E" w:rsidRDefault="00000000">
            <w:r>
              <w:rPr>
                <w:b/>
                <w:bCs/>
                <w:color w:val="FFFFFF"/>
                <w:sz w:val="19"/>
                <w:szCs w:val="19"/>
              </w:rPr>
              <w:t>Capability</w:t>
            </w:r>
          </w:p>
        </w:tc>
        <w:tc>
          <w:tcPr>
            <w:tcW w:w="318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49D91C2E" w14:textId="77777777" w:rsidR="00CE2D3E" w:rsidRDefault="00000000">
            <w:r>
              <w:rPr>
                <w:b/>
                <w:bCs/>
                <w:color w:val="FFFFFF"/>
                <w:sz w:val="19"/>
                <w:szCs w:val="19"/>
              </w:rPr>
              <w:t>Pure LLM Agent</w:t>
            </w:r>
          </w:p>
        </w:tc>
        <w:tc>
          <w:tcPr>
            <w:tcW w:w="318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291AE41C" w14:textId="77777777" w:rsidR="00CE2D3E" w:rsidRDefault="00000000">
            <w:proofErr w:type="spellStart"/>
            <w:r>
              <w:rPr>
                <w:b/>
                <w:bCs/>
                <w:color w:val="FFFFFF"/>
                <w:sz w:val="19"/>
                <w:szCs w:val="19"/>
              </w:rPr>
              <w:t>NexusBrain</w:t>
            </w:r>
            <w:proofErr w:type="spellEnd"/>
            <w:r>
              <w:rPr>
                <w:b/>
                <w:bCs/>
                <w:color w:val="FFFFFF"/>
                <w:sz w:val="19"/>
                <w:szCs w:val="19"/>
              </w:rPr>
              <w:t xml:space="preserve"> Causal Agent</w:t>
            </w:r>
          </w:p>
        </w:tc>
      </w:tr>
      <w:tr w:rsidR="00CE2D3E" w14:paraId="16022BA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2FAC3BFC" w14:textId="77777777" w:rsidR="00CE2D3E" w:rsidRDefault="00000000">
            <w:r>
              <w:rPr>
                <w:color w:val="1A1A1A"/>
                <w:sz w:val="19"/>
                <w:szCs w:val="19"/>
              </w:rPr>
              <w:t>Financial statement generation</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D8606EA" w14:textId="77777777" w:rsidR="00CE2D3E" w:rsidRDefault="00000000">
            <w:r>
              <w:rPr>
                <w:color w:val="1A1A1A"/>
                <w:sz w:val="19"/>
                <w:szCs w:val="19"/>
              </w:rPr>
              <w:t>Yes — full coverage</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9C42D15" w14:textId="77777777" w:rsidR="00CE2D3E" w:rsidRDefault="00000000">
            <w:r>
              <w:rPr>
                <w:color w:val="1A1A1A"/>
                <w:sz w:val="19"/>
                <w:szCs w:val="19"/>
              </w:rPr>
              <w:t>Yes — identical output</w:t>
            </w:r>
          </w:p>
        </w:tc>
      </w:tr>
      <w:tr w:rsidR="00CE2D3E" w14:paraId="192299E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C51D29A" w14:textId="77777777" w:rsidR="00CE2D3E" w:rsidRDefault="00000000">
            <w:r>
              <w:rPr>
                <w:color w:val="1A1A1A"/>
                <w:sz w:val="19"/>
                <w:szCs w:val="19"/>
              </w:rPr>
              <w:t>Transaction categorisation</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1A09407B" w14:textId="77777777" w:rsidR="00CE2D3E" w:rsidRDefault="00000000">
            <w:r>
              <w:rPr>
                <w:color w:val="1A1A1A"/>
                <w:sz w:val="19"/>
                <w:szCs w:val="19"/>
              </w:rPr>
              <w:t>Rule-based pattern matching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FFB5CC3" w14:textId="77777777" w:rsidR="00CE2D3E" w:rsidRDefault="00000000">
            <w:r>
              <w:rPr>
                <w:color w:val="1A1A1A"/>
                <w:sz w:val="19"/>
                <w:szCs w:val="19"/>
              </w:rPr>
              <w:t>Causal chain validation</w:t>
            </w:r>
          </w:p>
        </w:tc>
      </w:tr>
      <w:tr w:rsidR="00CE2D3E" w14:paraId="69471FB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5F761BF0" w14:textId="77777777" w:rsidR="00CE2D3E" w:rsidRDefault="00000000">
            <w:r>
              <w:rPr>
                <w:color w:val="1A1A1A"/>
                <w:sz w:val="19"/>
                <w:szCs w:val="19"/>
              </w:rPr>
              <w:t>Anomaly detection</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511A9FCD" w14:textId="77777777" w:rsidR="00CE2D3E" w:rsidRDefault="00000000">
            <w:r>
              <w:rPr>
                <w:color w:val="1A1A1A"/>
                <w:sz w:val="19"/>
                <w:szCs w:val="19"/>
              </w:rPr>
              <w:t>Statistical outliers only</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05715E9B" w14:textId="77777777" w:rsidR="00CE2D3E" w:rsidRDefault="00000000">
            <w:r>
              <w:rPr>
                <w:color w:val="1A1A1A"/>
                <w:sz w:val="19"/>
                <w:szCs w:val="19"/>
              </w:rPr>
              <w:t>Causal breaks + statistical outliers</w:t>
            </w:r>
          </w:p>
        </w:tc>
      </w:tr>
      <w:tr w:rsidR="00CE2D3E" w14:paraId="7FD7187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897E320" w14:textId="77777777" w:rsidR="00CE2D3E" w:rsidRDefault="00000000">
            <w:r>
              <w:rPr>
                <w:color w:val="1A1A1A"/>
                <w:sz w:val="19"/>
                <w:szCs w:val="19"/>
              </w:rPr>
              <w:t>GST compliance flagging</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25F13F4F" w14:textId="77777777" w:rsidR="00CE2D3E" w:rsidRDefault="00000000">
            <w:r>
              <w:rPr>
                <w:color w:val="1A1A1A"/>
                <w:sz w:val="19"/>
                <w:szCs w:val="19"/>
              </w:rPr>
              <w:t>Rules-based only</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31676C4" w14:textId="77777777" w:rsidR="00CE2D3E" w:rsidRDefault="00000000">
            <w:r>
              <w:rPr>
                <w:color w:val="1A1A1A"/>
                <w:sz w:val="19"/>
                <w:szCs w:val="19"/>
              </w:rPr>
              <w:t>Rules-based + causal risk scoring</w:t>
            </w:r>
          </w:p>
        </w:tc>
      </w:tr>
      <w:tr w:rsidR="00CE2D3E" w14:paraId="644CD17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9D27035" w14:textId="77777777" w:rsidR="00CE2D3E" w:rsidRDefault="00000000">
            <w:r>
              <w:rPr>
                <w:color w:val="1A1A1A"/>
                <w:sz w:val="19"/>
                <w:szCs w:val="19"/>
              </w:rPr>
              <w:t>Vendor payment risk</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9279F83" w14:textId="77777777" w:rsidR="00CE2D3E" w:rsidRDefault="00000000">
            <w:r>
              <w:rPr>
                <w:color w:val="1A1A1A"/>
                <w:sz w:val="19"/>
                <w:szCs w:val="19"/>
              </w:rPr>
              <w:t>Cannot detect</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201F1A9E" w14:textId="77777777" w:rsidR="00CE2D3E" w:rsidRDefault="00000000">
            <w:r>
              <w:rPr>
                <w:color w:val="1A1A1A"/>
                <w:sz w:val="19"/>
                <w:szCs w:val="19"/>
              </w:rPr>
              <w:t>Flags payments without PO root cause</w:t>
            </w:r>
          </w:p>
        </w:tc>
      </w:tr>
      <w:tr w:rsidR="00CE2D3E" w14:paraId="39F49B9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20C0F80" w14:textId="77777777" w:rsidR="00CE2D3E" w:rsidRDefault="00000000">
            <w:r>
              <w:rPr>
                <w:color w:val="1A1A1A"/>
                <w:sz w:val="19"/>
                <w:szCs w:val="19"/>
              </w:rPr>
              <w:t>Revenue recognition risk</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53BBA2D3" w14:textId="77777777" w:rsidR="00CE2D3E" w:rsidRDefault="00000000">
            <w:r>
              <w:rPr>
                <w:color w:val="1A1A1A"/>
                <w:sz w:val="19"/>
                <w:szCs w:val="19"/>
              </w:rPr>
              <w:t>Cannot detect</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062661F" w14:textId="77777777" w:rsidR="00CE2D3E" w:rsidRDefault="00000000">
            <w:r>
              <w:rPr>
                <w:color w:val="1A1A1A"/>
                <w:sz w:val="19"/>
                <w:szCs w:val="19"/>
              </w:rPr>
              <w:t>Flags revenue without delivery event</w:t>
            </w:r>
          </w:p>
        </w:tc>
      </w:tr>
      <w:tr w:rsidR="00CE2D3E" w14:paraId="7543552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800B727" w14:textId="77777777" w:rsidR="00CE2D3E" w:rsidRDefault="00000000">
            <w:r>
              <w:rPr>
                <w:color w:val="1A1A1A"/>
                <w:sz w:val="19"/>
                <w:szCs w:val="19"/>
              </w:rPr>
              <w:t>Institutional financial memory</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4E7F5D2F" w14:textId="77777777" w:rsidR="00CE2D3E" w:rsidRDefault="00000000">
            <w:r>
              <w:rPr>
                <w:color w:val="1A1A1A"/>
                <w:sz w:val="19"/>
                <w:szCs w:val="19"/>
              </w:rPr>
              <w:t>None — stateless</w:t>
            </w:r>
          </w:p>
        </w:tc>
        <w:tc>
          <w:tcPr>
            <w:tcW w:w="318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0726C43F" w14:textId="77777777" w:rsidR="00CE2D3E" w:rsidRDefault="00000000">
            <w:r>
              <w:rPr>
                <w:color w:val="1A1A1A"/>
                <w:sz w:val="19"/>
                <w:szCs w:val="19"/>
              </w:rPr>
              <w:t>Builds causal graph over time</w:t>
            </w:r>
          </w:p>
        </w:tc>
      </w:tr>
      <w:tr w:rsidR="00CE2D3E" w14:paraId="383F1AA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3261F05" w14:textId="77777777" w:rsidR="00CE2D3E" w:rsidRDefault="00000000">
            <w:r>
              <w:rPr>
                <w:color w:val="1A1A1A"/>
                <w:sz w:val="19"/>
                <w:szCs w:val="19"/>
              </w:rPr>
              <w:t>Explainability</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5880CDAB" w14:textId="77777777" w:rsidR="00CE2D3E" w:rsidRDefault="00000000">
            <w:r>
              <w:rPr>
                <w:color w:val="1A1A1A"/>
                <w:sz w:val="19"/>
                <w:szCs w:val="19"/>
              </w:rPr>
              <w:t>Correlational — what happened</w:t>
            </w:r>
          </w:p>
        </w:tc>
        <w:tc>
          <w:tcPr>
            <w:tcW w:w="318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605F0491" w14:textId="77777777" w:rsidR="00CE2D3E" w:rsidRDefault="00000000">
            <w:r>
              <w:rPr>
                <w:color w:val="1A1A1A"/>
                <w:sz w:val="19"/>
                <w:szCs w:val="19"/>
              </w:rPr>
              <w:t>Causal — why it is anomalous</w:t>
            </w:r>
          </w:p>
        </w:tc>
      </w:tr>
    </w:tbl>
    <w:p w14:paraId="67EE2253" w14:textId="77777777" w:rsidR="00CE2D3E" w:rsidRDefault="00CE2D3E">
      <w:pPr>
        <w:spacing w:before="120"/>
      </w:pPr>
    </w:p>
    <w:p w14:paraId="35A7CA0E" w14:textId="77777777" w:rsidR="00CE2D3E" w:rsidRDefault="00000000">
      <w:pPr>
        <w:spacing w:after="80"/>
      </w:pPr>
      <w:r>
        <w:rPr>
          <w:b/>
          <w:bCs/>
          <w:color w:val="1B2B6B"/>
        </w:rPr>
        <w:t>Who Gets Notified &amp; When</w:t>
      </w:r>
    </w:p>
    <w:p w14:paraId="00FF5740" w14:textId="77777777" w:rsidR="00CE2D3E" w:rsidRDefault="00000000">
      <w:r>
        <w:t>Isabel receives a weekly Causal Anomaly Report — a ranked list of transactions the causal agent flagged that a pure LLM would not have caught. Abhi receives a monthly Finance Intelligence Summary showing the pattern-level insights the causal graph has built from FY2025 data — the institutional financial memory beginning to form.</w:t>
      </w:r>
    </w:p>
    <w:p w14:paraId="5EC2F5C2" w14:textId="77777777" w:rsidR="00CE2D3E" w:rsidRDefault="00CE2D3E">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
        <w:gridCol w:w="9354"/>
      </w:tblGrid>
      <w:tr w:rsidR="00CE2D3E" w14:paraId="5EA903C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0B4A6"/>
            <w:tcMar>
              <w:top w:w="0" w:type="dxa"/>
              <w:left w:w="0" w:type="dxa"/>
              <w:bottom w:w="0" w:type="dxa"/>
              <w:right w:w="0" w:type="dxa"/>
            </w:tcMar>
          </w:tcPr>
          <w:p w14:paraId="785B0691" w14:textId="77777777" w:rsidR="00CE2D3E" w:rsidRDefault="00CE2D3E"/>
        </w:tc>
        <w:tc>
          <w:tcPr>
            <w:tcW w:w="0" w:type="auto"/>
            <w:tcBorders>
              <w:top w:val="none" w:sz="0" w:space="0" w:color="FFFFFF"/>
              <w:left w:val="none" w:sz="0" w:space="0" w:color="FFFFFF"/>
              <w:bottom w:val="none" w:sz="0" w:space="0" w:color="FFFFFF"/>
              <w:right w:val="none" w:sz="0" w:space="0" w:color="FFFFFF"/>
            </w:tcBorders>
            <w:shd w:val="clear" w:color="auto" w:fill="EBF5FB"/>
            <w:tcMar>
              <w:top w:w="140" w:type="dxa"/>
              <w:left w:w="180" w:type="dxa"/>
              <w:bottom w:w="140" w:type="dxa"/>
              <w:right w:w="180" w:type="dxa"/>
            </w:tcMar>
          </w:tcPr>
          <w:p w14:paraId="5717CDFA" w14:textId="77777777" w:rsidR="00CE2D3E" w:rsidRDefault="00000000">
            <w:pPr>
              <w:spacing w:after="60"/>
            </w:pPr>
            <w:r>
              <w:rPr>
                <w:b/>
                <w:bCs/>
                <w:color w:val="00B4A6"/>
                <w:sz w:val="18"/>
                <w:szCs w:val="18"/>
              </w:rPr>
              <w:t>TOOKITAKI CONTEXT</w:t>
            </w:r>
          </w:p>
          <w:p w14:paraId="4745DFD7" w14:textId="77777777" w:rsidR="00CE2D3E" w:rsidRDefault="00000000">
            <w:r>
              <w:rPr>
                <w:color w:val="1A1A1A"/>
                <w:sz w:val="20"/>
                <w:szCs w:val="20"/>
              </w:rPr>
              <w:t xml:space="preserve">The test is simple: run the same FY2025 GL data through a pure LLM agent and through </w:t>
            </w:r>
            <w:proofErr w:type="spellStart"/>
            <w:r>
              <w:rPr>
                <w:color w:val="1A1A1A"/>
                <w:sz w:val="20"/>
                <w:szCs w:val="20"/>
              </w:rPr>
              <w:t>NexusBrain's</w:t>
            </w:r>
            <w:proofErr w:type="spellEnd"/>
            <w:r>
              <w:rPr>
                <w:color w:val="1A1A1A"/>
                <w:sz w:val="20"/>
                <w:szCs w:val="20"/>
              </w:rPr>
              <w:t xml:space="preserve"> causal layer. Count the anomalies the causal agent flags that the LLM missed. If the causal layer surfaces even 3 genuine issues — vendor payments without PO backing, revenue recognised without delivery confirmation, intercompany charges that break from pattern — it has proven its value. And from day one, it begins building the causal financial graph of Tookitaki that will compound in value with every period it processes. This is the same federated, causal intelligence we sell to banks. We are building it for ourselves first.</w:t>
            </w:r>
          </w:p>
        </w:tc>
      </w:tr>
    </w:tbl>
    <w:p w14:paraId="15031734" w14:textId="77777777" w:rsidR="00CE2D3E" w:rsidRDefault="00000000">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2D3E" w14:paraId="7009F5E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B2B6B"/>
            <w:tcMar>
              <w:top w:w="100" w:type="dxa"/>
              <w:left w:w="180" w:type="dxa"/>
              <w:bottom w:w="100" w:type="dxa"/>
              <w:right w:w="180" w:type="dxa"/>
            </w:tcMar>
          </w:tcPr>
          <w:p w14:paraId="329DEFEC" w14:textId="77777777" w:rsidR="00CE2D3E" w:rsidRDefault="00000000">
            <w:r>
              <w:rPr>
                <w:b/>
                <w:bCs/>
                <w:color w:val="FFFFFF"/>
                <w:sz w:val="20"/>
                <w:szCs w:val="20"/>
              </w:rPr>
              <w:lastRenderedPageBreak/>
              <w:t>── MASTER PRIORITY SUMMARY ──</w:t>
            </w:r>
          </w:p>
        </w:tc>
      </w:tr>
    </w:tbl>
    <w:p w14:paraId="492B1EC5" w14:textId="77777777" w:rsidR="00CE2D3E" w:rsidRDefault="00CE2D3E">
      <w:pPr>
        <w:spacing w:before="160"/>
      </w:pPr>
    </w:p>
    <w:tbl>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1400"/>
        <w:gridCol w:w="1600"/>
        <w:gridCol w:w="2760"/>
      </w:tblGrid>
      <w:tr w:rsidR="00CE2D3E" w14:paraId="79E66393"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16483779" w14:textId="77777777" w:rsidR="00CE2D3E" w:rsidRDefault="00000000">
            <w:r>
              <w:rPr>
                <w:b/>
                <w:bCs/>
                <w:color w:val="FFFFFF"/>
                <w:sz w:val="20"/>
                <w:szCs w:val="20"/>
              </w:rPr>
              <w:t>#</w:t>
            </w:r>
          </w:p>
        </w:tc>
        <w:tc>
          <w:tcPr>
            <w:tcW w:w="30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6B84D081" w14:textId="77777777" w:rsidR="00CE2D3E" w:rsidRDefault="00000000">
            <w:r>
              <w:rPr>
                <w:b/>
                <w:bCs/>
                <w:color w:val="FFFFFF"/>
                <w:sz w:val="20"/>
                <w:szCs w:val="20"/>
              </w:rPr>
              <w:t>Function Name</w:t>
            </w:r>
          </w:p>
        </w:tc>
        <w:tc>
          <w:tcPr>
            <w:tcW w:w="14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613FE3DD" w14:textId="77777777" w:rsidR="00CE2D3E" w:rsidRDefault="00000000">
            <w:r>
              <w:rPr>
                <w:b/>
                <w:bCs/>
                <w:color w:val="FFFFFF"/>
                <w:sz w:val="20"/>
                <w:szCs w:val="20"/>
              </w:rPr>
              <w:t>Priority</w:t>
            </w:r>
          </w:p>
        </w:tc>
        <w:tc>
          <w:tcPr>
            <w:tcW w:w="160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6B1590FD" w14:textId="77777777" w:rsidR="00CE2D3E" w:rsidRDefault="00000000">
            <w:r>
              <w:rPr>
                <w:b/>
                <w:bCs/>
                <w:color w:val="FFFFFF"/>
                <w:sz w:val="20"/>
                <w:szCs w:val="20"/>
              </w:rPr>
              <w:t>Status</w:t>
            </w:r>
          </w:p>
        </w:tc>
        <w:tc>
          <w:tcPr>
            <w:tcW w:w="2760" w:type="dxa"/>
            <w:tcBorders>
              <w:top w:val="none" w:sz="0" w:space="0" w:color="FFFFFF"/>
              <w:left w:val="none" w:sz="0" w:space="0" w:color="FFFFFF"/>
              <w:bottom w:val="none" w:sz="0" w:space="0" w:color="FFFFFF"/>
              <w:right w:val="none" w:sz="0" w:space="0" w:color="FFFFFF"/>
            </w:tcBorders>
            <w:shd w:val="clear" w:color="auto" w:fill="1B2B6B"/>
            <w:tcMar>
              <w:top w:w="100" w:type="dxa"/>
              <w:left w:w="120" w:type="dxa"/>
              <w:bottom w:w="100" w:type="dxa"/>
              <w:right w:w="120" w:type="dxa"/>
            </w:tcMar>
          </w:tcPr>
          <w:p w14:paraId="356835D8" w14:textId="77777777" w:rsidR="00CE2D3E" w:rsidRDefault="00000000">
            <w:r>
              <w:rPr>
                <w:b/>
                <w:bCs/>
                <w:color w:val="FFFFFF"/>
                <w:sz w:val="20"/>
                <w:szCs w:val="20"/>
              </w:rPr>
              <w:t>Category</w:t>
            </w:r>
          </w:p>
        </w:tc>
      </w:tr>
      <w:tr w:rsidR="00CE2D3E" w14:paraId="626E642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68702E1" w14:textId="77777777" w:rsidR="00CE2D3E" w:rsidRDefault="00000000">
            <w:r>
              <w:rPr>
                <w:color w:val="1A1A1A"/>
                <w:sz w:val="20"/>
                <w:szCs w:val="20"/>
              </w:rPr>
              <w:t>01</w:t>
            </w:r>
          </w:p>
        </w:tc>
        <w:tc>
          <w:tcPr>
            <w:tcW w:w="30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54862A9C" w14:textId="77777777" w:rsidR="00CE2D3E" w:rsidRDefault="00000000">
            <w:r>
              <w:rPr>
                <w:color w:val="1A1A1A"/>
                <w:sz w:val="20"/>
                <w:szCs w:val="20"/>
              </w:rPr>
              <w:t>Automated Financial Reporting from Xero GL</w:t>
            </w:r>
          </w:p>
        </w:tc>
        <w:tc>
          <w:tcPr>
            <w:tcW w:w="14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3A1D7757" w14:textId="77777777" w:rsidR="00CE2D3E" w:rsidRDefault="00000000">
            <w:r>
              <w:rPr>
                <w:b/>
                <w:bCs/>
                <w:color w:val="B22222"/>
                <w:sz w:val="20"/>
                <w:szCs w:val="20"/>
              </w:rPr>
              <w:t>P0 🔴</w:t>
            </w:r>
          </w:p>
        </w:tc>
        <w:tc>
          <w:tcPr>
            <w:tcW w:w="160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17782830" w14:textId="77777777" w:rsidR="00CE2D3E" w:rsidRDefault="00000000">
            <w:r>
              <w:rPr>
                <w:color w:val="1A1A1A"/>
                <w:sz w:val="20"/>
                <w:szCs w:val="20"/>
              </w:rPr>
              <w:t>Build Now</w:t>
            </w:r>
          </w:p>
        </w:tc>
        <w:tc>
          <w:tcPr>
            <w:tcW w:w="2760" w:type="dxa"/>
            <w:tcBorders>
              <w:top w:val="none" w:sz="0" w:space="0" w:color="FFFFFF"/>
              <w:left w:val="none" w:sz="0" w:space="0" w:color="FFFFFF"/>
              <w:bottom w:val="none" w:sz="0" w:space="0" w:color="FFFFFF"/>
              <w:right w:val="none" w:sz="0" w:space="0" w:color="FFFFFF"/>
            </w:tcBorders>
            <w:shd w:val="clear" w:color="auto" w:fill="F7F9FB"/>
            <w:tcMar>
              <w:top w:w="100" w:type="dxa"/>
              <w:left w:w="120" w:type="dxa"/>
              <w:bottom w:w="100" w:type="dxa"/>
              <w:right w:w="120" w:type="dxa"/>
            </w:tcMar>
          </w:tcPr>
          <w:p w14:paraId="77AA7C45" w14:textId="77777777" w:rsidR="00CE2D3E" w:rsidRDefault="00000000">
            <w:r>
              <w:rPr>
                <w:color w:val="1A1A1A"/>
                <w:sz w:val="20"/>
                <w:szCs w:val="20"/>
              </w:rPr>
              <w:t>Accounting Accuracy</w:t>
            </w:r>
          </w:p>
        </w:tc>
      </w:tr>
      <w:tr w:rsidR="00CE2D3E" w14:paraId="157B0EB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40059E43" w14:textId="77777777" w:rsidR="00CE2D3E" w:rsidRDefault="00000000">
            <w:r>
              <w:rPr>
                <w:color w:val="1A1A1A"/>
                <w:sz w:val="20"/>
                <w:szCs w:val="20"/>
              </w:rPr>
              <w:t>02</w:t>
            </w:r>
          </w:p>
        </w:tc>
        <w:tc>
          <w:tcPr>
            <w:tcW w:w="30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295459C" w14:textId="77777777" w:rsidR="00CE2D3E" w:rsidRDefault="00000000">
            <w:r>
              <w:rPr>
                <w:color w:val="1A1A1A"/>
                <w:sz w:val="20"/>
                <w:szCs w:val="20"/>
              </w:rPr>
              <w:t xml:space="preserve">Causal Intelligence Layer — </w:t>
            </w:r>
            <w:proofErr w:type="spellStart"/>
            <w:r>
              <w:rPr>
                <w:color w:val="1A1A1A"/>
                <w:sz w:val="20"/>
                <w:szCs w:val="20"/>
              </w:rPr>
              <w:t>NexusBrain</w:t>
            </w:r>
            <w:proofErr w:type="spellEnd"/>
          </w:p>
        </w:tc>
        <w:tc>
          <w:tcPr>
            <w:tcW w:w="14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239C4046" w14:textId="77777777" w:rsidR="00CE2D3E" w:rsidRDefault="00000000">
            <w:r>
              <w:rPr>
                <w:b/>
                <w:bCs/>
                <w:color w:val="997700"/>
                <w:sz w:val="20"/>
                <w:szCs w:val="20"/>
              </w:rPr>
              <w:t>P1 🟡</w:t>
            </w:r>
          </w:p>
        </w:tc>
        <w:tc>
          <w:tcPr>
            <w:tcW w:w="160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3C5A85A9" w14:textId="77777777" w:rsidR="00CE2D3E" w:rsidRDefault="00000000">
            <w:r>
              <w:rPr>
                <w:color w:val="1A1A1A"/>
                <w:sz w:val="20"/>
                <w:szCs w:val="20"/>
              </w:rPr>
              <w:t>Build Next</w:t>
            </w:r>
          </w:p>
        </w:tc>
        <w:tc>
          <w:tcPr>
            <w:tcW w:w="2760" w:type="dxa"/>
            <w:tcBorders>
              <w:top w:val="none" w:sz="0" w:space="0" w:color="FFFFFF"/>
              <w:left w:val="none" w:sz="0" w:space="0" w:color="FFFFFF"/>
              <w:bottom w:val="none" w:sz="0" w:space="0" w:color="FFFFFF"/>
              <w:right w:val="none" w:sz="0" w:space="0" w:color="FFFFFF"/>
            </w:tcBorders>
            <w:shd w:val="clear" w:color="auto" w:fill="FFFFFF"/>
            <w:tcMar>
              <w:top w:w="100" w:type="dxa"/>
              <w:left w:w="120" w:type="dxa"/>
              <w:bottom w:w="100" w:type="dxa"/>
              <w:right w:w="120" w:type="dxa"/>
            </w:tcMar>
          </w:tcPr>
          <w:p w14:paraId="77C68220" w14:textId="77777777" w:rsidR="00CE2D3E" w:rsidRDefault="00000000">
            <w:r>
              <w:rPr>
                <w:color w:val="1A1A1A"/>
                <w:sz w:val="20"/>
                <w:szCs w:val="20"/>
              </w:rPr>
              <w:t>Finance Intelligence</w:t>
            </w:r>
          </w:p>
        </w:tc>
      </w:tr>
    </w:tbl>
    <w:p w14:paraId="2CF1784D" w14:textId="77777777" w:rsidR="00CE2D3E" w:rsidRDefault="00CE2D3E">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7"/>
        <w:gridCol w:w="2840"/>
        <w:gridCol w:w="3693"/>
      </w:tblGrid>
      <w:tr w:rsidR="00CE2D3E" w14:paraId="0A29242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B22222"/>
            <w:tcMar>
              <w:top w:w="120" w:type="dxa"/>
              <w:left w:w="160" w:type="dxa"/>
              <w:bottom w:w="120" w:type="dxa"/>
              <w:right w:w="160" w:type="dxa"/>
            </w:tcMar>
          </w:tcPr>
          <w:p w14:paraId="46A0DD51" w14:textId="77777777" w:rsidR="00CE2D3E" w:rsidRDefault="00000000">
            <w:r>
              <w:rPr>
                <w:b/>
                <w:bCs/>
                <w:color w:val="FFFFFF"/>
                <w:sz w:val="20"/>
                <w:szCs w:val="20"/>
              </w:rPr>
              <w:t>🔴  P0 — Build Now (1)</w:t>
            </w:r>
          </w:p>
        </w:tc>
        <w:tc>
          <w:tcPr>
            <w:tcW w:w="0" w:type="auto"/>
            <w:tcBorders>
              <w:top w:val="none" w:sz="0" w:space="0" w:color="FFFFFF"/>
              <w:left w:val="none" w:sz="0" w:space="0" w:color="FFFFFF"/>
              <w:bottom w:val="none" w:sz="0" w:space="0" w:color="FFFFFF"/>
              <w:right w:val="none" w:sz="0" w:space="0" w:color="FFFFFF"/>
            </w:tcBorders>
            <w:shd w:val="clear" w:color="auto" w:fill="FFE066"/>
            <w:tcMar>
              <w:top w:w="120" w:type="dxa"/>
              <w:left w:w="160" w:type="dxa"/>
              <w:bottom w:w="120" w:type="dxa"/>
              <w:right w:w="160" w:type="dxa"/>
            </w:tcMar>
          </w:tcPr>
          <w:p w14:paraId="245740DF" w14:textId="77777777" w:rsidR="00CE2D3E" w:rsidRDefault="00000000">
            <w:r>
              <w:rPr>
                <w:b/>
                <w:bCs/>
                <w:color w:val="1A1A1A"/>
                <w:sz w:val="20"/>
                <w:szCs w:val="20"/>
              </w:rPr>
              <w:t>🟡  P1 — Build Next (1)</w:t>
            </w:r>
          </w:p>
        </w:tc>
        <w:tc>
          <w:tcPr>
            <w:tcW w:w="0" w:type="auto"/>
            <w:tcBorders>
              <w:top w:val="none" w:sz="0" w:space="0" w:color="FFFFFF"/>
              <w:left w:val="none" w:sz="0" w:space="0" w:color="FFFFFF"/>
              <w:bottom w:val="none" w:sz="0" w:space="0" w:color="FFFFFF"/>
              <w:right w:val="none" w:sz="0" w:space="0" w:color="FFFFFF"/>
            </w:tcBorders>
            <w:shd w:val="clear" w:color="auto" w:fill="00B4A6"/>
            <w:tcMar>
              <w:top w:w="120" w:type="dxa"/>
              <w:left w:w="160" w:type="dxa"/>
              <w:bottom w:w="120" w:type="dxa"/>
              <w:right w:w="160" w:type="dxa"/>
            </w:tcMar>
          </w:tcPr>
          <w:p w14:paraId="426079B0" w14:textId="77777777" w:rsidR="00CE2D3E" w:rsidRDefault="00000000">
            <w:r>
              <w:rPr>
                <w:b/>
                <w:bCs/>
                <w:color w:val="FFFFFF"/>
                <w:sz w:val="20"/>
                <w:szCs w:val="20"/>
              </w:rPr>
              <w:t>📊  Finance · 2 Functions Total</w:t>
            </w:r>
          </w:p>
        </w:tc>
      </w:tr>
    </w:tbl>
    <w:p w14:paraId="675C2C54" w14:textId="77777777" w:rsidR="00CE2D3E" w:rsidRDefault="00CE2D3E">
      <w:pPr>
        <w:spacing w:before="200"/>
      </w:pPr>
    </w:p>
    <w:p w14:paraId="561D75A5" w14:textId="77777777" w:rsidR="00CE2D3E" w:rsidRDefault="00000000">
      <w:pPr>
        <w:pBdr>
          <w:top w:val="single" w:sz="4" w:space="4" w:color="00B4A6"/>
        </w:pBdr>
        <w:spacing w:before="200"/>
        <w:jc w:val="center"/>
      </w:pPr>
      <w:r>
        <w:rPr>
          <w:color w:val="555555"/>
          <w:sz w:val="18"/>
          <w:szCs w:val="18"/>
        </w:rPr>
        <w:t>Tookitaki · Finance Brain · Confidential · 2026</w:t>
      </w:r>
    </w:p>
    <w:sectPr w:rsidR="00CE2D3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ADB"/>
    <w:multiLevelType w:val="hybridMultilevel"/>
    <w:tmpl w:val="9FFAA572"/>
    <w:lvl w:ilvl="0" w:tplc="81DAE55A">
      <w:start w:val="1"/>
      <w:numFmt w:val="bullet"/>
      <w:lvlText w:val="•"/>
      <w:lvlJc w:val="left"/>
      <w:pPr>
        <w:ind w:left="720" w:hanging="360"/>
      </w:pPr>
    </w:lvl>
    <w:lvl w:ilvl="1" w:tplc="4F421590">
      <w:numFmt w:val="decimal"/>
      <w:lvlText w:val=""/>
      <w:lvlJc w:val="left"/>
    </w:lvl>
    <w:lvl w:ilvl="2" w:tplc="94F8558E">
      <w:numFmt w:val="decimal"/>
      <w:lvlText w:val=""/>
      <w:lvlJc w:val="left"/>
    </w:lvl>
    <w:lvl w:ilvl="3" w:tplc="C30E742C">
      <w:numFmt w:val="decimal"/>
      <w:lvlText w:val=""/>
      <w:lvlJc w:val="left"/>
    </w:lvl>
    <w:lvl w:ilvl="4" w:tplc="4822C660">
      <w:numFmt w:val="decimal"/>
      <w:lvlText w:val=""/>
      <w:lvlJc w:val="left"/>
    </w:lvl>
    <w:lvl w:ilvl="5" w:tplc="FFFC32E6">
      <w:numFmt w:val="decimal"/>
      <w:lvlText w:val=""/>
      <w:lvlJc w:val="left"/>
    </w:lvl>
    <w:lvl w:ilvl="6" w:tplc="1DF6BE32">
      <w:numFmt w:val="decimal"/>
      <w:lvlText w:val=""/>
      <w:lvlJc w:val="left"/>
    </w:lvl>
    <w:lvl w:ilvl="7" w:tplc="FD2C45D8">
      <w:numFmt w:val="decimal"/>
      <w:lvlText w:val=""/>
      <w:lvlJc w:val="left"/>
    </w:lvl>
    <w:lvl w:ilvl="8" w:tplc="F08E1C0C">
      <w:numFmt w:val="decimal"/>
      <w:lvlText w:val=""/>
      <w:lvlJc w:val="left"/>
    </w:lvl>
  </w:abstractNum>
  <w:abstractNum w:abstractNumId="1" w15:restartNumberingAfterBreak="0">
    <w:nsid w:val="7F290A49"/>
    <w:multiLevelType w:val="hybridMultilevel"/>
    <w:tmpl w:val="87D694BA"/>
    <w:lvl w:ilvl="0" w:tplc="2370DCE8">
      <w:start w:val="1"/>
      <w:numFmt w:val="bullet"/>
      <w:lvlText w:val="●"/>
      <w:lvlJc w:val="left"/>
      <w:pPr>
        <w:ind w:left="720" w:hanging="360"/>
      </w:pPr>
    </w:lvl>
    <w:lvl w:ilvl="1" w:tplc="2A487444">
      <w:start w:val="1"/>
      <w:numFmt w:val="bullet"/>
      <w:lvlText w:val="○"/>
      <w:lvlJc w:val="left"/>
      <w:pPr>
        <w:ind w:left="1440" w:hanging="360"/>
      </w:pPr>
    </w:lvl>
    <w:lvl w:ilvl="2" w:tplc="B9D019CC">
      <w:start w:val="1"/>
      <w:numFmt w:val="bullet"/>
      <w:lvlText w:val="■"/>
      <w:lvlJc w:val="left"/>
      <w:pPr>
        <w:ind w:left="2160" w:hanging="360"/>
      </w:pPr>
    </w:lvl>
    <w:lvl w:ilvl="3" w:tplc="EE666028">
      <w:start w:val="1"/>
      <w:numFmt w:val="bullet"/>
      <w:lvlText w:val="●"/>
      <w:lvlJc w:val="left"/>
      <w:pPr>
        <w:ind w:left="2880" w:hanging="360"/>
      </w:pPr>
    </w:lvl>
    <w:lvl w:ilvl="4" w:tplc="45D0C14A">
      <w:start w:val="1"/>
      <w:numFmt w:val="bullet"/>
      <w:lvlText w:val="○"/>
      <w:lvlJc w:val="left"/>
      <w:pPr>
        <w:ind w:left="3600" w:hanging="360"/>
      </w:pPr>
    </w:lvl>
    <w:lvl w:ilvl="5" w:tplc="B322C2CC">
      <w:start w:val="1"/>
      <w:numFmt w:val="bullet"/>
      <w:lvlText w:val="■"/>
      <w:lvlJc w:val="left"/>
      <w:pPr>
        <w:ind w:left="4320" w:hanging="360"/>
      </w:pPr>
    </w:lvl>
    <w:lvl w:ilvl="6" w:tplc="C178B5D8">
      <w:start w:val="1"/>
      <w:numFmt w:val="bullet"/>
      <w:lvlText w:val="●"/>
      <w:lvlJc w:val="left"/>
      <w:pPr>
        <w:ind w:left="5040" w:hanging="360"/>
      </w:pPr>
    </w:lvl>
    <w:lvl w:ilvl="7" w:tplc="B9A80514">
      <w:start w:val="1"/>
      <w:numFmt w:val="bullet"/>
      <w:lvlText w:val="●"/>
      <w:lvlJc w:val="left"/>
      <w:pPr>
        <w:ind w:left="5760" w:hanging="360"/>
      </w:pPr>
    </w:lvl>
    <w:lvl w:ilvl="8" w:tplc="4E2C79D6">
      <w:start w:val="1"/>
      <w:numFmt w:val="bullet"/>
      <w:lvlText w:val="●"/>
      <w:lvlJc w:val="left"/>
      <w:pPr>
        <w:ind w:left="6480" w:hanging="360"/>
      </w:pPr>
    </w:lvl>
  </w:abstractNum>
  <w:num w:numId="1" w16cid:durableId="142746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D3E"/>
    <w:rsid w:val="0007513C"/>
    <w:rsid w:val="00CE2D3E"/>
    <w:rsid w:val="00FB460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BBAB3BF"/>
  <w15:docId w15:val="{79290B67-3219-2949-9EC0-BFDE158B8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1242</Words>
  <Characters>6978</Characters>
  <Application>Microsoft Office Word</Application>
  <DocSecurity>0</DocSecurity>
  <Lines>214</Lines>
  <Paragraphs>129</Paragraphs>
  <ScaleCrop>false</ScaleCrop>
  <Company/>
  <LinksUpToDate>false</LinksUpToDate>
  <CharactersWithSpaces>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Chatterjee</cp:lastModifiedBy>
  <cp:revision>2</cp:revision>
  <dcterms:created xsi:type="dcterms:W3CDTF">2026-02-19T10:54:00Z</dcterms:created>
  <dcterms:modified xsi:type="dcterms:W3CDTF">2026-02-19T10:54:00Z</dcterms:modified>
</cp:coreProperties>
</file>