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B034" w14:textId="77777777" w:rsidR="0052585B" w:rsidRDefault="0052585B">
      <w:pPr>
        <w:spacing w:before="1200"/>
      </w:pPr>
    </w:p>
    <w:p w14:paraId="6E22ADD4" w14:textId="77777777" w:rsidR="0052585B" w:rsidRPr="00021626" w:rsidRDefault="00000000">
      <w:pPr>
        <w:spacing w:after="200"/>
        <w:jc w:val="center"/>
        <w:rPr>
          <w:sz w:val="56"/>
          <w:szCs w:val="56"/>
        </w:rPr>
      </w:pPr>
      <w:r w:rsidRPr="00021626">
        <w:rPr>
          <w:b/>
          <w:bCs/>
          <w:color w:val="1F3864"/>
          <w:sz w:val="56"/>
          <w:szCs w:val="56"/>
        </w:rPr>
        <w:t>Comprehensive Hospitality Data Science Analysis</w:t>
      </w:r>
    </w:p>
    <w:p w14:paraId="4373906E" w14:textId="77777777" w:rsidR="0052585B" w:rsidRDefault="00000000">
      <w:pPr>
        <w:spacing w:after="400"/>
        <w:jc w:val="center"/>
      </w:pPr>
      <w:r>
        <w:rPr>
          <w:b/>
          <w:bCs/>
          <w:color w:val="3B6EA5"/>
          <w:sz w:val="26"/>
          <w:szCs w:val="26"/>
        </w:rPr>
        <w:t>Integrating Data Cleaning, Forecasting, Segmentation, Sentiment Analysis and Revenue Management in Python</w:t>
      </w:r>
    </w:p>
    <w:p w14:paraId="4378B3E3" w14:textId="663347CD" w:rsidR="0052585B" w:rsidRPr="00021626" w:rsidRDefault="00000000">
      <w:pPr>
        <w:spacing w:after="800"/>
        <w:jc w:val="center"/>
        <w:rPr>
          <w:sz w:val="40"/>
          <w:szCs w:val="40"/>
        </w:rPr>
      </w:pPr>
      <w:r w:rsidRPr="00021626">
        <w:rPr>
          <w:i/>
          <w:iCs/>
          <w:color w:val="595959"/>
          <w:sz w:val="40"/>
          <w:szCs w:val="40"/>
        </w:rPr>
        <w:t>Final Capstone Report | Weeks 1-6</w:t>
      </w:r>
    </w:p>
    <w:p w14:paraId="18B818C8" w14:textId="77777777" w:rsidR="00021626" w:rsidRDefault="00021626">
      <w:pPr>
        <w:spacing w:after="80"/>
        <w:jc w:val="center"/>
        <w:rPr>
          <w:sz w:val="32"/>
          <w:szCs w:val="32"/>
        </w:rPr>
      </w:pPr>
    </w:p>
    <w:p w14:paraId="0DA74CA0" w14:textId="77777777" w:rsidR="00021626" w:rsidRDefault="00021626">
      <w:pPr>
        <w:spacing w:after="80"/>
        <w:jc w:val="center"/>
        <w:rPr>
          <w:sz w:val="32"/>
          <w:szCs w:val="32"/>
        </w:rPr>
      </w:pPr>
    </w:p>
    <w:p w14:paraId="0899E2D6" w14:textId="2C79B5B3" w:rsidR="0052585B" w:rsidRPr="00021626" w:rsidRDefault="00000000">
      <w:pPr>
        <w:spacing w:after="80"/>
        <w:jc w:val="center"/>
        <w:rPr>
          <w:sz w:val="32"/>
          <w:szCs w:val="32"/>
        </w:rPr>
      </w:pPr>
      <w:r w:rsidRPr="00021626">
        <w:rPr>
          <w:sz w:val="32"/>
          <w:szCs w:val="32"/>
        </w:rPr>
        <w:t>Prepared by: Abhi</w:t>
      </w:r>
      <w:r w:rsidR="00021626">
        <w:rPr>
          <w:sz w:val="32"/>
          <w:szCs w:val="32"/>
        </w:rPr>
        <w:t>shek Pal</w:t>
      </w:r>
    </w:p>
    <w:p w14:paraId="129FD747" w14:textId="77777777" w:rsidR="0052585B" w:rsidRPr="00021626" w:rsidRDefault="00000000">
      <w:pPr>
        <w:spacing w:after="80"/>
        <w:jc w:val="center"/>
        <w:rPr>
          <w:sz w:val="32"/>
          <w:szCs w:val="32"/>
        </w:rPr>
      </w:pPr>
      <w:r w:rsidRPr="00021626">
        <w:rPr>
          <w:sz w:val="32"/>
          <w:szCs w:val="32"/>
        </w:rPr>
        <w:t>Computer Science Engineering (Data Science), ABES Engineering College</w:t>
      </w:r>
    </w:p>
    <w:p w14:paraId="191286BA" w14:textId="77777777" w:rsidR="0052585B" w:rsidRPr="00021626" w:rsidRDefault="00000000">
      <w:pPr>
        <w:jc w:val="center"/>
        <w:rPr>
          <w:sz w:val="32"/>
          <w:szCs w:val="32"/>
        </w:rPr>
      </w:pPr>
      <w:r w:rsidRPr="00021626">
        <w:rPr>
          <w:sz w:val="32"/>
          <w:szCs w:val="32"/>
        </w:rPr>
        <w:t>September 2026</w:t>
      </w:r>
    </w:p>
    <w:p w14:paraId="76C74F6E" w14:textId="77777777" w:rsidR="0052585B" w:rsidRPr="00021626" w:rsidRDefault="00000000">
      <w:pPr>
        <w:rPr>
          <w:sz w:val="32"/>
          <w:szCs w:val="32"/>
        </w:rPr>
      </w:pPr>
      <w:r w:rsidRPr="00021626">
        <w:rPr>
          <w:sz w:val="32"/>
          <w:szCs w:val="32"/>
        </w:rPr>
        <w:br w:type="page"/>
      </w:r>
    </w:p>
    <w:p w14:paraId="573F2233" w14:textId="77777777" w:rsidR="0052585B" w:rsidRDefault="00000000">
      <w:pPr>
        <w:pStyle w:val="Heading1"/>
        <w:spacing w:before="300" w:after="150"/>
      </w:pPr>
      <w:r>
        <w:lastRenderedPageBreak/>
        <w:t>Table of Contents</w:t>
      </w:r>
    </w:p>
    <w:p w14:paraId="2C0FE674" w14:textId="77777777" w:rsidR="0052585B" w:rsidRDefault="00000000">
      <w:pPr>
        <w:spacing w:after="160"/>
      </w:pPr>
      <w:r>
        <w:t>1. Executive Summary</w:t>
      </w:r>
    </w:p>
    <w:p w14:paraId="7908C781" w14:textId="77777777" w:rsidR="0052585B" w:rsidRDefault="00000000">
      <w:pPr>
        <w:spacing w:after="160"/>
      </w:pPr>
      <w:r>
        <w:t>2. Introduction and Project Scope</w:t>
      </w:r>
    </w:p>
    <w:p w14:paraId="60DA981F" w14:textId="77777777" w:rsidR="0052585B" w:rsidRDefault="00000000">
      <w:pPr>
        <w:spacing w:after="160"/>
      </w:pPr>
      <w:r>
        <w:t>3. Data and Methodology</w:t>
      </w:r>
    </w:p>
    <w:p w14:paraId="3D0ACBA2" w14:textId="77777777" w:rsidR="0052585B" w:rsidRDefault="00000000">
      <w:pPr>
        <w:spacing w:after="160"/>
      </w:pPr>
      <w:r>
        <w:t>4. Module 1 - Data Cleaning and Exploratory Analysis</w:t>
      </w:r>
    </w:p>
    <w:p w14:paraId="6232CEAE" w14:textId="77777777" w:rsidR="0052585B" w:rsidRDefault="00000000">
      <w:pPr>
        <w:spacing w:after="160"/>
      </w:pPr>
      <w:r>
        <w:t>5. Module 2 - Time Series Forecasting</w:t>
      </w:r>
    </w:p>
    <w:p w14:paraId="522FD854" w14:textId="77777777" w:rsidR="0052585B" w:rsidRDefault="00000000">
      <w:pPr>
        <w:spacing w:after="160"/>
      </w:pPr>
      <w:r>
        <w:t>6. Module 3 - Customer Segmentation</w:t>
      </w:r>
    </w:p>
    <w:p w14:paraId="108AF6AB" w14:textId="77777777" w:rsidR="0052585B" w:rsidRDefault="00000000">
      <w:pPr>
        <w:spacing w:after="160"/>
      </w:pPr>
      <w:r>
        <w:t>7. Module 4 - Sentiment Analysis</w:t>
      </w:r>
    </w:p>
    <w:p w14:paraId="3E25C408" w14:textId="77777777" w:rsidR="0052585B" w:rsidRDefault="00000000">
      <w:pPr>
        <w:spacing w:after="160"/>
      </w:pPr>
      <w:r>
        <w:t>8. Module 5 - Revenue Management and Pricing</w:t>
      </w:r>
    </w:p>
    <w:p w14:paraId="49DE2C70" w14:textId="77777777" w:rsidR="0052585B" w:rsidRDefault="00000000">
      <w:pPr>
        <w:spacing w:after="160"/>
      </w:pPr>
      <w:r>
        <w:t>9. Analytical Synthesis: Connecting the Five Modules</w:t>
      </w:r>
    </w:p>
    <w:p w14:paraId="6B5BB41B" w14:textId="77777777" w:rsidR="0052585B" w:rsidRDefault="00000000">
      <w:pPr>
        <w:spacing w:after="160"/>
      </w:pPr>
      <w:r>
        <w:t>10. Consolidated Strategic Recommendations</w:t>
      </w:r>
    </w:p>
    <w:p w14:paraId="38194D78" w14:textId="77777777" w:rsidR="0052585B" w:rsidRDefault="00000000">
      <w:pPr>
        <w:spacing w:after="160"/>
      </w:pPr>
      <w:r>
        <w:t>11. Limitations and Critical Reflection</w:t>
      </w:r>
    </w:p>
    <w:p w14:paraId="3DBDD088" w14:textId="77777777" w:rsidR="0052585B" w:rsidRDefault="00000000">
      <w:pPr>
        <w:spacing w:after="160"/>
      </w:pPr>
      <w:r>
        <w:t>12. Conclusion</w:t>
      </w:r>
    </w:p>
    <w:p w14:paraId="35F5C660" w14:textId="77777777" w:rsidR="0052585B" w:rsidRDefault="00000000">
      <w:r>
        <w:br w:type="page"/>
      </w:r>
    </w:p>
    <w:p w14:paraId="30C829F7" w14:textId="77777777" w:rsidR="0052585B" w:rsidRDefault="00000000">
      <w:pPr>
        <w:pStyle w:val="Heading1"/>
        <w:spacing w:before="300" w:after="150"/>
      </w:pPr>
      <w:r>
        <w:lastRenderedPageBreak/>
        <w:t>1. Executive Summary</w:t>
      </w:r>
    </w:p>
    <w:p w14:paraId="09FEC173" w14:textId="77777777" w:rsidR="0052585B" w:rsidRDefault="00000000">
      <w:pPr>
        <w:spacing w:after="160"/>
      </w:pPr>
      <w:r>
        <w:t>This report brings together five weeks of independent analysis into one hospitality data science project, built almost entirely on a single real dataset: the Hotel Booking Demand dataset (Antonio, Almeida &amp; Nunes, 2019; 119,390 bookings, City Hotel and Resort Hotel, 2015-2017), supplemented in the sentiment module by a separate public corpus of 20,491 TripAdvisor hotel reviews. Each module used Python for data preparation, statistical or machine-learning modelling, and visualisation.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00"/>
      </w:tblGrid>
      <w:tr w:rsidR="0052585B" w14:paraId="316D475C" w14:textId="77777777">
        <w:tblPrEx>
          <w:tblCellMar>
            <w:top w:w="0" w:type="dxa"/>
            <w:bottom w:w="0" w:type="dxa"/>
          </w:tblCellMar>
        </w:tblPrEx>
        <w:tc>
          <w:tcPr>
            <w:tcW w:w="1700" w:type="dxa"/>
            <w:shd w:val="clear" w:color="auto" w:fill="1F3864"/>
            <w:tcMar>
              <w:top w:w="70" w:type="dxa"/>
              <w:left w:w="100" w:type="dxa"/>
              <w:bottom w:w="70" w:type="dxa"/>
              <w:right w:w="100" w:type="dxa"/>
            </w:tcMar>
          </w:tcPr>
          <w:p w14:paraId="0D500EA7" w14:textId="77777777" w:rsidR="0052585B" w:rsidRDefault="00000000">
            <w:r>
              <w:rPr>
                <w:b/>
                <w:bCs/>
                <w:color w:val="FFFFFF"/>
                <w:sz w:val="19"/>
                <w:szCs w:val="19"/>
              </w:rPr>
              <w:t>Module</w:t>
            </w:r>
          </w:p>
        </w:tc>
        <w:tc>
          <w:tcPr>
            <w:tcW w:w="3300" w:type="dxa"/>
            <w:shd w:val="clear" w:color="auto" w:fill="1F3864"/>
            <w:tcMar>
              <w:top w:w="70" w:type="dxa"/>
              <w:left w:w="100" w:type="dxa"/>
              <w:bottom w:w="70" w:type="dxa"/>
              <w:right w:w="100" w:type="dxa"/>
            </w:tcMar>
          </w:tcPr>
          <w:p w14:paraId="534EE725" w14:textId="77777777" w:rsidR="0052585B" w:rsidRDefault="00000000">
            <w:r>
              <w:rPr>
                <w:b/>
                <w:bCs/>
                <w:color w:val="FFFFFF"/>
                <w:sz w:val="19"/>
                <w:szCs w:val="19"/>
              </w:rPr>
              <w:t>Method</w:t>
            </w:r>
          </w:p>
        </w:tc>
        <w:tc>
          <w:tcPr>
            <w:tcW w:w="4000" w:type="dxa"/>
            <w:shd w:val="clear" w:color="auto" w:fill="1F3864"/>
            <w:tcMar>
              <w:top w:w="70" w:type="dxa"/>
              <w:left w:w="100" w:type="dxa"/>
              <w:bottom w:w="70" w:type="dxa"/>
              <w:right w:w="100" w:type="dxa"/>
            </w:tcMar>
          </w:tcPr>
          <w:p w14:paraId="1506656A" w14:textId="77777777" w:rsidR="0052585B" w:rsidRDefault="00000000">
            <w:r>
              <w:rPr>
                <w:b/>
                <w:bCs/>
                <w:color w:val="FFFFFF"/>
                <w:sz w:val="19"/>
                <w:szCs w:val="19"/>
              </w:rPr>
              <w:t>Headline result</w:t>
            </w:r>
          </w:p>
        </w:tc>
      </w:tr>
      <w:tr w:rsidR="0052585B" w14:paraId="10BEDB48" w14:textId="77777777">
        <w:tblPrEx>
          <w:tblCellMar>
            <w:top w:w="0" w:type="dxa"/>
            <w:bottom w:w="0" w:type="dxa"/>
          </w:tblCellMar>
        </w:tblPrEx>
        <w:tc>
          <w:tcPr>
            <w:tcW w:w="1700" w:type="dxa"/>
            <w:tcMar>
              <w:top w:w="70" w:type="dxa"/>
              <w:left w:w="100" w:type="dxa"/>
              <w:bottom w:w="70" w:type="dxa"/>
              <w:right w:w="100" w:type="dxa"/>
            </w:tcMar>
          </w:tcPr>
          <w:p w14:paraId="48576292" w14:textId="77777777" w:rsidR="0052585B" w:rsidRDefault="00000000">
            <w:r>
              <w:rPr>
                <w:color w:val="000000"/>
                <w:sz w:val="19"/>
                <w:szCs w:val="19"/>
              </w:rPr>
              <w:t>Cleaning &amp; EDA</w:t>
            </w:r>
          </w:p>
        </w:tc>
        <w:tc>
          <w:tcPr>
            <w:tcW w:w="3300" w:type="dxa"/>
            <w:tcMar>
              <w:top w:w="70" w:type="dxa"/>
              <w:left w:w="100" w:type="dxa"/>
              <w:bottom w:w="70" w:type="dxa"/>
              <w:right w:w="100" w:type="dxa"/>
            </w:tcMar>
          </w:tcPr>
          <w:p w14:paraId="5B6D662F" w14:textId="77777777" w:rsidR="0052585B" w:rsidRDefault="00000000">
            <w:r>
              <w:rPr>
                <w:color w:val="000000"/>
                <w:sz w:val="19"/>
                <w:szCs w:val="19"/>
              </w:rPr>
              <w:t>pandas data quality audit and exploratory analysis</w:t>
            </w:r>
          </w:p>
        </w:tc>
        <w:tc>
          <w:tcPr>
            <w:tcW w:w="4000" w:type="dxa"/>
            <w:tcMar>
              <w:top w:w="70" w:type="dxa"/>
              <w:left w:w="100" w:type="dxa"/>
              <w:bottom w:w="70" w:type="dxa"/>
              <w:right w:w="100" w:type="dxa"/>
            </w:tcMar>
          </w:tcPr>
          <w:p w14:paraId="0EF60F8A" w14:textId="77777777" w:rsidR="0052585B" w:rsidRDefault="00000000">
            <w:r>
              <w:rPr>
                <w:color w:val="000000"/>
                <w:sz w:val="19"/>
                <w:szCs w:val="19"/>
              </w:rPr>
              <w:t>119,390 raw rows reduced to 87,221 after removing duplicates, invalid records and outliers; overall cancellation rate 27.53%</w:t>
            </w:r>
          </w:p>
        </w:tc>
      </w:tr>
      <w:tr w:rsidR="0052585B" w14:paraId="631585E5" w14:textId="77777777">
        <w:tblPrEx>
          <w:tblCellMar>
            <w:top w:w="0" w:type="dxa"/>
            <w:bottom w:w="0" w:type="dxa"/>
          </w:tblCellMar>
        </w:tblPrEx>
        <w:tc>
          <w:tcPr>
            <w:tcW w:w="1700" w:type="dxa"/>
            <w:tcMar>
              <w:top w:w="70" w:type="dxa"/>
              <w:left w:w="100" w:type="dxa"/>
              <w:bottom w:w="70" w:type="dxa"/>
              <w:right w:w="100" w:type="dxa"/>
            </w:tcMar>
          </w:tcPr>
          <w:p w14:paraId="04EF0AD6" w14:textId="77777777" w:rsidR="0052585B" w:rsidRDefault="00000000">
            <w:r>
              <w:rPr>
                <w:color w:val="000000"/>
                <w:sz w:val="19"/>
                <w:szCs w:val="19"/>
              </w:rPr>
              <w:t>Forecasting</w:t>
            </w:r>
          </w:p>
        </w:tc>
        <w:tc>
          <w:tcPr>
            <w:tcW w:w="3300" w:type="dxa"/>
            <w:tcMar>
              <w:top w:w="70" w:type="dxa"/>
              <w:left w:w="100" w:type="dxa"/>
              <w:bottom w:w="70" w:type="dxa"/>
              <w:right w:w="100" w:type="dxa"/>
            </w:tcMar>
          </w:tcPr>
          <w:p w14:paraId="617F77A0" w14:textId="77777777" w:rsidR="0052585B" w:rsidRDefault="00000000">
            <w:r>
              <w:rPr>
                <w:color w:val="000000"/>
                <w:sz w:val="19"/>
                <w:szCs w:val="19"/>
              </w:rPr>
              <w:t>SARIMAX with Fourier annual terms vs. Holt-Winters and seasonal-naive baselines</w:t>
            </w:r>
          </w:p>
        </w:tc>
        <w:tc>
          <w:tcPr>
            <w:tcW w:w="4000" w:type="dxa"/>
            <w:tcMar>
              <w:top w:w="70" w:type="dxa"/>
              <w:left w:w="100" w:type="dxa"/>
              <w:bottom w:w="70" w:type="dxa"/>
              <w:right w:w="100" w:type="dxa"/>
            </w:tcMar>
          </w:tcPr>
          <w:p w14:paraId="721D24B1" w14:textId="77777777" w:rsidR="0052585B" w:rsidRDefault="00000000">
            <w:r>
              <w:rPr>
                <w:color w:val="000000"/>
                <w:sz w:val="19"/>
                <w:szCs w:val="19"/>
              </w:rPr>
              <w:t>Tuned SARIMAX best on rolling-origin validation (MAE 13.30); all models beat the naive baseline</w:t>
            </w:r>
          </w:p>
        </w:tc>
      </w:tr>
      <w:tr w:rsidR="0052585B" w14:paraId="3FF9FE8A" w14:textId="77777777">
        <w:tblPrEx>
          <w:tblCellMar>
            <w:top w:w="0" w:type="dxa"/>
            <w:bottom w:w="0" w:type="dxa"/>
          </w:tblCellMar>
        </w:tblPrEx>
        <w:tc>
          <w:tcPr>
            <w:tcW w:w="1700" w:type="dxa"/>
            <w:tcMar>
              <w:top w:w="70" w:type="dxa"/>
              <w:left w:w="100" w:type="dxa"/>
              <w:bottom w:w="70" w:type="dxa"/>
              <w:right w:w="100" w:type="dxa"/>
            </w:tcMar>
          </w:tcPr>
          <w:p w14:paraId="4BBE9C19" w14:textId="77777777" w:rsidR="0052585B" w:rsidRDefault="00000000">
            <w:r>
              <w:rPr>
                <w:color w:val="000000"/>
                <w:sz w:val="19"/>
                <w:szCs w:val="19"/>
              </w:rPr>
              <w:t>Segmentation</w:t>
            </w:r>
          </w:p>
        </w:tc>
        <w:tc>
          <w:tcPr>
            <w:tcW w:w="3300" w:type="dxa"/>
            <w:tcMar>
              <w:top w:w="70" w:type="dxa"/>
              <w:left w:w="100" w:type="dxa"/>
              <w:bottom w:w="70" w:type="dxa"/>
              <w:right w:w="100" w:type="dxa"/>
            </w:tcMar>
          </w:tcPr>
          <w:p w14:paraId="6A775939" w14:textId="77777777" w:rsidR="0052585B" w:rsidRDefault="00000000">
            <w:r>
              <w:rPr>
                <w:color w:val="000000"/>
                <w:sz w:val="19"/>
                <w:szCs w:val="19"/>
              </w:rPr>
              <w:t>K-means (validated by Ward hierarchical clustering) on 10 engineered booking features</w:t>
            </w:r>
          </w:p>
        </w:tc>
        <w:tc>
          <w:tcPr>
            <w:tcW w:w="4000" w:type="dxa"/>
            <w:tcMar>
              <w:top w:w="70" w:type="dxa"/>
              <w:left w:w="100" w:type="dxa"/>
              <w:bottom w:w="70" w:type="dxa"/>
              <w:right w:w="100" w:type="dxa"/>
            </w:tcMar>
          </w:tcPr>
          <w:p w14:paraId="7FA6E05B" w14:textId="77777777" w:rsidR="0052585B" w:rsidRDefault="00000000">
            <w:r>
              <w:rPr>
                <w:color w:val="000000"/>
                <w:sz w:val="19"/>
                <w:szCs w:val="19"/>
              </w:rPr>
              <w:t>3 segments: Families (10.4%, highest ADR and cancellation), Mainstream Leisure (85.8%), Loyal Short-Stay Regulars (3.8%, lowest cancellation)</w:t>
            </w:r>
          </w:p>
        </w:tc>
      </w:tr>
      <w:tr w:rsidR="0052585B" w14:paraId="2311ACE5" w14:textId="77777777">
        <w:tblPrEx>
          <w:tblCellMar>
            <w:top w:w="0" w:type="dxa"/>
            <w:bottom w:w="0" w:type="dxa"/>
          </w:tblCellMar>
        </w:tblPrEx>
        <w:tc>
          <w:tcPr>
            <w:tcW w:w="1700" w:type="dxa"/>
            <w:tcMar>
              <w:top w:w="70" w:type="dxa"/>
              <w:left w:w="100" w:type="dxa"/>
              <w:bottom w:w="70" w:type="dxa"/>
              <w:right w:w="100" w:type="dxa"/>
            </w:tcMar>
          </w:tcPr>
          <w:p w14:paraId="74A6DB28" w14:textId="77777777" w:rsidR="0052585B" w:rsidRDefault="00000000">
            <w:r>
              <w:rPr>
                <w:color w:val="000000"/>
                <w:sz w:val="19"/>
                <w:szCs w:val="19"/>
              </w:rPr>
              <w:t>Sentiment analysis</w:t>
            </w:r>
          </w:p>
        </w:tc>
        <w:tc>
          <w:tcPr>
            <w:tcW w:w="3300" w:type="dxa"/>
            <w:tcMar>
              <w:top w:w="70" w:type="dxa"/>
              <w:left w:w="100" w:type="dxa"/>
              <w:bottom w:w="70" w:type="dxa"/>
              <w:right w:w="100" w:type="dxa"/>
            </w:tcMar>
          </w:tcPr>
          <w:p w14:paraId="4032845E" w14:textId="77777777" w:rsidR="0052585B" w:rsidRDefault="00000000">
            <w:r>
              <w:rPr>
                <w:color w:val="000000"/>
                <w:sz w:val="19"/>
                <w:szCs w:val="19"/>
              </w:rPr>
              <w:t>VADER, TextBlob, clause-level scoring, aspect-based sentiment, TF-IDF + logistic regression</w:t>
            </w:r>
          </w:p>
        </w:tc>
        <w:tc>
          <w:tcPr>
            <w:tcW w:w="4000" w:type="dxa"/>
            <w:tcMar>
              <w:top w:w="70" w:type="dxa"/>
              <w:left w:w="100" w:type="dxa"/>
              <w:bottom w:w="70" w:type="dxa"/>
              <w:right w:w="100" w:type="dxa"/>
            </w:tcMar>
          </w:tcPr>
          <w:p w14:paraId="6D0CE748" w14:textId="77777777" w:rsidR="0052585B" w:rsidRDefault="00000000">
            <w:r>
              <w:rPr>
                <w:color w:val="000000"/>
                <w:sz w:val="19"/>
                <w:szCs w:val="19"/>
              </w:rPr>
              <w:t>Supervised model (macro-F1 0.712) far outperforms default lexicon tools (macro-F1 0.478); staff and cleanliness are strengths, room condition and noise are weak points</w:t>
            </w:r>
          </w:p>
        </w:tc>
      </w:tr>
      <w:tr w:rsidR="0052585B" w14:paraId="74E0B241" w14:textId="77777777">
        <w:tblPrEx>
          <w:tblCellMar>
            <w:top w:w="0" w:type="dxa"/>
            <w:bottom w:w="0" w:type="dxa"/>
          </w:tblCellMar>
        </w:tblPrEx>
        <w:tc>
          <w:tcPr>
            <w:tcW w:w="1700" w:type="dxa"/>
            <w:tcMar>
              <w:top w:w="70" w:type="dxa"/>
              <w:left w:w="100" w:type="dxa"/>
              <w:bottom w:w="70" w:type="dxa"/>
              <w:right w:w="100" w:type="dxa"/>
            </w:tcMar>
          </w:tcPr>
          <w:p w14:paraId="78228ADB" w14:textId="77777777" w:rsidR="0052585B" w:rsidRDefault="00000000">
            <w:r>
              <w:rPr>
                <w:color w:val="000000"/>
                <w:sz w:val="19"/>
                <w:szCs w:val="19"/>
              </w:rPr>
              <w:t>Revenue management</w:t>
            </w:r>
          </w:p>
        </w:tc>
        <w:tc>
          <w:tcPr>
            <w:tcW w:w="3300" w:type="dxa"/>
            <w:tcMar>
              <w:top w:w="70" w:type="dxa"/>
              <w:left w:w="100" w:type="dxa"/>
              <w:bottom w:w="70" w:type="dxa"/>
              <w:right w:w="100" w:type="dxa"/>
            </w:tcMar>
          </w:tcPr>
          <w:p w14:paraId="6035E034" w14:textId="77777777" w:rsidR="0052585B" w:rsidRDefault="00000000">
            <w:r>
              <w:rPr>
                <w:color w:val="000000"/>
                <w:sz w:val="19"/>
                <w:szCs w:val="19"/>
              </w:rPr>
              <w:t>Hedonic OLS pricing model; price-demand elasticity estimation; RevPAR optimisation scenarios</w:t>
            </w:r>
          </w:p>
        </w:tc>
        <w:tc>
          <w:tcPr>
            <w:tcW w:w="4000" w:type="dxa"/>
            <w:tcMar>
              <w:top w:w="70" w:type="dxa"/>
              <w:left w:w="100" w:type="dxa"/>
              <w:bottom w:w="70" w:type="dxa"/>
              <w:right w:w="100" w:type="dxa"/>
            </w:tcMar>
          </w:tcPr>
          <w:p w14:paraId="0DE7136B" w14:textId="77777777" w:rsidR="0052585B" w:rsidRDefault="00000000">
            <w:r>
              <w:rPr>
                <w:color w:val="000000"/>
                <w:sz w:val="19"/>
                <w:szCs w:val="19"/>
              </w:rPr>
              <w:t>Month effects up to +63% ADR (Aug vs. Jan); naive elasticity regression gives an implausible positive coefficient, correctly diagnosed as reverse causality rather than used for pricing</w:t>
            </w:r>
          </w:p>
        </w:tc>
      </w:tr>
    </w:tbl>
    <w:p w14:paraId="6B236544" w14:textId="77777777" w:rsidR="0052585B" w:rsidRDefault="0052585B">
      <w:pPr>
        <w:spacing w:after="60"/>
      </w:pPr>
    </w:p>
    <w:p w14:paraId="47F0D312" w14:textId="77777777" w:rsidR="0052585B" w:rsidRDefault="00000000">
      <w:pPr>
        <w:spacing w:after="160"/>
      </w:pPr>
      <w:r>
        <w:t>Beyond the five modules individually, Section 9 shows they agree with and reinforce each other in ways that were not built in by design: the Families segment identified by clustering (Module 3) turns out to be concentrated almost entirely in the same summer peak that the time series model forecasts (Module 2) and that the pricing model prices at a premium (Module 5), and its cancellation rate matches, almost exactly, the cancellation rate of the top ADR quintile found independently in the revenue analysis. This kind of cross-validation across independently built models is, in itself, evidence that the underlying patterns are real rather than artefacts of any one method.</w:t>
      </w:r>
    </w:p>
    <w:p w14:paraId="7CDE2CA2" w14:textId="77777777" w:rsidR="0052585B" w:rsidRDefault="00000000">
      <w:pPr>
        <w:pStyle w:val="Heading1"/>
        <w:spacing w:before="300" w:after="150"/>
      </w:pPr>
      <w:r>
        <w:t>2. Introduction and Project Scope</w:t>
      </w:r>
    </w:p>
    <w:p w14:paraId="72632D8C" w14:textId="77777777" w:rsidR="0052585B" w:rsidRDefault="00000000">
      <w:pPr>
        <w:spacing w:after="160"/>
      </w:pPr>
      <w:r>
        <w:t>The hospitality industry generates rich behavioural, textual and transactional data: every booking records who is staying, when, for how long and at what price, and every review records how the stay felt. Used well, this data can inform five connected business questions, which this report addresses as five modules: how much demand should we expect (forecasting), which guests are we actually serving (segmentation), how satisfied are they and why (sentiment analysis), what should we charge (revenue management), and what does the raw data actually look like before any of this is possible (cleaning and EDA, the foundation for everything else).</w:t>
      </w:r>
    </w:p>
    <w:p w14:paraId="61D746DF" w14:textId="77777777" w:rsidR="0052585B" w:rsidRDefault="00000000">
      <w:pPr>
        <w:spacing w:after="160"/>
      </w:pPr>
      <w:r>
        <w:t>Scope: this report integrates the four independently developed analyses from Weeks 2-5 (forecasting, segmentation, sentiment, revenue) on top of the Week 1 cleaned dataset, and adds a new synthesis chapter (Section 9) that was not part of any individual week: it deliberately looks for agreement and disagreement between the modules' independent findings, since methodological guidance for this task specifically calls for merging insights rather than presenting them side by side.</w:t>
      </w:r>
    </w:p>
    <w:p w14:paraId="1AC6D253" w14:textId="77777777" w:rsidR="0052585B" w:rsidRDefault="00000000">
      <w:pPr>
        <w:pStyle w:val="Heading1"/>
        <w:spacing w:before="300" w:after="150"/>
      </w:pPr>
      <w:r>
        <w:t>3. Data and Methodology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400"/>
        <w:gridCol w:w="2200"/>
      </w:tblGrid>
      <w:tr w:rsidR="0052585B" w14:paraId="44996588" w14:textId="77777777">
        <w:tblPrEx>
          <w:tblCellMar>
            <w:top w:w="0" w:type="dxa"/>
            <w:bottom w:w="0" w:type="dxa"/>
          </w:tblCellMar>
        </w:tblPrEx>
        <w:tc>
          <w:tcPr>
            <w:tcW w:w="2600" w:type="dxa"/>
            <w:shd w:val="clear" w:color="auto" w:fill="1F3864"/>
            <w:tcMar>
              <w:top w:w="70" w:type="dxa"/>
              <w:left w:w="100" w:type="dxa"/>
              <w:bottom w:w="70" w:type="dxa"/>
              <w:right w:w="100" w:type="dxa"/>
            </w:tcMar>
          </w:tcPr>
          <w:p w14:paraId="587F708D" w14:textId="77777777" w:rsidR="0052585B" w:rsidRDefault="00000000">
            <w:r>
              <w:rPr>
                <w:b/>
                <w:bCs/>
                <w:color w:val="FFFFFF"/>
                <w:sz w:val="19"/>
                <w:szCs w:val="19"/>
              </w:rPr>
              <w:lastRenderedPageBreak/>
              <w:t>Dataset</w:t>
            </w:r>
          </w:p>
        </w:tc>
        <w:tc>
          <w:tcPr>
            <w:tcW w:w="1800" w:type="dxa"/>
            <w:shd w:val="clear" w:color="auto" w:fill="1F3864"/>
            <w:tcMar>
              <w:top w:w="70" w:type="dxa"/>
              <w:left w:w="100" w:type="dxa"/>
              <w:bottom w:w="70" w:type="dxa"/>
              <w:right w:w="100" w:type="dxa"/>
            </w:tcMar>
          </w:tcPr>
          <w:p w14:paraId="2C0DA61E" w14:textId="77777777" w:rsidR="0052585B" w:rsidRDefault="00000000">
            <w:r>
              <w:rPr>
                <w:b/>
                <w:bCs/>
                <w:color w:val="FFFFFF"/>
                <w:sz w:val="19"/>
                <w:szCs w:val="19"/>
              </w:rPr>
              <w:t>Used in</w:t>
            </w:r>
          </w:p>
        </w:tc>
        <w:tc>
          <w:tcPr>
            <w:tcW w:w="2400" w:type="dxa"/>
            <w:shd w:val="clear" w:color="auto" w:fill="1F3864"/>
            <w:tcMar>
              <w:top w:w="70" w:type="dxa"/>
              <w:left w:w="100" w:type="dxa"/>
              <w:bottom w:w="70" w:type="dxa"/>
              <w:right w:w="100" w:type="dxa"/>
            </w:tcMar>
          </w:tcPr>
          <w:p w14:paraId="22AA9F06" w14:textId="77777777" w:rsidR="0052585B" w:rsidRDefault="00000000">
            <w:r>
              <w:rPr>
                <w:b/>
                <w:bCs/>
                <w:color w:val="FFFFFF"/>
                <w:sz w:val="19"/>
                <w:szCs w:val="19"/>
              </w:rPr>
              <w:t>Size</w:t>
            </w:r>
          </w:p>
        </w:tc>
        <w:tc>
          <w:tcPr>
            <w:tcW w:w="2200" w:type="dxa"/>
            <w:shd w:val="clear" w:color="auto" w:fill="1F3864"/>
            <w:tcMar>
              <w:top w:w="70" w:type="dxa"/>
              <w:left w:w="100" w:type="dxa"/>
              <w:bottom w:w="70" w:type="dxa"/>
              <w:right w:w="100" w:type="dxa"/>
            </w:tcMar>
          </w:tcPr>
          <w:p w14:paraId="06A35FA8" w14:textId="77777777" w:rsidR="0052585B" w:rsidRDefault="00000000">
            <w:r>
              <w:rPr>
                <w:b/>
                <w:bCs/>
                <w:color w:val="FFFFFF"/>
                <w:sz w:val="19"/>
                <w:szCs w:val="19"/>
              </w:rPr>
              <w:t>Source</w:t>
            </w:r>
          </w:p>
        </w:tc>
      </w:tr>
      <w:tr w:rsidR="0052585B" w14:paraId="4B959AFB" w14:textId="77777777">
        <w:tblPrEx>
          <w:tblCellMar>
            <w:top w:w="0" w:type="dxa"/>
            <w:bottom w:w="0" w:type="dxa"/>
          </w:tblCellMar>
        </w:tblPrEx>
        <w:tc>
          <w:tcPr>
            <w:tcW w:w="2600" w:type="dxa"/>
            <w:tcMar>
              <w:top w:w="70" w:type="dxa"/>
              <w:left w:w="100" w:type="dxa"/>
              <w:bottom w:w="70" w:type="dxa"/>
              <w:right w:w="100" w:type="dxa"/>
            </w:tcMar>
          </w:tcPr>
          <w:p w14:paraId="4BD8E068" w14:textId="77777777" w:rsidR="0052585B" w:rsidRDefault="00000000">
            <w:r>
              <w:rPr>
                <w:color w:val="000000"/>
                <w:sz w:val="19"/>
                <w:szCs w:val="19"/>
              </w:rPr>
              <w:t>Hotel Booking Demand</w:t>
            </w:r>
          </w:p>
        </w:tc>
        <w:tc>
          <w:tcPr>
            <w:tcW w:w="1800" w:type="dxa"/>
            <w:tcMar>
              <w:top w:w="70" w:type="dxa"/>
              <w:left w:w="100" w:type="dxa"/>
              <w:bottom w:w="70" w:type="dxa"/>
              <w:right w:w="100" w:type="dxa"/>
            </w:tcMar>
          </w:tcPr>
          <w:p w14:paraId="5A25D2FE" w14:textId="77777777" w:rsidR="0052585B" w:rsidRDefault="00000000">
            <w:r>
              <w:rPr>
                <w:color w:val="000000"/>
                <w:sz w:val="19"/>
                <w:szCs w:val="19"/>
              </w:rPr>
              <w:t>Modules 1, 2, 3, 5</w:t>
            </w:r>
          </w:p>
        </w:tc>
        <w:tc>
          <w:tcPr>
            <w:tcW w:w="2400" w:type="dxa"/>
            <w:tcMar>
              <w:top w:w="70" w:type="dxa"/>
              <w:left w:w="100" w:type="dxa"/>
              <w:bottom w:w="70" w:type="dxa"/>
              <w:right w:w="100" w:type="dxa"/>
            </w:tcMar>
          </w:tcPr>
          <w:p w14:paraId="781C329C" w14:textId="77777777" w:rsidR="0052585B" w:rsidRDefault="00000000">
            <w:r>
              <w:rPr>
                <w:color w:val="000000"/>
                <w:sz w:val="19"/>
                <w:szCs w:val="19"/>
              </w:rPr>
              <w:t>119,390 bookings (87,221 after cleaning)</w:t>
            </w:r>
          </w:p>
        </w:tc>
        <w:tc>
          <w:tcPr>
            <w:tcW w:w="2200" w:type="dxa"/>
            <w:tcMar>
              <w:top w:w="70" w:type="dxa"/>
              <w:left w:w="100" w:type="dxa"/>
              <w:bottom w:w="70" w:type="dxa"/>
              <w:right w:w="100" w:type="dxa"/>
            </w:tcMar>
          </w:tcPr>
          <w:p w14:paraId="6CCE90CB" w14:textId="77777777" w:rsidR="0052585B" w:rsidRDefault="00000000">
            <w:r>
              <w:rPr>
                <w:color w:val="000000"/>
                <w:sz w:val="19"/>
                <w:szCs w:val="19"/>
              </w:rPr>
              <w:t>Antonio, Almeida &amp; Nunes (2019), via TidyTuesday</w:t>
            </w:r>
          </w:p>
        </w:tc>
      </w:tr>
      <w:tr w:rsidR="0052585B" w14:paraId="56094181" w14:textId="77777777">
        <w:tblPrEx>
          <w:tblCellMar>
            <w:top w:w="0" w:type="dxa"/>
            <w:bottom w:w="0" w:type="dxa"/>
          </w:tblCellMar>
        </w:tblPrEx>
        <w:tc>
          <w:tcPr>
            <w:tcW w:w="2600" w:type="dxa"/>
            <w:tcMar>
              <w:top w:w="70" w:type="dxa"/>
              <w:left w:w="100" w:type="dxa"/>
              <w:bottom w:w="70" w:type="dxa"/>
              <w:right w:w="100" w:type="dxa"/>
            </w:tcMar>
          </w:tcPr>
          <w:p w14:paraId="456763ED" w14:textId="77777777" w:rsidR="0052585B" w:rsidRDefault="00000000">
            <w:r>
              <w:rPr>
                <w:color w:val="000000"/>
                <w:sz w:val="19"/>
                <w:szCs w:val="19"/>
              </w:rPr>
              <w:t>TripAdvisor Hotel Reviews</w:t>
            </w:r>
          </w:p>
        </w:tc>
        <w:tc>
          <w:tcPr>
            <w:tcW w:w="1800" w:type="dxa"/>
            <w:tcMar>
              <w:top w:w="70" w:type="dxa"/>
              <w:left w:w="100" w:type="dxa"/>
              <w:bottom w:w="70" w:type="dxa"/>
              <w:right w:w="100" w:type="dxa"/>
            </w:tcMar>
          </w:tcPr>
          <w:p w14:paraId="2A7165A6" w14:textId="77777777" w:rsidR="0052585B" w:rsidRDefault="00000000">
            <w:r>
              <w:rPr>
                <w:color w:val="000000"/>
                <w:sz w:val="19"/>
                <w:szCs w:val="19"/>
              </w:rPr>
              <w:t>Module 4</w:t>
            </w:r>
          </w:p>
        </w:tc>
        <w:tc>
          <w:tcPr>
            <w:tcW w:w="2400" w:type="dxa"/>
            <w:tcMar>
              <w:top w:w="70" w:type="dxa"/>
              <w:left w:w="100" w:type="dxa"/>
              <w:bottom w:w="70" w:type="dxa"/>
              <w:right w:w="100" w:type="dxa"/>
            </w:tcMar>
          </w:tcPr>
          <w:p w14:paraId="5B555005" w14:textId="77777777" w:rsidR="0052585B" w:rsidRDefault="00000000">
            <w:r>
              <w:rPr>
                <w:color w:val="000000"/>
                <w:sz w:val="19"/>
                <w:szCs w:val="19"/>
              </w:rPr>
              <w:t>20,491 reviews</w:t>
            </w:r>
          </w:p>
        </w:tc>
        <w:tc>
          <w:tcPr>
            <w:tcW w:w="2200" w:type="dxa"/>
            <w:tcMar>
              <w:top w:w="70" w:type="dxa"/>
              <w:left w:w="100" w:type="dxa"/>
              <w:bottom w:w="70" w:type="dxa"/>
              <w:right w:w="100" w:type="dxa"/>
            </w:tcMar>
          </w:tcPr>
          <w:p w14:paraId="72EBAAED" w14:textId="77777777" w:rsidR="0052585B" w:rsidRDefault="00000000">
            <w:r>
              <w:rPr>
                <w:color w:val="000000"/>
                <w:sz w:val="19"/>
                <w:szCs w:val="19"/>
              </w:rPr>
              <w:t>Public TripAdvisor review corpus</w:t>
            </w:r>
          </w:p>
        </w:tc>
      </w:tr>
    </w:tbl>
    <w:p w14:paraId="3C22D1FF" w14:textId="77777777" w:rsidR="0052585B" w:rsidRDefault="0052585B">
      <w:pPr>
        <w:spacing w:after="60"/>
      </w:pPr>
    </w:p>
    <w:p w14:paraId="1EDEFF34" w14:textId="77777777" w:rsidR="0052585B" w:rsidRDefault="00000000">
      <w:pPr>
        <w:spacing w:after="160"/>
      </w:pPr>
      <w:r>
        <w:t>The two datasets are not linked by a common guest or hotel identifier, so Module 4's findings describe hospitality sentiment in general rather than the same two hotels analysed elsewhere; this is stated explicitly wherever the modules are connected in Section 9.</w:t>
      </w:r>
    </w:p>
    <w:p w14:paraId="6BF12004" w14:textId="77777777" w:rsidR="0052585B" w:rsidRDefault="00000000">
      <w:pPr>
        <w:pStyle w:val="Heading2"/>
        <w:spacing w:before="240" w:after="120"/>
      </w:pPr>
      <w:r>
        <w:t>3.1 Common tooling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2585B" w14:paraId="0110AECA" w14:textId="77777777">
        <w:tblPrEx>
          <w:tblCellMar>
            <w:top w:w="0" w:type="dxa"/>
            <w:bottom w:w="0" w:type="dxa"/>
          </w:tblCellMar>
        </w:tblPrEx>
        <w:tc>
          <w:tcPr>
            <w:tcW w:w="2600" w:type="dxa"/>
            <w:shd w:val="clear" w:color="auto" w:fill="1F3864"/>
            <w:tcMar>
              <w:top w:w="70" w:type="dxa"/>
              <w:left w:w="100" w:type="dxa"/>
              <w:bottom w:w="70" w:type="dxa"/>
              <w:right w:w="100" w:type="dxa"/>
            </w:tcMar>
          </w:tcPr>
          <w:p w14:paraId="1C662727" w14:textId="77777777" w:rsidR="0052585B" w:rsidRDefault="00000000">
            <w:r>
              <w:rPr>
                <w:b/>
                <w:bCs/>
                <w:color w:val="FFFFFF"/>
                <w:sz w:val="19"/>
                <w:szCs w:val="19"/>
              </w:rPr>
              <w:t>Layer</w:t>
            </w:r>
          </w:p>
        </w:tc>
        <w:tc>
          <w:tcPr>
            <w:tcW w:w="6400" w:type="dxa"/>
            <w:shd w:val="clear" w:color="auto" w:fill="1F3864"/>
            <w:tcMar>
              <w:top w:w="70" w:type="dxa"/>
              <w:left w:w="100" w:type="dxa"/>
              <w:bottom w:w="70" w:type="dxa"/>
              <w:right w:w="100" w:type="dxa"/>
            </w:tcMar>
          </w:tcPr>
          <w:p w14:paraId="15F8B3A6" w14:textId="77777777" w:rsidR="0052585B" w:rsidRDefault="00000000">
            <w:r>
              <w:rPr>
                <w:b/>
                <w:bCs/>
                <w:color w:val="FFFFFF"/>
                <w:sz w:val="19"/>
                <w:szCs w:val="19"/>
              </w:rPr>
              <w:t>Libraries</w:t>
            </w:r>
          </w:p>
        </w:tc>
      </w:tr>
      <w:tr w:rsidR="0052585B" w14:paraId="37DC332F" w14:textId="77777777">
        <w:tblPrEx>
          <w:tblCellMar>
            <w:top w:w="0" w:type="dxa"/>
            <w:bottom w:w="0" w:type="dxa"/>
          </w:tblCellMar>
        </w:tblPrEx>
        <w:tc>
          <w:tcPr>
            <w:tcW w:w="2600" w:type="dxa"/>
            <w:tcMar>
              <w:top w:w="70" w:type="dxa"/>
              <w:left w:w="100" w:type="dxa"/>
              <w:bottom w:w="70" w:type="dxa"/>
              <w:right w:w="100" w:type="dxa"/>
            </w:tcMar>
          </w:tcPr>
          <w:p w14:paraId="780E39CC" w14:textId="77777777" w:rsidR="0052585B" w:rsidRDefault="00000000">
            <w:r>
              <w:rPr>
                <w:color w:val="000000"/>
                <w:sz w:val="19"/>
                <w:szCs w:val="19"/>
              </w:rPr>
              <w:t>Data handling</w:t>
            </w:r>
          </w:p>
        </w:tc>
        <w:tc>
          <w:tcPr>
            <w:tcW w:w="6400" w:type="dxa"/>
            <w:tcMar>
              <w:top w:w="70" w:type="dxa"/>
              <w:left w:w="100" w:type="dxa"/>
              <w:bottom w:w="70" w:type="dxa"/>
              <w:right w:w="100" w:type="dxa"/>
            </w:tcMar>
          </w:tcPr>
          <w:p w14:paraId="54CC2CB6" w14:textId="77777777" w:rsidR="0052585B" w:rsidRDefault="00000000">
            <w:r>
              <w:rPr>
                <w:color w:val="000000"/>
                <w:sz w:val="19"/>
                <w:szCs w:val="19"/>
              </w:rPr>
              <w:t>pandas, NumPy</w:t>
            </w:r>
          </w:p>
        </w:tc>
      </w:tr>
      <w:tr w:rsidR="0052585B" w14:paraId="68A94E3E" w14:textId="77777777">
        <w:tblPrEx>
          <w:tblCellMar>
            <w:top w:w="0" w:type="dxa"/>
            <w:bottom w:w="0" w:type="dxa"/>
          </w:tblCellMar>
        </w:tblPrEx>
        <w:tc>
          <w:tcPr>
            <w:tcW w:w="2600" w:type="dxa"/>
            <w:tcMar>
              <w:top w:w="70" w:type="dxa"/>
              <w:left w:w="100" w:type="dxa"/>
              <w:bottom w:w="70" w:type="dxa"/>
              <w:right w:w="100" w:type="dxa"/>
            </w:tcMar>
          </w:tcPr>
          <w:p w14:paraId="15A46F96" w14:textId="77777777" w:rsidR="0052585B" w:rsidRDefault="00000000">
            <w:r>
              <w:rPr>
                <w:color w:val="000000"/>
                <w:sz w:val="19"/>
                <w:szCs w:val="19"/>
              </w:rPr>
              <w:t>Statistics and modelling</w:t>
            </w:r>
          </w:p>
        </w:tc>
        <w:tc>
          <w:tcPr>
            <w:tcW w:w="6400" w:type="dxa"/>
            <w:tcMar>
              <w:top w:w="70" w:type="dxa"/>
              <w:left w:w="100" w:type="dxa"/>
              <w:bottom w:w="70" w:type="dxa"/>
              <w:right w:w="100" w:type="dxa"/>
            </w:tcMar>
          </w:tcPr>
          <w:p w14:paraId="60599B57" w14:textId="77777777" w:rsidR="0052585B" w:rsidRDefault="00000000">
            <w:r>
              <w:rPr>
                <w:color w:val="000000"/>
                <w:sz w:val="19"/>
                <w:szCs w:val="19"/>
              </w:rPr>
              <w:t>statsmodels (OLS, SARIMAX), scikit-learn (K-means, TF-IDF, logistic regression, PCA)</w:t>
            </w:r>
          </w:p>
        </w:tc>
      </w:tr>
      <w:tr w:rsidR="0052585B" w14:paraId="4472830E" w14:textId="77777777">
        <w:tblPrEx>
          <w:tblCellMar>
            <w:top w:w="0" w:type="dxa"/>
            <w:bottom w:w="0" w:type="dxa"/>
          </w:tblCellMar>
        </w:tblPrEx>
        <w:tc>
          <w:tcPr>
            <w:tcW w:w="2600" w:type="dxa"/>
            <w:tcMar>
              <w:top w:w="70" w:type="dxa"/>
              <w:left w:w="100" w:type="dxa"/>
              <w:bottom w:w="70" w:type="dxa"/>
              <w:right w:w="100" w:type="dxa"/>
            </w:tcMar>
          </w:tcPr>
          <w:p w14:paraId="422B811B" w14:textId="77777777" w:rsidR="0052585B" w:rsidRDefault="00000000">
            <w:r>
              <w:rPr>
                <w:color w:val="000000"/>
                <w:sz w:val="19"/>
                <w:szCs w:val="19"/>
              </w:rPr>
              <w:t>NLP</w:t>
            </w:r>
          </w:p>
        </w:tc>
        <w:tc>
          <w:tcPr>
            <w:tcW w:w="6400" w:type="dxa"/>
            <w:tcMar>
              <w:top w:w="70" w:type="dxa"/>
              <w:left w:w="100" w:type="dxa"/>
              <w:bottom w:w="70" w:type="dxa"/>
              <w:right w:w="100" w:type="dxa"/>
            </w:tcMar>
          </w:tcPr>
          <w:p w14:paraId="1A04C7D2" w14:textId="77777777" w:rsidR="0052585B" w:rsidRDefault="00000000">
            <w:r>
              <w:rPr>
                <w:color w:val="000000"/>
                <w:sz w:val="19"/>
                <w:szCs w:val="19"/>
              </w:rPr>
              <w:t>NLTK (tokenising, POS tagging, lemmatising, VADER), TextBlob, WordCloud</w:t>
            </w:r>
          </w:p>
        </w:tc>
      </w:tr>
      <w:tr w:rsidR="0052585B" w14:paraId="49A20EC2" w14:textId="77777777">
        <w:tblPrEx>
          <w:tblCellMar>
            <w:top w:w="0" w:type="dxa"/>
            <w:bottom w:w="0" w:type="dxa"/>
          </w:tblCellMar>
        </w:tblPrEx>
        <w:tc>
          <w:tcPr>
            <w:tcW w:w="2600" w:type="dxa"/>
            <w:tcMar>
              <w:top w:w="70" w:type="dxa"/>
              <w:left w:w="100" w:type="dxa"/>
              <w:bottom w:w="70" w:type="dxa"/>
              <w:right w:w="100" w:type="dxa"/>
            </w:tcMar>
          </w:tcPr>
          <w:p w14:paraId="781A79AA" w14:textId="77777777" w:rsidR="0052585B" w:rsidRDefault="00000000">
            <w:r>
              <w:rPr>
                <w:color w:val="000000"/>
                <w:sz w:val="19"/>
                <w:szCs w:val="19"/>
              </w:rPr>
              <w:t>Visualisation</w:t>
            </w:r>
          </w:p>
        </w:tc>
        <w:tc>
          <w:tcPr>
            <w:tcW w:w="6400" w:type="dxa"/>
            <w:tcMar>
              <w:top w:w="70" w:type="dxa"/>
              <w:left w:w="100" w:type="dxa"/>
              <w:bottom w:w="70" w:type="dxa"/>
              <w:right w:w="100" w:type="dxa"/>
            </w:tcMar>
          </w:tcPr>
          <w:p w14:paraId="2ABA56D6" w14:textId="77777777" w:rsidR="0052585B" w:rsidRDefault="00000000">
            <w:r>
              <w:rPr>
                <w:color w:val="000000"/>
                <w:sz w:val="19"/>
                <w:szCs w:val="19"/>
              </w:rPr>
              <w:t>matplotlib, seaborn</w:t>
            </w:r>
          </w:p>
        </w:tc>
      </w:tr>
      <w:tr w:rsidR="0052585B" w14:paraId="1BEB4AEC" w14:textId="77777777">
        <w:tblPrEx>
          <w:tblCellMar>
            <w:top w:w="0" w:type="dxa"/>
            <w:bottom w:w="0" w:type="dxa"/>
          </w:tblCellMar>
        </w:tblPrEx>
        <w:tc>
          <w:tcPr>
            <w:tcW w:w="2600" w:type="dxa"/>
            <w:tcMar>
              <w:top w:w="70" w:type="dxa"/>
              <w:left w:w="100" w:type="dxa"/>
              <w:bottom w:w="70" w:type="dxa"/>
              <w:right w:w="100" w:type="dxa"/>
            </w:tcMar>
          </w:tcPr>
          <w:p w14:paraId="691CF919" w14:textId="77777777" w:rsidR="0052585B" w:rsidRDefault="00000000">
            <w:r>
              <w:rPr>
                <w:color w:val="000000"/>
                <w:sz w:val="19"/>
                <w:szCs w:val="19"/>
              </w:rPr>
              <w:t>Reporting</w:t>
            </w:r>
          </w:p>
        </w:tc>
        <w:tc>
          <w:tcPr>
            <w:tcW w:w="6400" w:type="dxa"/>
            <w:tcMar>
              <w:top w:w="70" w:type="dxa"/>
              <w:left w:w="100" w:type="dxa"/>
              <w:bottom w:w="70" w:type="dxa"/>
              <w:right w:w="100" w:type="dxa"/>
            </w:tcMar>
          </w:tcPr>
          <w:p w14:paraId="178D1F02" w14:textId="77777777" w:rsidR="0052585B" w:rsidRDefault="00000000">
            <w:r>
              <w:rPr>
                <w:color w:val="000000"/>
                <w:sz w:val="19"/>
                <w:szCs w:val="19"/>
              </w:rPr>
              <w:t>Results and charts assembled into Word (.docx) files programmatically</w:t>
            </w:r>
          </w:p>
        </w:tc>
      </w:tr>
    </w:tbl>
    <w:p w14:paraId="2CA6063E" w14:textId="77777777" w:rsidR="0052585B" w:rsidRDefault="00000000">
      <w:pPr>
        <w:pStyle w:val="Heading2"/>
        <w:spacing w:before="240" w:after="120"/>
      </w:pPr>
      <w:r>
        <w:t>3.2 Overall analytical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2585B" w14:paraId="13CAE37F"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784A4F70" w14:textId="77777777" w:rsidR="0052585B" w:rsidRDefault="00000000">
            <w:r>
              <w:rPr>
                <w:rFonts w:ascii="Courier New" w:eastAsia="Courier New" w:hAnsi="Courier New" w:cs="Courier New"/>
                <w:sz w:val="17"/>
                <w:szCs w:val="17"/>
              </w:rPr>
              <w:t>raw CSV (119,390 bookings)</w:t>
            </w:r>
          </w:p>
          <w:p w14:paraId="55D67080" w14:textId="77777777" w:rsidR="0052585B" w:rsidRDefault="00000000">
            <w:r>
              <w:rPr>
                <w:rFonts w:ascii="Courier New" w:eastAsia="Courier New" w:hAnsi="Courier New" w:cs="Courier New"/>
                <w:sz w:val="17"/>
                <w:szCs w:val="17"/>
              </w:rPr>
              <w:t xml:space="preserve">   -&gt; clean.py         : dedupe, fix invalid rows, remove outliers  -&gt; 87,221 bookings</w:t>
            </w:r>
          </w:p>
          <w:p w14:paraId="1EA6BF3C" w14:textId="77777777" w:rsidR="0052585B" w:rsidRDefault="00000000">
            <w:r>
              <w:rPr>
                <w:rFonts w:ascii="Courier New" w:eastAsia="Courier New" w:hAnsi="Courier New" w:cs="Courier New"/>
                <w:sz w:val="17"/>
                <w:szCs w:val="17"/>
              </w:rPr>
              <w:t xml:space="preserve">   -&gt; eda.py           : summary stats, correlations, charts</w:t>
            </w:r>
          </w:p>
          <w:p w14:paraId="7E032760" w14:textId="77777777" w:rsidR="0052585B" w:rsidRDefault="00000000">
            <w:r>
              <w:rPr>
                <w:rFonts w:ascii="Courier New" w:eastAsia="Courier New" w:hAnsi="Courier New" w:cs="Courier New"/>
                <w:sz w:val="17"/>
                <w:szCs w:val="17"/>
              </w:rPr>
              <w:t xml:space="preserve">   -&gt; forecast.py      : daily arrivals -&gt; SARIMAX / Holt-Winters -&gt; 8-week forecast</w:t>
            </w:r>
          </w:p>
          <w:p w14:paraId="5A0A921F" w14:textId="77777777" w:rsidR="0052585B" w:rsidRDefault="00000000">
            <w:r>
              <w:rPr>
                <w:rFonts w:ascii="Courier New" w:eastAsia="Courier New" w:hAnsi="Courier New" w:cs="Courier New"/>
                <w:sz w:val="17"/>
                <w:szCs w:val="17"/>
              </w:rPr>
              <w:t xml:space="preserve">   -&gt; segment.py       : feature engineering -&gt; K-means -&gt; 3 segments -&gt; drill-down</w:t>
            </w:r>
          </w:p>
          <w:p w14:paraId="6294A007" w14:textId="77777777" w:rsidR="0052585B" w:rsidRDefault="00000000">
            <w:r>
              <w:rPr>
                <w:rFonts w:ascii="Courier New" w:eastAsia="Courier New" w:hAnsi="Courier New" w:cs="Courier New"/>
                <w:sz w:val="17"/>
                <w:szCs w:val="17"/>
              </w:rPr>
              <w:t xml:space="preserve">   -&gt; revenue.py       : daily ADR/occupancy panel -&gt; hedonic OLS -&gt; elasticity -&gt; RevPAR scenarios</w:t>
            </w:r>
          </w:p>
          <w:p w14:paraId="7ACC148A" w14:textId="77777777" w:rsidR="0052585B" w:rsidRDefault="00000000">
            <w:r>
              <w:rPr>
                <w:rFonts w:ascii="Courier New" w:eastAsia="Courier New" w:hAnsi="Courier New" w:cs="Courier New"/>
                <w:sz w:val="17"/>
                <w:szCs w:val="17"/>
              </w:rPr>
              <w:t xml:space="preserve"> </w:t>
            </w:r>
          </w:p>
          <w:p w14:paraId="023CF6D6" w14:textId="77777777" w:rsidR="0052585B" w:rsidRDefault="00000000">
            <w:r>
              <w:rPr>
                <w:rFonts w:ascii="Courier New" w:eastAsia="Courier New" w:hAnsi="Courier New" w:cs="Courier New"/>
                <w:sz w:val="17"/>
                <w:szCs w:val="17"/>
              </w:rPr>
              <w:t>separate CSV (20,491 reviews)</w:t>
            </w:r>
          </w:p>
          <w:p w14:paraId="77D6173A" w14:textId="77777777" w:rsidR="0052585B" w:rsidRDefault="00000000">
            <w:r>
              <w:rPr>
                <w:rFonts w:ascii="Courier New" w:eastAsia="Courier New" w:hAnsi="Courier New" w:cs="Courier New"/>
                <w:sz w:val="17"/>
                <w:szCs w:val="17"/>
              </w:rPr>
              <w:t xml:space="preserve">   -&gt; sentiment.py     : text repair -&gt; preprocessing -&gt; 5 sentiment methods -&gt; aspects/topics</w:t>
            </w:r>
          </w:p>
          <w:p w14:paraId="6B4601B5" w14:textId="77777777" w:rsidR="0052585B" w:rsidRDefault="00000000">
            <w:r>
              <w:rPr>
                <w:rFonts w:ascii="Courier New" w:eastAsia="Courier New" w:hAnsi="Courier New" w:cs="Courier New"/>
                <w:sz w:val="17"/>
                <w:szCs w:val="17"/>
              </w:rPr>
              <w:t xml:space="preserve"> </w:t>
            </w:r>
          </w:p>
          <w:p w14:paraId="77BC7469" w14:textId="77777777" w:rsidR="0052585B" w:rsidRDefault="00000000">
            <w:r>
              <w:rPr>
                <w:rFonts w:ascii="Courier New" w:eastAsia="Courier New" w:hAnsi="Courier New" w:cs="Courier New"/>
                <w:sz w:val="17"/>
                <w:szCs w:val="17"/>
              </w:rPr>
              <w:t>synth.py               : cross-module checks (segment seasonality vs. forecast and price seasonality)</w:t>
            </w:r>
          </w:p>
        </w:tc>
      </w:tr>
    </w:tbl>
    <w:p w14:paraId="698642A5" w14:textId="77777777" w:rsidR="0052585B" w:rsidRDefault="00000000">
      <w:pPr>
        <w:pStyle w:val="Heading1"/>
        <w:spacing w:before="300" w:after="150"/>
      </w:pPr>
      <w:r>
        <w:t>4. Module 1 - Data Cleaning and Exploratory Analysis</w:t>
      </w:r>
    </w:p>
    <w:p w14:paraId="5EB7A708" w14:textId="77777777" w:rsidR="0052585B" w:rsidRDefault="00000000">
      <w:pPr>
        <w:spacing w:after="160"/>
      </w:pPr>
      <w:r>
        <w:t>Before any modelling, the raw data was audited for missing values, duplicates, invalid records and outliers.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52585B" w14:paraId="64F60A54" w14:textId="77777777">
        <w:tblPrEx>
          <w:tblCellMar>
            <w:top w:w="0" w:type="dxa"/>
            <w:bottom w:w="0" w:type="dxa"/>
          </w:tblCellMar>
        </w:tblPrEx>
        <w:tc>
          <w:tcPr>
            <w:tcW w:w="2200" w:type="dxa"/>
            <w:shd w:val="clear" w:color="auto" w:fill="1F3864"/>
            <w:tcMar>
              <w:top w:w="70" w:type="dxa"/>
              <w:left w:w="100" w:type="dxa"/>
              <w:bottom w:w="70" w:type="dxa"/>
              <w:right w:w="100" w:type="dxa"/>
            </w:tcMar>
          </w:tcPr>
          <w:p w14:paraId="468FB7BF" w14:textId="77777777" w:rsidR="0052585B" w:rsidRDefault="00000000">
            <w:r>
              <w:rPr>
                <w:b/>
                <w:bCs/>
                <w:color w:val="FFFFFF"/>
                <w:sz w:val="19"/>
                <w:szCs w:val="19"/>
              </w:rPr>
              <w:t>Issue</w:t>
            </w:r>
          </w:p>
        </w:tc>
        <w:tc>
          <w:tcPr>
            <w:tcW w:w="4200" w:type="dxa"/>
            <w:shd w:val="clear" w:color="auto" w:fill="1F3864"/>
            <w:tcMar>
              <w:top w:w="70" w:type="dxa"/>
              <w:left w:w="100" w:type="dxa"/>
              <w:bottom w:w="70" w:type="dxa"/>
              <w:right w:w="100" w:type="dxa"/>
            </w:tcMar>
          </w:tcPr>
          <w:p w14:paraId="1288EC10" w14:textId="77777777" w:rsidR="0052585B" w:rsidRDefault="00000000">
            <w:r>
              <w:rPr>
                <w:b/>
                <w:bCs/>
                <w:color w:val="FFFFFF"/>
                <w:sz w:val="19"/>
                <w:szCs w:val="19"/>
              </w:rPr>
              <w:t>Finding</w:t>
            </w:r>
          </w:p>
        </w:tc>
        <w:tc>
          <w:tcPr>
            <w:tcW w:w="2600" w:type="dxa"/>
            <w:shd w:val="clear" w:color="auto" w:fill="1F3864"/>
            <w:tcMar>
              <w:top w:w="70" w:type="dxa"/>
              <w:left w:w="100" w:type="dxa"/>
              <w:bottom w:w="70" w:type="dxa"/>
              <w:right w:w="100" w:type="dxa"/>
            </w:tcMar>
          </w:tcPr>
          <w:p w14:paraId="29D4D4D7" w14:textId="77777777" w:rsidR="0052585B" w:rsidRDefault="00000000">
            <w:r>
              <w:rPr>
                <w:b/>
                <w:bCs/>
                <w:color w:val="FFFFFF"/>
                <w:sz w:val="19"/>
                <w:szCs w:val="19"/>
              </w:rPr>
              <w:t>Action</w:t>
            </w:r>
          </w:p>
        </w:tc>
      </w:tr>
      <w:tr w:rsidR="0052585B" w14:paraId="73EE3112" w14:textId="77777777">
        <w:tblPrEx>
          <w:tblCellMar>
            <w:top w:w="0" w:type="dxa"/>
            <w:bottom w:w="0" w:type="dxa"/>
          </w:tblCellMar>
        </w:tblPrEx>
        <w:tc>
          <w:tcPr>
            <w:tcW w:w="2200" w:type="dxa"/>
            <w:tcMar>
              <w:top w:w="70" w:type="dxa"/>
              <w:left w:w="100" w:type="dxa"/>
              <w:bottom w:w="70" w:type="dxa"/>
              <w:right w:w="100" w:type="dxa"/>
            </w:tcMar>
          </w:tcPr>
          <w:p w14:paraId="4DF72AA2" w14:textId="77777777" w:rsidR="0052585B" w:rsidRDefault="00000000">
            <w:r>
              <w:rPr>
                <w:color w:val="000000"/>
                <w:sz w:val="19"/>
                <w:szCs w:val="19"/>
              </w:rPr>
              <w:t>Duplicates</w:t>
            </w:r>
          </w:p>
        </w:tc>
        <w:tc>
          <w:tcPr>
            <w:tcW w:w="4200" w:type="dxa"/>
            <w:tcMar>
              <w:top w:w="70" w:type="dxa"/>
              <w:left w:w="100" w:type="dxa"/>
              <w:bottom w:w="70" w:type="dxa"/>
              <w:right w:w="100" w:type="dxa"/>
            </w:tcMar>
          </w:tcPr>
          <w:p w14:paraId="1E2B54D5" w14:textId="77777777" w:rsidR="0052585B" w:rsidRDefault="00000000">
            <w:r>
              <w:rPr>
                <w:color w:val="000000"/>
                <w:sz w:val="19"/>
                <w:szCs w:val="19"/>
              </w:rPr>
              <w:t>31,994 exact duplicate rows</w:t>
            </w:r>
          </w:p>
        </w:tc>
        <w:tc>
          <w:tcPr>
            <w:tcW w:w="2600" w:type="dxa"/>
            <w:tcMar>
              <w:top w:w="70" w:type="dxa"/>
              <w:left w:w="100" w:type="dxa"/>
              <w:bottom w:w="70" w:type="dxa"/>
              <w:right w:w="100" w:type="dxa"/>
            </w:tcMar>
          </w:tcPr>
          <w:p w14:paraId="7F6229E5" w14:textId="77777777" w:rsidR="0052585B" w:rsidRDefault="00000000">
            <w:r>
              <w:rPr>
                <w:color w:val="000000"/>
                <w:sz w:val="19"/>
                <w:szCs w:val="19"/>
              </w:rPr>
              <w:t>Removed</w:t>
            </w:r>
          </w:p>
        </w:tc>
      </w:tr>
      <w:tr w:rsidR="0052585B" w14:paraId="2C7C08D9" w14:textId="77777777">
        <w:tblPrEx>
          <w:tblCellMar>
            <w:top w:w="0" w:type="dxa"/>
            <w:bottom w:w="0" w:type="dxa"/>
          </w:tblCellMar>
        </w:tblPrEx>
        <w:tc>
          <w:tcPr>
            <w:tcW w:w="2200" w:type="dxa"/>
            <w:tcMar>
              <w:top w:w="70" w:type="dxa"/>
              <w:left w:w="100" w:type="dxa"/>
              <w:bottom w:w="70" w:type="dxa"/>
              <w:right w:w="100" w:type="dxa"/>
            </w:tcMar>
          </w:tcPr>
          <w:p w14:paraId="13DD7B8C" w14:textId="77777777" w:rsidR="0052585B" w:rsidRDefault="00000000">
            <w:r>
              <w:rPr>
                <w:color w:val="000000"/>
                <w:sz w:val="19"/>
                <w:szCs w:val="19"/>
              </w:rPr>
              <w:t>Invalid bookings</w:t>
            </w:r>
          </w:p>
        </w:tc>
        <w:tc>
          <w:tcPr>
            <w:tcW w:w="4200" w:type="dxa"/>
            <w:tcMar>
              <w:top w:w="70" w:type="dxa"/>
              <w:left w:w="100" w:type="dxa"/>
              <w:bottom w:w="70" w:type="dxa"/>
              <w:right w:w="100" w:type="dxa"/>
            </w:tcMar>
          </w:tcPr>
          <w:p w14:paraId="32D97503" w14:textId="77777777" w:rsidR="0052585B" w:rsidRDefault="00000000">
            <w:r>
              <w:rPr>
                <w:color w:val="000000"/>
                <w:sz w:val="19"/>
                <w:szCs w:val="19"/>
              </w:rPr>
              <w:t>180 bookings with 0 adults, children and babies</w:t>
            </w:r>
          </w:p>
        </w:tc>
        <w:tc>
          <w:tcPr>
            <w:tcW w:w="2600" w:type="dxa"/>
            <w:tcMar>
              <w:top w:w="70" w:type="dxa"/>
              <w:left w:w="100" w:type="dxa"/>
              <w:bottom w:w="70" w:type="dxa"/>
              <w:right w:w="100" w:type="dxa"/>
            </w:tcMar>
          </w:tcPr>
          <w:p w14:paraId="5B6AD50C" w14:textId="77777777" w:rsidR="0052585B" w:rsidRDefault="00000000">
            <w:r>
              <w:rPr>
                <w:color w:val="000000"/>
                <w:sz w:val="19"/>
                <w:szCs w:val="19"/>
              </w:rPr>
              <w:t>Removed</w:t>
            </w:r>
          </w:p>
        </w:tc>
      </w:tr>
      <w:tr w:rsidR="0052585B" w14:paraId="322E3674" w14:textId="77777777">
        <w:tblPrEx>
          <w:tblCellMar>
            <w:top w:w="0" w:type="dxa"/>
            <w:bottom w:w="0" w:type="dxa"/>
          </w:tblCellMar>
        </w:tblPrEx>
        <w:tc>
          <w:tcPr>
            <w:tcW w:w="2200" w:type="dxa"/>
            <w:tcMar>
              <w:top w:w="70" w:type="dxa"/>
              <w:left w:w="100" w:type="dxa"/>
              <w:bottom w:w="70" w:type="dxa"/>
              <w:right w:w="100" w:type="dxa"/>
            </w:tcMar>
          </w:tcPr>
          <w:p w14:paraId="2D6C3E5B" w14:textId="77777777" w:rsidR="0052585B" w:rsidRDefault="00000000">
            <w:r>
              <w:rPr>
                <w:color w:val="000000"/>
                <w:sz w:val="19"/>
                <w:szCs w:val="19"/>
              </w:rPr>
              <w:t>Missing values</w:t>
            </w:r>
          </w:p>
        </w:tc>
        <w:tc>
          <w:tcPr>
            <w:tcW w:w="4200" w:type="dxa"/>
            <w:tcMar>
              <w:top w:w="70" w:type="dxa"/>
              <w:left w:w="100" w:type="dxa"/>
              <w:bottom w:w="70" w:type="dxa"/>
              <w:right w:w="100" w:type="dxa"/>
            </w:tcMar>
          </w:tcPr>
          <w:p w14:paraId="2CA0F483" w14:textId="77777777" w:rsidR="0052585B" w:rsidRDefault="00000000">
            <w:r>
              <w:rPr>
                <w:color w:val="000000"/>
                <w:sz w:val="19"/>
                <w:szCs w:val="19"/>
              </w:rPr>
              <w:t>country: 488, agent: 16340, company: 112593 (dropped, &gt;94% missing)</w:t>
            </w:r>
          </w:p>
        </w:tc>
        <w:tc>
          <w:tcPr>
            <w:tcW w:w="2600" w:type="dxa"/>
            <w:tcMar>
              <w:top w:w="70" w:type="dxa"/>
              <w:left w:w="100" w:type="dxa"/>
              <w:bottom w:w="70" w:type="dxa"/>
              <w:right w:w="100" w:type="dxa"/>
            </w:tcMar>
          </w:tcPr>
          <w:p w14:paraId="35D11C0F" w14:textId="77777777" w:rsidR="0052585B" w:rsidRDefault="00000000">
            <w:r>
              <w:rPr>
                <w:color w:val="000000"/>
                <w:sz w:val="19"/>
                <w:szCs w:val="19"/>
              </w:rPr>
              <w:t>Imputed or dropped by field</w:t>
            </w:r>
          </w:p>
        </w:tc>
      </w:tr>
      <w:tr w:rsidR="0052585B" w14:paraId="53D5130D" w14:textId="77777777">
        <w:tblPrEx>
          <w:tblCellMar>
            <w:top w:w="0" w:type="dxa"/>
            <w:bottom w:w="0" w:type="dxa"/>
          </w:tblCellMar>
        </w:tblPrEx>
        <w:tc>
          <w:tcPr>
            <w:tcW w:w="2200" w:type="dxa"/>
            <w:tcMar>
              <w:top w:w="70" w:type="dxa"/>
              <w:left w:w="100" w:type="dxa"/>
              <w:bottom w:w="70" w:type="dxa"/>
              <w:right w:w="100" w:type="dxa"/>
            </w:tcMar>
          </w:tcPr>
          <w:p w14:paraId="31EBD32A" w14:textId="77777777" w:rsidR="0052585B" w:rsidRDefault="00000000">
            <w:r>
              <w:rPr>
                <w:color w:val="000000"/>
                <w:sz w:val="19"/>
                <w:szCs w:val="19"/>
              </w:rPr>
              <w:lastRenderedPageBreak/>
              <w:t>ADR outliers</w:t>
            </w:r>
          </w:p>
        </w:tc>
        <w:tc>
          <w:tcPr>
            <w:tcW w:w="4200" w:type="dxa"/>
            <w:tcMar>
              <w:top w:w="70" w:type="dxa"/>
              <w:left w:w="100" w:type="dxa"/>
              <w:bottom w:w="70" w:type="dxa"/>
              <w:right w:w="100" w:type="dxa"/>
            </w:tcMar>
          </w:tcPr>
          <w:p w14:paraId="3F10AFA0" w14:textId="77777777" w:rsidR="0052585B" w:rsidRDefault="00000000">
            <w:r>
              <w:rPr>
                <w:color w:val="000000"/>
                <w:sz w:val="19"/>
                <w:szCs w:val="19"/>
              </w:rPr>
              <w:t>1 negative value, 1 extreme value</w:t>
            </w:r>
          </w:p>
        </w:tc>
        <w:tc>
          <w:tcPr>
            <w:tcW w:w="2600" w:type="dxa"/>
            <w:tcMar>
              <w:top w:w="70" w:type="dxa"/>
              <w:left w:w="100" w:type="dxa"/>
              <w:bottom w:w="70" w:type="dxa"/>
              <w:right w:w="100" w:type="dxa"/>
            </w:tcMar>
          </w:tcPr>
          <w:p w14:paraId="7E2E5DE5" w14:textId="77777777" w:rsidR="0052585B" w:rsidRDefault="00000000">
            <w:r>
              <w:rPr>
                <w:color w:val="000000"/>
                <w:sz w:val="19"/>
                <w:szCs w:val="19"/>
              </w:rPr>
              <w:t>Filtered to a plausible range</w:t>
            </w:r>
          </w:p>
        </w:tc>
      </w:tr>
    </w:tbl>
    <w:p w14:paraId="3048B31D" w14:textId="77777777" w:rsidR="0052585B" w:rsidRDefault="0052585B">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52585B" w14:paraId="3FC75C45" w14:textId="77777777">
        <w:tblPrEx>
          <w:tblCellMar>
            <w:top w:w="0" w:type="dxa"/>
            <w:bottom w:w="0" w:type="dxa"/>
          </w:tblCellMar>
        </w:tblPrEx>
        <w:tc>
          <w:tcPr>
            <w:tcW w:w="4400" w:type="dxa"/>
            <w:shd w:val="clear" w:color="auto" w:fill="1F3864"/>
            <w:tcMar>
              <w:top w:w="70" w:type="dxa"/>
              <w:left w:w="100" w:type="dxa"/>
              <w:bottom w:w="70" w:type="dxa"/>
              <w:right w:w="100" w:type="dxa"/>
            </w:tcMar>
          </w:tcPr>
          <w:p w14:paraId="700C2DC2" w14:textId="77777777" w:rsidR="0052585B" w:rsidRDefault="00000000">
            <w:r>
              <w:rPr>
                <w:b/>
                <w:bCs/>
                <w:color w:val="FFFFFF"/>
                <w:sz w:val="19"/>
                <w:szCs w:val="19"/>
              </w:rPr>
              <w:t>Metric</w:t>
            </w:r>
          </w:p>
        </w:tc>
        <w:tc>
          <w:tcPr>
            <w:tcW w:w="4600" w:type="dxa"/>
            <w:shd w:val="clear" w:color="auto" w:fill="1F3864"/>
            <w:tcMar>
              <w:top w:w="70" w:type="dxa"/>
              <w:left w:w="100" w:type="dxa"/>
              <w:bottom w:w="70" w:type="dxa"/>
              <w:right w:w="100" w:type="dxa"/>
            </w:tcMar>
          </w:tcPr>
          <w:p w14:paraId="1E445D98" w14:textId="77777777" w:rsidR="0052585B" w:rsidRDefault="00000000">
            <w:r>
              <w:rPr>
                <w:b/>
                <w:bCs/>
                <w:color w:val="FFFFFF"/>
                <w:sz w:val="19"/>
                <w:szCs w:val="19"/>
              </w:rPr>
              <w:t>Value</w:t>
            </w:r>
          </w:p>
        </w:tc>
      </w:tr>
      <w:tr w:rsidR="0052585B" w14:paraId="1F716096" w14:textId="77777777">
        <w:tblPrEx>
          <w:tblCellMar>
            <w:top w:w="0" w:type="dxa"/>
            <w:bottom w:w="0" w:type="dxa"/>
          </w:tblCellMar>
        </w:tblPrEx>
        <w:tc>
          <w:tcPr>
            <w:tcW w:w="4400" w:type="dxa"/>
            <w:tcMar>
              <w:top w:w="70" w:type="dxa"/>
              <w:left w:w="100" w:type="dxa"/>
              <w:bottom w:w="70" w:type="dxa"/>
              <w:right w:w="100" w:type="dxa"/>
            </w:tcMar>
          </w:tcPr>
          <w:p w14:paraId="5E2BAAEA" w14:textId="77777777" w:rsidR="0052585B" w:rsidRDefault="00000000">
            <w:r>
              <w:rPr>
                <w:color w:val="000000"/>
                <w:sz w:val="19"/>
                <w:szCs w:val="19"/>
              </w:rPr>
              <w:t>Cancellation rate, overall</w:t>
            </w:r>
          </w:p>
        </w:tc>
        <w:tc>
          <w:tcPr>
            <w:tcW w:w="4600" w:type="dxa"/>
            <w:tcMar>
              <w:top w:w="70" w:type="dxa"/>
              <w:left w:w="100" w:type="dxa"/>
              <w:bottom w:w="70" w:type="dxa"/>
              <w:right w:w="100" w:type="dxa"/>
            </w:tcMar>
          </w:tcPr>
          <w:p w14:paraId="4C48C9C5" w14:textId="77777777" w:rsidR="0052585B" w:rsidRDefault="00000000">
            <w:r>
              <w:rPr>
                <w:color w:val="000000"/>
                <w:sz w:val="19"/>
                <w:szCs w:val="19"/>
              </w:rPr>
              <w:t>27.53%</w:t>
            </w:r>
          </w:p>
        </w:tc>
      </w:tr>
      <w:tr w:rsidR="0052585B" w14:paraId="0359774B" w14:textId="77777777">
        <w:tblPrEx>
          <w:tblCellMar>
            <w:top w:w="0" w:type="dxa"/>
            <w:bottom w:w="0" w:type="dxa"/>
          </w:tblCellMar>
        </w:tblPrEx>
        <w:tc>
          <w:tcPr>
            <w:tcW w:w="4400" w:type="dxa"/>
            <w:tcMar>
              <w:top w:w="70" w:type="dxa"/>
              <w:left w:w="100" w:type="dxa"/>
              <w:bottom w:w="70" w:type="dxa"/>
              <w:right w:w="100" w:type="dxa"/>
            </w:tcMar>
          </w:tcPr>
          <w:p w14:paraId="5B93220C" w14:textId="77777777" w:rsidR="0052585B" w:rsidRDefault="00000000">
            <w:r>
              <w:rPr>
                <w:color w:val="000000"/>
                <w:sz w:val="19"/>
                <w:szCs w:val="19"/>
              </w:rPr>
              <w:t>Cancellation rate, City Hotel / Resort Hotel</w:t>
            </w:r>
          </w:p>
        </w:tc>
        <w:tc>
          <w:tcPr>
            <w:tcW w:w="4600" w:type="dxa"/>
            <w:tcMar>
              <w:top w:w="70" w:type="dxa"/>
              <w:left w:w="100" w:type="dxa"/>
              <w:bottom w:w="70" w:type="dxa"/>
              <w:right w:w="100" w:type="dxa"/>
            </w:tcMar>
          </w:tcPr>
          <w:p w14:paraId="368E121B" w14:textId="77777777" w:rsidR="0052585B" w:rsidRDefault="00000000">
            <w:r>
              <w:rPr>
                <w:color w:val="000000"/>
                <w:sz w:val="19"/>
                <w:szCs w:val="19"/>
              </w:rPr>
              <w:t>30.1% / 23.49%</w:t>
            </w:r>
          </w:p>
        </w:tc>
      </w:tr>
      <w:tr w:rsidR="0052585B" w14:paraId="64600E86" w14:textId="77777777">
        <w:tblPrEx>
          <w:tblCellMar>
            <w:top w:w="0" w:type="dxa"/>
            <w:bottom w:w="0" w:type="dxa"/>
          </w:tblCellMar>
        </w:tblPrEx>
        <w:tc>
          <w:tcPr>
            <w:tcW w:w="4400" w:type="dxa"/>
            <w:tcMar>
              <w:top w:w="70" w:type="dxa"/>
              <w:left w:w="100" w:type="dxa"/>
              <w:bottom w:w="70" w:type="dxa"/>
              <w:right w:w="100" w:type="dxa"/>
            </w:tcMar>
          </w:tcPr>
          <w:p w14:paraId="1A4237CA" w14:textId="77777777" w:rsidR="0052585B" w:rsidRDefault="00000000">
            <w:r>
              <w:rPr>
                <w:color w:val="000000"/>
                <w:sz w:val="19"/>
                <w:szCs w:val="19"/>
              </w:rPr>
              <w:t>Mean ADR, City Hotel / Resort Hotel</w:t>
            </w:r>
          </w:p>
        </w:tc>
        <w:tc>
          <w:tcPr>
            <w:tcW w:w="4600" w:type="dxa"/>
            <w:tcMar>
              <w:top w:w="70" w:type="dxa"/>
              <w:left w:w="100" w:type="dxa"/>
              <w:bottom w:w="70" w:type="dxa"/>
              <w:right w:w="100" w:type="dxa"/>
            </w:tcMar>
          </w:tcPr>
          <w:p w14:paraId="7962F50E" w14:textId="77777777" w:rsidR="0052585B" w:rsidRDefault="00000000">
            <w:r>
              <w:rPr>
                <w:color w:val="000000"/>
                <w:sz w:val="19"/>
                <w:szCs w:val="19"/>
              </w:rPr>
              <w:t>111.17 / 99.07</w:t>
            </w:r>
          </w:p>
        </w:tc>
      </w:tr>
      <w:tr w:rsidR="0052585B" w14:paraId="5A5532FE" w14:textId="77777777">
        <w:tblPrEx>
          <w:tblCellMar>
            <w:top w:w="0" w:type="dxa"/>
            <w:bottom w:w="0" w:type="dxa"/>
          </w:tblCellMar>
        </w:tblPrEx>
        <w:tc>
          <w:tcPr>
            <w:tcW w:w="4400" w:type="dxa"/>
            <w:tcMar>
              <w:top w:w="70" w:type="dxa"/>
              <w:left w:w="100" w:type="dxa"/>
              <w:bottom w:w="70" w:type="dxa"/>
              <w:right w:w="100" w:type="dxa"/>
            </w:tcMar>
          </w:tcPr>
          <w:p w14:paraId="541A0F02" w14:textId="77777777" w:rsidR="0052585B" w:rsidRDefault="00000000">
            <w:r>
              <w:rPr>
                <w:color w:val="000000"/>
                <w:sz w:val="19"/>
                <w:szCs w:val="19"/>
              </w:rPr>
              <w:t>Mean lead time, cancelled vs. completed</w:t>
            </w:r>
          </w:p>
        </w:tc>
        <w:tc>
          <w:tcPr>
            <w:tcW w:w="4600" w:type="dxa"/>
            <w:tcMar>
              <w:top w:w="70" w:type="dxa"/>
              <w:left w:w="100" w:type="dxa"/>
              <w:bottom w:w="70" w:type="dxa"/>
              <w:right w:w="100" w:type="dxa"/>
            </w:tcMar>
          </w:tcPr>
          <w:p w14:paraId="06BEA1E3" w14:textId="77777777" w:rsidR="0052585B" w:rsidRDefault="00000000">
            <w:r>
              <w:rPr>
                <w:color w:val="000000"/>
                <w:sz w:val="19"/>
                <w:szCs w:val="19"/>
              </w:rPr>
              <w:t>105.7 vs. 70.2 days</w:t>
            </w:r>
          </w:p>
        </w:tc>
      </w:tr>
    </w:tbl>
    <w:p w14:paraId="11921697" w14:textId="77777777" w:rsidR="0052585B" w:rsidRDefault="0052585B">
      <w:pPr>
        <w:spacing w:after="60"/>
      </w:pPr>
    </w:p>
    <w:p w14:paraId="2C7949F1" w14:textId="77777777" w:rsidR="0052585B" w:rsidRDefault="00000000">
      <w:pPr>
        <w:spacing w:before="120"/>
        <w:jc w:val="center"/>
      </w:pPr>
      <w:r>
        <w:rPr>
          <w:noProof/>
        </w:rPr>
        <w:drawing>
          <wp:inline distT="0" distB="0" distL="0" distR="0" wp14:anchorId="71F6A52D" wp14:editId="1E2BAF67">
            <wp:extent cx="32385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828925"/>
                    </a:xfrm>
                    <a:prstGeom prst="rect">
                      <a:avLst/>
                    </a:prstGeom>
                  </pic:spPr>
                </pic:pic>
              </a:graphicData>
            </a:graphic>
          </wp:inline>
        </w:drawing>
      </w:r>
    </w:p>
    <w:p w14:paraId="44166709" w14:textId="77777777" w:rsidR="0052585B" w:rsidRDefault="00000000">
      <w:pPr>
        <w:spacing w:before="80" w:after="240"/>
        <w:jc w:val="center"/>
      </w:pPr>
      <w:r>
        <w:rPr>
          <w:i/>
          <w:iCs/>
          <w:color w:val="595959"/>
        </w:rPr>
        <w:t>Figure 1. Correlation matrix of key booking features and cancellation (Module 1).</w:t>
      </w:r>
    </w:p>
    <w:p w14:paraId="2A7B9EDC" w14:textId="77777777" w:rsidR="0052585B" w:rsidRDefault="00000000">
      <w:pPr>
        <w:spacing w:after="160"/>
      </w:pPr>
      <w:r>
        <w:t>This module's main contribution to the rest of the project is the cleaned dataset itself, used unchanged by Modules 2, 3 and 5, and the early finding that lead time and ADR both correlate positively with cancellation - a relationship that reappears, independently derived, in Modules 3 and 5.</w:t>
      </w:r>
    </w:p>
    <w:p w14:paraId="638A288C" w14:textId="77777777" w:rsidR="0052585B" w:rsidRDefault="00000000">
      <w:pPr>
        <w:pStyle w:val="Heading1"/>
        <w:spacing w:before="300" w:after="150"/>
      </w:pPr>
      <w:r>
        <w:t>5. Module 2 - Time Series Forecasting</w:t>
      </w:r>
    </w:p>
    <w:p w14:paraId="46427FC4" w14:textId="77777777" w:rsidR="0052585B" w:rsidRDefault="00000000">
      <w:pPr>
        <w:spacing w:after="160"/>
      </w:pPr>
      <w:r>
        <w:t>Daily arrivals of non-cancelled bookings (793 days, 2015-07-01 to 2017-08-31) were forecast using six models: two seasonal baselines, two Holt-Winters variants, a weekly SARIMA, and a SARIMAX model tuned with annual Fourier terms.</w:t>
      </w:r>
    </w:p>
    <w:p w14:paraId="002C542E" w14:textId="77777777" w:rsidR="0052585B" w:rsidRDefault="00000000">
      <w:pPr>
        <w:spacing w:before="120"/>
        <w:jc w:val="center"/>
      </w:pPr>
      <w:r>
        <w:rPr>
          <w:noProof/>
        </w:rPr>
        <w:lastRenderedPageBreak/>
        <w:drawing>
          <wp:inline distT="0" distB="0" distL="0" distR="0" wp14:anchorId="0CF4C63B" wp14:editId="256587AC">
            <wp:extent cx="4381500" cy="1752600"/>
            <wp:effectExtent l="0" t="0" r="0" b="0"/>
            <wp:docPr id="623979840" name="Picture 62397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752600"/>
                    </a:xfrm>
                    <a:prstGeom prst="rect">
                      <a:avLst/>
                    </a:prstGeom>
                  </pic:spPr>
                </pic:pic>
              </a:graphicData>
            </a:graphic>
          </wp:inline>
        </w:drawing>
      </w:r>
    </w:p>
    <w:p w14:paraId="3FA6113F" w14:textId="77777777" w:rsidR="0052585B" w:rsidRDefault="00000000">
      <w:pPr>
        <w:spacing w:before="80" w:after="240"/>
        <w:jc w:val="center"/>
      </w:pPr>
      <w:r>
        <w:rPr>
          <w:i/>
          <w:iCs/>
          <w:color w:val="595959"/>
        </w:rPr>
        <w:t>Figure 2. Mean arrivals by weekday and month (Module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00"/>
      </w:tblGrid>
      <w:tr w:rsidR="0052585B" w14:paraId="775D3904" w14:textId="77777777">
        <w:tblPrEx>
          <w:tblCellMar>
            <w:top w:w="0" w:type="dxa"/>
            <w:bottom w:w="0" w:type="dxa"/>
          </w:tblCellMar>
        </w:tblPrEx>
        <w:tc>
          <w:tcPr>
            <w:tcW w:w="5000" w:type="dxa"/>
            <w:shd w:val="clear" w:color="auto" w:fill="1F3864"/>
            <w:tcMar>
              <w:top w:w="70" w:type="dxa"/>
              <w:left w:w="100" w:type="dxa"/>
              <w:bottom w:w="70" w:type="dxa"/>
              <w:right w:w="100" w:type="dxa"/>
            </w:tcMar>
          </w:tcPr>
          <w:p w14:paraId="60F081FE" w14:textId="77777777" w:rsidR="0052585B" w:rsidRDefault="00000000">
            <w:r>
              <w:rPr>
                <w:b/>
                <w:bCs/>
                <w:color w:val="FFFFFF"/>
                <w:sz w:val="19"/>
                <w:szCs w:val="19"/>
              </w:rPr>
              <w:t>Model (56-day holdout)</w:t>
            </w:r>
          </w:p>
        </w:tc>
        <w:tc>
          <w:tcPr>
            <w:tcW w:w="2000" w:type="dxa"/>
            <w:shd w:val="clear" w:color="auto" w:fill="1F3864"/>
            <w:tcMar>
              <w:top w:w="70" w:type="dxa"/>
              <w:left w:w="100" w:type="dxa"/>
              <w:bottom w:w="70" w:type="dxa"/>
              <w:right w:w="100" w:type="dxa"/>
            </w:tcMar>
          </w:tcPr>
          <w:p w14:paraId="05B7C8EA" w14:textId="77777777" w:rsidR="0052585B" w:rsidRDefault="00000000">
            <w:r>
              <w:rPr>
                <w:b/>
                <w:bCs/>
                <w:color w:val="FFFFFF"/>
                <w:sz w:val="19"/>
                <w:szCs w:val="19"/>
              </w:rPr>
              <w:t>MAE</w:t>
            </w:r>
          </w:p>
        </w:tc>
        <w:tc>
          <w:tcPr>
            <w:tcW w:w="2000" w:type="dxa"/>
            <w:shd w:val="clear" w:color="auto" w:fill="1F3864"/>
            <w:tcMar>
              <w:top w:w="70" w:type="dxa"/>
              <w:left w:w="100" w:type="dxa"/>
              <w:bottom w:w="70" w:type="dxa"/>
              <w:right w:w="100" w:type="dxa"/>
            </w:tcMar>
          </w:tcPr>
          <w:p w14:paraId="76A3721A" w14:textId="77777777" w:rsidR="0052585B" w:rsidRDefault="00000000">
            <w:r>
              <w:rPr>
                <w:b/>
                <w:bCs/>
                <w:color w:val="FFFFFF"/>
                <w:sz w:val="19"/>
                <w:szCs w:val="19"/>
              </w:rPr>
              <w:t>MASE</w:t>
            </w:r>
          </w:p>
        </w:tc>
      </w:tr>
      <w:tr w:rsidR="0052585B" w14:paraId="1622C7E2" w14:textId="77777777">
        <w:tblPrEx>
          <w:tblCellMar>
            <w:top w:w="0" w:type="dxa"/>
            <w:bottom w:w="0" w:type="dxa"/>
          </w:tblCellMar>
        </w:tblPrEx>
        <w:tc>
          <w:tcPr>
            <w:tcW w:w="5000" w:type="dxa"/>
            <w:tcMar>
              <w:top w:w="70" w:type="dxa"/>
              <w:left w:w="100" w:type="dxa"/>
              <w:bottom w:w="70" w:type="dxa"/>
              <w:right w:w="100" w:type="dxa"/>
            </w:tcMar>
          </w:tcPr>
          <w:p w14:paraId="4E614C1B" w14:textId="77777777" w:rsidR="0052585B" w:rsidRDefault="00000000">
            <w:r>
              <w:rPr>
                <w:color w:val="000000"/>
                <w:sz w:val="19"/>
                <w:szCs w:val="19"/>
              </w:rPr>
              <w:t>Seasonal Avg (last 4 wks)</w:t>
            </w:r>
          </w:p>
        </w:tc>
        <w:tc>
          <w:tcPr>
            <w:tcW w:w="2000" w:type="dxa"/>
            <w:tcMar>
              <w:top w:w="70" w:type="dxa"/>
              <w:left w:w="100" w:type="dxa"/>
              <w:bottom w:w="70" w:type="dxa"/>
              <w:right w:w="100" w:type="dxa"/>
            </w:tcMar>
          </w:tcPr>
          <w:p w14:paraId="05B1992E" w14:textId="77777777" w:rsidR="0052585B" w:rsidRDefault="00000000">
            <w:r>
              <w:rPr>
                <w:color w:val="000000"/>
                <w:sz w:val="19"/>
                <w:szCs w:val="19"/>
              </w:rPr>
              <w:t>11.36</w:t>
            </w:r>
          </w:p>
        </w:tc>
        <w:tc>
          <w:tcPr>
            <w:tcW w:w="2000" w:type="dxa"/>
            <w:tcMar>
              <w:top w:w="70" w:type="dxa"/>
              <w:left w:w="100" w:type="dxa"/>
              <w:bottom w:w="70" w:type="dxa"/>
              <w:right w:w="100" w:type="dxa"/>
            </w:tcMar>
          </w:tcPr>
          <w:p w14:paraId="094E265F" w14:textId="77777777" w:rsidR="0052585B" w:rsidRDefault="00000000">
            <w:r>
              <w:rPr>
                <w:color w:val="000000"/>
                <w:sz w:val="19"/>
                <w:szCs w:val="19"/>
              </w:rPr>
              <w:t>0.62</w:t>
            </w:r>
          </w:p>
        </w:tc>
      </w:tr>
      <w:tr w:rsidR="0052585B" w14:paraId="0E3141F6" w14:textId="77777777">
        <w:tblPrEx>
          <w:tblCellMar>
            <w:top w:w="0" w:type="dxa"/>
            <w:bottom w:w="0" w:type="dxa"/>
          </w:tblCellMar>
        </w:tblPrEx>
        <w:tc>
          <w:tcPr>
            <w:tcW w:w="5000" w:type="dxa"/>
            <w:tcMar>
              <w:top w:w="70" w:type="dxa"/>
              <w:left w:w="100" w:type="dxa"/>
              <w:bottom w:w="70" w:type="dxa"/>
              <w:right w:w="100" w:type="dxa"/>
            </w:tcMar>
          </w:tcPr>
          <w:p w14:paraId="4F5AD383" w14:textId="77777777" w:rsidR="0052585B" w:rsidRDefault="00000000">
            <w:r>
              <w:rPr>
                <w:color w:val="000000"/>
                <w:sz w:val="19"/>
                <w:szCs w:val="19"/>
              </w:rPr>
              <w:t>Holt-Winters (add. season)</w:t>
            </w:r>
          </w:p>
        </w:tc>
        <w:tc>
          <w:tcPr>
            <w:tcW w:w="2000" w:type="dxa"/>
            <w:tcMar>
              <w:top w:w="70" w:type="dxa"/>
              <w:left w:w="100" w:type="dxa"/>
              <w:bottom w:w="70" w:type="dxa"/>
              <w:right w:w="100" w:type="dxa"/>
            </w:tcMar>
          </w:tcPr>
          <w:p w14:paraId="6A711B15" w14:textId="77777777" w:rsidR="0052585B" w:rsidRDefault="00000000">
            <w:r>
              <w:rPr>
                <w:color w:val="000000"/>
                <w:sz w:val="19"/>
                <w:szCs w:val="19"/>
              </w:rPr>
              <w:t>11.76</w:t>
            </w:r>
          </w:p>
        </w:tc>
        <w:tc>
          <w:tcPr>
            <w:tcW w:w="2000" w:type="dxa"/>
            <w:tcMar>
              <w:top w:w="70" w:type="dxa"/>
              <w:left w:w="100" w:type="dxa"/>
              <w:bottom w:w="70" w:type="dxa"/>
              <w:right w:w="100" w:type="dxa"/>
            </w:tcMar>
          </w:tcPr>
          <w:p w14:paraId="1028F44F" w14:textId="77777777" w:rsidR="0052585B" w:rsidRDefault="00000000">
            <w:r>
              <w:rPr>
                <w:color w:val="000000"/>
                <w:sz w:val="19"/>
                <w:szCs w:val="19"/>
              </w:rPr>
              <w:t>0.64</w:t>
            </w:r>
          </w:p>
        </w:tc>
      </w:tr>
      <w:tr w:rsidR="0052585B" w14:paraId="6A0D35D9" w14:textId="77777777">
        <w:tblPrEx>
          <w:tblCellMar>
            <w:top w:w="0" w:type="dxa"/>
            <w:bottom w:w="0" w:type="dxa"/>
          </w:tblCellMar>
        </w:tblPrEx>
        <w:tc>
          <w:tcPr>
            <w:tcW w:w="5000" w:type="dxa"/>
            <w:tcMar>
              <w:top w:w="70" w:type="dxa"/>
              <w:left w:w="100" w:type="dxa"/>
              <w:bottom w:w="70" w:type="dxa"/>
              <w:right w:w="100" w:type="dxa"/>
            </w:tcMar>
          </w:tcPr>
          <w:p w14:paraId="12BC23E1" w14:textId="77777777" w:rsidR="0052585B" w:rsidRDefault="00000000">
            <w:r>
              <w:rPr>
                <w:color w:val="000000"/>
                <w:sz w:val="19"/>
                <w:szCs w:val="19"/>
              </w:rPr>
              <w:t>Holt-Winters (damped trend)</w:t>
            </w:r>
          </w:p>
        </w:tc>
        <w:tc>
          <w:tcPr>
            <w:tcW w:w="2000" w:type="dxa"/>
            <w:tcMar>
              <w:top w:w="70" w:type="dxa"/>
              <w:left w:w="100" w:type="dxa"/>
              <w:bottom w:w="70" w:type="dxa"/>
              <w:right w:w="100" w:type="dxa"/>
            </w:tcMar>
          </w:tcPr>
          <w:p w14:paraId="56B93A57" w14:textId="77777777" w:rsidR="0052585B" w:rsidRDefault="00000000">
            <w:r>
              <w:rPr>
                <w:color w:val="000000"/>
                <w:sz w:val="19"/>
                <w:szCs w:val="19"/>
              </w:rPr>
              <w:t>11.76</w:t>
            </w:r>
          </w:p>
        </w:tc>
        <w:tc>
          <w:tcPr>
            <w:tcW w:w="2000" w:type="dxa"/>
            <w:tcMar>
              <w:top w:w="70" w:type="dxa"/>
              <w:left w:w="100" w:type="dxa"/>
              <w:bottom w:w="70" w:type="dxa"/>
              <w:right w:w="100" w:type="dxa"/>
            </w:tcMar>
          </w:tcPr>
          <w:p w14:paraId="1B000003" w14:textId="77777777" w:rsidR="0052585B" w:rsidRDefault="00000000">
            <w:r>
              <w:rPr>
                <w:color w:val="000000"/>
                <w:sz w:val="19"/>
                <w:szCs w:val="19"/>
              </w:rPr>
              <w:t>0.64</w:t>
            </w:r>
          </w:p>
        </w:tc>
      </w:tr>
      <w:tr w:rsidR="0052585B" w14:paraId="7A60C159" w14:textId="77777777">
        <w:tblPrEx>
          <w:tblCellMar>
            <w:top w:w="0" w:type="dxa"/>
            <w:bottom w:w="0" w:type="dxa"/>
          </w:tblCellMar>
        </w:tblPrEx>
        <w:tc>
          <w:tcPr>
            <w:tcW w:w="5000" w:type="dxa"/>
            <w:tcMar>
              <w:top w:w="70" w:type="dxa"/>
              <w:left w:w="100" w:type="dxa"/>
              <w:bottom w:w="70" w:type="dxa"/>
              <w:right w:w="100" w:type="dxa"/>
            </w:tcMar>
          </w:tcPr>
          <w:p w14:paraId="17D7BFF8" w14:textId="77777777" w:rsidR="0052585B" w:rsidRDefault="00000000">
            <w:r>
              <w:rPr>
                <w:color w:val="000000"/>
                <w:sz w:val="19"/>
                <w:szCs w:val="19"/>
              </w:rPr>
              <w:t>SARIMAX + Fourier (tuned)</w:t>
            </w:r>
          </w:p>
        </w:tc>
        <w:tc>
          <w:tcPr>
            <w:tcW w:w="2000" w:type="dxa"/>
            <w:tcMar>
              <w:top w:w="70" w:type="dxa"/>
              <w:left w:w="100" w:type="dxa"/>
              <w:bottom w:w="70" w:type="dxa"/>
              <w:right w:w="100" w:type="dxa"/>
            </w:tcMar>
          </w:tcPr>
          <w:p w14:paraId="4AEC436B" w14:textId="77777777" w:rsidR="0052585B" w:rsidRDefault="00000000">
            <w:r>
              <w:rPr>
                <w:color w:val="000000"/>
                <w:sz w:val="19"/>
                <w:szCs w:val="19"/>
              </w:rPr>
              <w:t>12.14</w:t>
            </w:r>
          </w:p>
        </w:tc>
        <w:tc>
          <w:tcPr>
            <w:tcW w:w="2000" w:type="dxa"/>
            <w:tcMar>
              <w:top w:w="70" w:type="dxa"/>
              <w:left w:w="100" w:type="dxa"/>
              <w:bottom w:w="70" w:type="dxa"/>
              <w:right w:w="100" w:type="dxa"/>
            </w:tcMar>
          </w:tcPr>
          <w:p w14:paraId="64E32DCB" w14:textId="77777777" w:rsidR="0052585B" w:rsidRDefault="00000000">
            <w:r>
              <w:rPr>
                <w:color w:val="000000"/>
                <w:sz w:val="19"/>
                <w:szCs w:val="19"/>
              </w:rPr>
              <w:t>0.66</w:t>
            </w:r>
          </w:p>
        </w:tc>
      </w:tr>
    </w:tbl>
    <w:p w14:paraId="6CE67628" w14:textId="77777777" w:rsidR="0052585B" w:rsidRDefault="0052585B">
      <w:pPr>
        <w:spacing w:after="60"/>
      </w:pPr>
    </w:p>
    <w:p w14:paraId="604FBC10" w14:textId="77777777" w:rsidR="0052585B" w:rsidRDefault="00000000">
      <w:pPr>
        <w:spacing w:before="120"/>
        <w:jc w:val="center"/>
      </w:pPr>
      <w:r>
        <w:rPr>
          <w:noProof/>
        </w:rPr>
        <w:drawing>
          <wp:inline distT="0" distB="0" distL="0" distR="0" wp14:anchorId="43129AD7" wp14:editId="3BCAFD47">
            <wp:extent cx="4381500" cy="2047875"/>
            <wp:effectExtent l="0" t="0" r="0" b="0"/>
            <wp:docPr id="1612598078" name="Picture 161259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47875"/>
                    </a:xfrm>
                    <a:prstGeom prst="rect">
                      <a:avLst/>
                    </a:prstGeom>
                  </pic:spPr>
                </pic:pic>
              </a:graphicData>
            </a:graphic>
          </wp:inline>
        </w:drawing>
      </w:r>
    </w:p>
    <w:p w14:paraId="6DEEA26D" w14:textId="77777777" w:rsidR="0052585B" w:rsidRDefault="00000000">
      <w:pPr>
        <w:spacing w:before="80" w:after="240"/>
        <w:jc w:val="center"/>
      </w:pPr>
      <w:r>
        <w:rPr>
          <w:i/>
          <w:iCs/>
          <w:color w:val="595959"/>
        </w:rPr>
        <w:t>Figure 3. Forecast vs. actual arrivals on the 56-day holdout (Module 2).</w:t>
      </w:r>
    </w:p>
    <w:p w14:paraId="76DA3006" w14:textId="77777777" w:rsidR="0052585B" w:rsidRDefault="00000000">
      <w:pPr>
        <w:spacing w:after="160"/>
      </w:pPr>
      <w:r>
        <w:t>Every model beat the seasonal-naive benchmark, but the holdout winner (seasonal average) and the rolling-validation winner (tuned SARIMAX, MAE 13.30) disagreed, which the module treated as a limitation of a single noisy 8-week test window rather than papering over it. Refit on all data, the tuned model forecasts average arrivals easing from 96.4 to 92.5 per day over an 8-week horizon beyond the data.</w:t>
      </w:r>
    </w:p>
    <w:p w14:paraId="2B713CE8" w14:textId="77777777" w:rsidR="0052585B" w:rsidRDefault="00000000">
      <w:pPr>
        <w:pStyle w:val="Heading1"/>
        <w:spacing w:before="300" w:after="150"/>
      </w:pPr>
      <w:r>
        <w:t>6. Module 3 - Customer Segmentation</w:t>
      </w:r>
    </w:p>
    <w:p w14:paraId="323A6B52" w14:textId="77777777" w:rsidR="0052585B" w:rsidRDefault="00000000">
      <w:pPr>
        <w:spacing w:after="160"/>
      </w:pPr>
      <w:r>
        <w:t>Ten behavioural and demographic features (lead time, stay length, party size, ADR, special requests, and flags for children, repeat status, prior cancellation and booking changes) were clustered with K-means. Three clusters gave the best internal validity (silhouette 0.364), confirmed by an independent Ward hierarchical clustering that reproduced almost the same grouping (agreement 0.955).</w:t>
      </w:r>
    </w:p>
    <w:p w14:paraId="0633F6DE" w14:textId="77777777" w:rsidR="0052585B" w:rsidRDefault="00000000">
      <w:pPr>
        <w:spacing w:before="120"/>
        <w:jc w:val="center"/>
      </w:pPr>
      <w:r>
        <w:rPr>
          <w:noProof/>
        </w:rPr>
        <w:lastRenderedPageBreak/>
        <w:drawing>
          <wp:inline distT="0" distB="0" distL="0" distR="0" wp14:anchorId="75635818" wp14:editId="7F377F9C">
            <wp:extent cx="4381500" cy="2124075"/>
            <wp:effectExtent l="0" t="0" r="0" b="0"/>
            <wp:docPr id="1497684514" name="Picture 149768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24075"/>
                    </a:xfrm>
                    <a:prstGeom prst="rect">
                      <a:avLst/>
                    </a:prstGeom>
                  </pic:spPr>
                </pic:pic>
              </a:graphicData>
            </a:graphic>
          </wp:inline>
        </w:drawing>
      </w:r>
    </w:p>
    <w:p w14:paraId="12926078" w14:textId="77777777" w:rsidR="0052585B" w:rsidRDefault="00000000">
      <w:pPr>
        <w:spacing w:before="80" w:after="240"/>
        <w:jc w:val="center"/>
      </w:pPr>
      <w:r>
        <w:rPr>
          <w:i/>
          <w:iCs/>
          <w:color w:val="595959"/>
        </w:rPr>
        <w:t>Figure 4. Standardised segment profiles (Module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500"/>
        <w:gridCol w:w="1700"/>
        <w:gridCol w:w="1500"/>
      </w:tblGrid>
      <w:tr w:rsidR="0052585B" w14:paraId="79E706AF" w14:textId="77777777">
        <w:tblPrEx>
          <w:tblCellMar>
            <w:top w:w="0" w:type="dxa"/>
            <w:bottom w:w="0" w:type="dxa"/>
          </w:tblCellMar>
        </w:tblPrEx>
        <w:tc>
          <w:tcPr>
            <w:tcW w:w="2600" w:type="dxa"/>
            <w:shd w:val="clear" w:color="auto" w:fill="1F3864"/>
            <w:tcMar>
              <w:top w:w="70" w:type="dxa"/>
              <w:left w:w="100" w:type="dxa"/>
              <w:bottom w:w="70" w:type="dxa"/>
              <w:right w:w="100" w:type="dxa"/>
            </w:tcMar>
          </w:tcPr>
          <w:p w14:paraId="148B8974" w14:textId="77777777" w:rsidR="0052585B" w:rsidRDefault="00000000">
            <w:r>
              <w:rPr>
                <w:b/>
                <w:bCs/>
                <w:color w:val="FFFFFF"/>
                <w:sz w:val="19"/>
                <w:szCs w:val="19"/>
              </w:rPr>
              <w:t>Segment</w:t>
            </w:r>
          </w:p>
        </w:tc>
        <w:tc>
          <w:tcPr>
            <w:tcW w:w="1700" w:type="dxa"/>
            <w:shd w:val="clear" w:color="auto" w:fill="1F3864"/>
            <w:tcMar>
              <w:top w:w="70" w:type="dxa"/>
              <w:left w:w="100" w:type="dxa"/>
              <w:bottom w:w="70" w:type="dxa"/>
              <w:right w:w="100" w:type="dxa"/>
            </w:tcMar>
          </w:tcPr>
          <w:p w14:paraId="4824E0E9" w14:textId="77777777" w:rsidR="0052585B" w:rsidRDefault="00000000">
            <w:r>
              <w:rPr>
                <w:b/>
                <w:bCs/>
                <w:color w:val="FFFFFF"/>
                <w:sz w:val="19"/>
                <w:szCs w:val="19"/>
              </w:rPr>
              <w:t>Share of bookings</w:t>
            </w:r>
          </w:p>
        </w:tc>
        <w:tc>
          <w:tcPr>
            <w:tcW w:w="1500" w:type="dxa"/>
            <w:shd w:val="clear" w:color="auto" w:fill="1F3864"/>
            <w:tcMar>
              <w:top w:w="70" w:type="dxa"/>
              <w:left w:w="100" w:type="dxa"/>
              <w:bottom w:w="70" w:type="dxa"/>
              <w:right w:w="100" w:type="dxa"/>
            </w:tcMar>
          </w:tcPr>
          <w:p w14:paraId="49D52635" w14:textId="77777777" w:rsidR="0052585B" w:rsidRDefault="00000000">
            <w:r>
              <w:rPr>
                <w:b/>
                <w:bCs/>
                <w:color w:val="FFFFFF"/>
                <w:sz w:val="19"/>
                <w:szCs w:val="19"/>
              </w:rPr>
              <w:t>Median ADR</w:t>
            </w:r>
          </w:p>
        </w:tc>
        <w:tc>
          <w:tcPr>
            <w:tcW w:w="1700" w:type="dxa"/>
            <w:shd w:val="clear" w:color="auto" w:fill="1F3864"/>
            <w:tcMar>
              <w:top w:w="70" w:type="dxa"/>
              <w:left w:w="100" w:type="dxa"/>
              <w:bottom w:w="70" w:type="dxa"/>
              <w:right w:w="100" w:type="dxa"/>
            </w:tcMar>
          </w:tcPr>
          <w:p w14:paraId="112797BF" w14:textId="77777777" w:rsidR="0052585B" w:rsidRDefault="00000000">
            <w:r>
              <w:rPr>
                <w:b/>
                <w:bCs/>
                <w:color w:val="FFFFFF"/>
                <w:sz w:val="19"/>
                <w:szCs w:val="19"/>
              </w:rPr>
              <w:t>Cancellation rate</w:t>
            </w:r>
          </w:p>
        </w:tc>
        <w:tc>
          <w:tcPr>
            <w:tcW w:w="1500" w:type="dxa"/>
            <w:shd w:val="clear" w:color="auto" w:fill="1F3864"/>
            <w:tcMar>
              <w:top w:w="70" w:type="dxa"/>
              <w:left w:w="100" w:type="dxa"/>
              <w:bottom w:w="70" w:type="dxa"/>
              <w:right w:w="100" w:type="dxa"/>
            </w:tcMar>
          </w:tcPr>
          <w:p w14:paraId="36F541B8" w14:textId="77777777" w:rsidR="0052585B" w:rsidRDefault="00000000">
            <w:r>
              <w:rPr>
                <w:b/>
                <w:bCs/>
                <w:color w:val="FFFFFF"/>
                <w:sz w:val="19"/>
                <w:szCs w:val="19"/>
              </w:rPr>
              <w:t>Revenue share</w:t>
            </w:r>
          </w:p>
        </w:tc>
      </w:tr>
      <w:tr w:rsidR="0052585B" w14:paraId="192FD2E6" w14:textId="77777777">
        <w:tblPrEx>
          <w:tblCellMar>
            <w:top w:w="0" w:type="dxa"/>
            <w:bottom w:w="0" w:type="dxa"/>
          </w:tblCellMar>
        </w:tblPrEx>
        <w:tc>
          <w:tcPr>
            <w:tcW w:w="2600" w:type="dxa"/>
            <w:tcMar>
              <w:top w:w="70" w:type="dxa"/>
              <w:left w:w="100" w:type="dxa"/>
              <w:bottom w:w="70" w:type="dxa"/>
              <w:right w:w="100" w:type="dxa"/>
            </w:tcMar>
          </w:tcPr>
          <w:p w14:paraId="2EF8556C" w14:textId="77777777" w:rsidR="0052585B" w:rsidRDefault="00000000">
            <w:r>
              <w:rPr>
                <w:color w:val="000000"/>
                <w:sz w:val="19"/>
                <w:szCs w:val="19"/>
              </w:rPr>
              <w:t>Families</w:t>
            </w:r>
          </w:p>
        </w:tc>
        <w:tc>
          <w:tcPr>
            <w:tcW w:w="1700" w:type="dxa"/>
            <w:tcMar>
              <w:top w:w="70" w:type="dxa"/>
              <w:left w:w="100" w:type="dxa"/>
              <w:bottom w:w="70" w:type="dxa"/>
              <w:right w:w="100" w:type="dxa"/>
            </w:tcMar>
          </w:tcPr>
          <w:p w14:paraId="07F1CECE" w14:textId="77777777" w:rsidR="0052585B" w:rsidRDefault="00000000">
            <w:r>
              <w:rPr>
                <w:color w:val="000000"/>
                <w:sz w:val="19"/>
                <w:szCs w:val="19"/>
              </w:rPr>
              <w:t>10.4%</w:t>
            </w:r>
          </w:p>
        </w:tc>
        <w:tc>
          <w:tcPr>
            <w:tcW w:w="1500" w:type="dxa"/>
            <w:tcMar>
              <w:top w:w="70" w:type="dxa"/>
              <w:left w:w="100" w:type="dxa"/>
              <w:bottom w:w="70" w:type="dxa"/>
              <w:right w:w="100" w:type="dxa"/>
            </w:tcMar>
          </w:tcPr>
          <w:p w14:paraId="62975BA6" w14:textId="77777777" w:rsidR="0052585B" w:rsidRDefault="00000000">
            <w:r>
              <w:rPr>
                <w:color w:val="000000"/>
                <w:sz w:val="19"/>
                <w:szCs w:val="19"/>
              </w:rPr>
              <w:t>149.6</w:t>
            </w:r>
          </w:p>
        </w:tc>
        <w:tc>
          <w:tcPr>
            <w:tcW w:w="1700" w:type="dxa"/>
            <w:tcMar>
              <w:top w:w="70" w:type="dxa"/>
              <w:left w:w="100" w:type="dxa"/>
              <w:bottom w:w="70" w:type="dxa"/>
              <w:right w:w="100" w:type="dxa"/>
            </w:tcMar>
          </w:tcPr>
          <w:p w14:paraId="63A3CC97" w14:textId="77777777" w:rsidR="0052585B" w:rsidRDefault="00000000">
            <w:r>
              <w:rPr>
                <w:color w:val="000000"/>
                <w:sz w:val="19"/>
                <w:szCs w:val="19"/>
              </w:rPr>
              <w:t>34.6%</w:t>
            </w:r>
          </w:p>
        </w:tc>
        <w:tc>
          <w:tcPr>
            <w:tcW w:w="1500" w:type="dxa"/>
            <w:tcMar>
              <w:top w:w="70" w:type="dxa"/>
              <w:left w:w="100" w:type="dxa"/>
              <w:bottom w:w="70" w:type="dxa"/>
              <w:right w:w="100" w:type="dxa"/>
            </w:tcMar>
          </w:tcPr>
          <w:p w14:paraId="1DEC9C2B" w14:textId="77777777" w:rsidR="0052585B" w:rsidRDefault="00000000">
            <w:r>
              <w:rPr>
                <w:color w:val="000000"/>
                <w:sz w:val="19"/>
                <w:szCs w:val="19"/>
              </w:rPr>
              <w:t>14.4%</w:t>
            </w:r>
          </w:p>
        </w:tc>
      </w:tr>
      <w:tr w:rsidR="0052585B" w14:paraId="1351DE66" w14:textId="77777777">
        <w:tblPrEx>
          <w:tblCellMar>
            <w:top w:w="0" w:type="dxa"/>
            <w:bottom w:w="0" w:type="dxa"/>
          </w:tblCellMar>
        </w:tblPrEx>
        <w:tc>
          <w:tcPr>
            <w:tcW w:w="2600" w:type="dxa"/>
            <w:tcMar>
              <w:top w:w="70" w:type="dxa"/>
              <w:left w:w="100" w:type="dxa"/>
              <w:bottom w:w="70" w:type="dxa"/>
              <w:right w:w="100" w:type="dxa"/>
            </w:tcMar>
          </w:tcPr>
          <w:p w14:paraId="5ABA7AA6" w14:textId="77777777" w:rsidR="0052585B" w:rsidRDefault="00000000">
            <w:r>
              <w:rPr>
                <w:color w:val="000000"/>
                <w:sz w:val="19"/>
                <w:szCs w:val="19"/>
              </w:rPr>
              <w:t>Mainstream Leisure</w:t>
            </w:r>
          </w:p>
        </w:tc>
        <w:tc>
          <w:tcPr>
            <w:tcW w:w="1700" w:type="dxa"/>
            <w:tcMar>
              <w:top w:w="70" w:type="dxa"/>
              <w:left w:w="100" w:type="dxa"/>
              <w:bottom w:w="70" w:type="dxa"/>
              <w:right w:w="100" w:type="dxa"/>
            </w:tcMar>
          </w:tcPr>
          <w:p w14:paraId="3F001BE1" w14:textId="77777777" w:rsidR="0052585B" w:rsidRDefault="00000000">
            <w:r>
              <w:rPr>
                <w:color w:val="000000"/>
                <w:sz w:val="19"/>
                <w:szCs w:val="19"/>
              </w:rPr>
              <w:t>85.8%</w:t>
            </w:r>
          </w:p>
        </w:tc>
        <w:tc>
          <w:tcPr>
            <w:tcW w:w="1500" w:type="dxa"/>
            <w:tcMar>
              <w:top w:w="70" w:type="dxa"/>
              <w:left w:w="100" w:type="dxa"/>
              <w:bottom w:w="70" w:type="dxa"/>
              <w:right w:w="100" w:type="dxa"/>
            </w:tcMar>
          </w:tcPr>
          <w:p w14:paraId="023A5DF5" w14:textId="77777777" w:rsidR="0052585B" w:rsidRDefault="00000000">
            <w:r>
              <w:rPr>
                <w:color w:val="000000"/>
                <w:sz w:val="19"/>
                <w:szCs w:val="19"/>
              </w:rPr>
              <w:t>96</w:t>
            </w:r>
          </w:p>
        </w:tc>
        <w:tc>
          <w:tcPr>
            <w:tcW w:w="1700" w:type="dxa"/>
            <w:tcMar>
              <w:top w:w="70" w:type="dxa"/>
              <w:left w:w="100" w:type="dxa"/>
              <w:bottom w:w="70" w:type="dxa"/>
              <w:right w:w="100" w:type="dxa"/>
            </w:tcMar>
          </w:tcPr>
          <w:p w14:paraId="143343F8" w14:textId="77777777" w:rsidR="0052585B" w:rsidRDefault="00000000">
            <w:r>
              <w:rPr>
                <w:color w:val="000000"/>
                <w:sz w:val="19"/>
                <w:szCs w:val="19"/>
              </w:rPr>
              <w:t>27.6%</w:t>
            </w:r>
          </w:p>
        </w:tc>
        <w:tc>
          <w:tcPr>
            <w:tcW w:w="1500" w:type="dxa"/>
            <w:tcMar>
              <w:top w:w="70" w:type="dxa"/>
              <w:left w:w="100" w:type="dxa"/>
              <w:bottom w:w="70" w:type="dxa"/>
              <w:right w:w="100" w:type="dxa"/>
            </w:tcMar>
          </w:tcPr>
          <w:p w14:paraId="0DC32AE9" w14:textId="77777777" w:rsidR="0052585B" w:rsidRDefault="00000000">
            <w:r>
              <w:rPr>
                <w:color w:val="000000"/>
                <w:sz w:val="19"/>
                <w:szCs w:val="19"/>
              </w:rPr>
              <w:t>83.6%</w:t>
            </w:r>
          </w:p>
        </w:tc>
      </w:tr>
      <w:tr w:rsidR="0052585B" w14:paraId="2A28D7B9" w14:textId="77777777">
        <w:tblPrEx>
          <w:tblCellMar>
            <w:top w:w="0" w:type="dxa"/>
            <w:bottom w:w="0" w:type="dxa"/>
          </w:tblCellMar>
        </w:tblPrEx>
        <w:tc>
          <w:tcPr>
            <w:tcW w:w="2600" w:type="dxa"/>
            <w:tcMar>
              <w:top w:w="70" w:type="dxa"/>
              <w:left w:w="100" w:type="dxa"/>
              <w:bottom w:w="70" w:type="dxa"/>
              <w:right w:w="100" w:type="dxa"/>
            </w:tcMar>
          </w:tcPr>
          <w:p w14:paraId="46CDB9E8" w14:textId="77777777" w:rsidR="0052585B" w:rsidRDefault="00000000">
            <w:r>
              <w:rPr>
                <w:color w:val="000000"/>
                <w:sz w:val="19"/>
                <w:szCs w:val="19"/>
              </w:rPr>
              <w:t>Loyal Short-Stay Regulars</w:t>
            </w:r>
          </w:p>
        </w:tc>
        <w:tc>
          <w:tcPr>
            <w:tcW w:w="1700" w:type="dxa"/>
            <w:tcMar>
              <w:top w:w="70" w:type="dxa"/>
              <w:left w:w="100" w:type="dxa"/>
              <w:bottom w:w="70" w:type="dxa"/>
              <w:right w:w="100" w:type="dxa"/>
            </w:tcMar>
          </w:tcPr>
          <w:p w14:paraId="5D61E4BA" w14:textId="77777777" w:rsidR="0052585B" w:rsidRDefault="00000000">
            <w:r>
              <w:rPr>
                <w:color w:val="000000"/>
                <w:sz w:val="19"/>
                <w:szCs w:val="19"/>
              </w:rPr>
              <w:t>3.8%</w:t>
            </w:r>
          </w:p>
        </w:tc>
        <w:tc>
          <w:tcPr>
            <w:tcW w:w="1500" w:type="dxa"/>
            <w:tcMar>
              <w:top w:w="70" w:type="dxa"/>
              <w:left w:w="100" w:type="dxa"/>
              <w:bottom w:w="70" w:type="dxa"/>
              <w:right w:w="100" w:type="dxa"/>
            </w:tcMar>
          </w:tcPr>
          <w:p w14:paraId="0F909F8C" w14:textId="77777777" w:rsidR="0052585B" w:rsidRDefault="00000000">
            <w:r>
              <w:rPr>
                <w:color w:val="000000"/>
                <w:sz w:val="19"/>
                <w:szCs w:val="19"/>
              </w:rPr>
              <w:t>65</w:t>
            </w:r>
          </w:p>
        </w:tc>
        <w:tc>
          <w:tcPr>
            <w:tcW w:w="1700" w:type="dxa"/>
            <w:tcMar>
              <w:top w:w="70" w:type="dxa"/>
              <w:left w:w="100" w:type="dxa"/>
              <w:bottom w:w="70" w:type="dxa"/>
              <w:right w:w="100" w:type="dxa"/>
            </w:tcMar>
          </w:tcPr>
          <w:p w14:paraId="3A456785" w14:textId="77777777" w:rsidR="0052585B" w:rsidRDefault="00000000">
            <w:r>
              <w:rPr>
                <w:color w:val="000000"/>
                <w:sz w:val="19"/>
                <w:szCs w:val="19"/>
              </w:rPr>
              <w:t>7.8%</w:t>
            </w:r>
          </w:p>
        </w:tc>
        <w:tc>
          <w:tcPr>
            <w:tcW w:w="1500" w:type="dxa"/>
            <w:tcMar>
              <w:top w:w="70" w:type="dxa"/>
              <w:left w:w="100" w:type="dxa"/>
              <w:bottom w:w="70" w:type="dxa"/>
              <w:right w:w="100" w:type="dxa"/>
            </w:tcMar>
          </w:tcPr>
          <w:p w14:paraId="13A132DC" w14:textId="77777777" w:rsidR="0052585B" w:rsidRDefault="00000000">
            <w:r>
              <w:rPr>
                <w:color w:val="000000"/>
                <w:sz w:val="19"/>
                <w:szCs w:val="19"/>
              </w:rPr>
              <w:t>2%</w:t>
            </w:r>
          </w:p>
        </w:tc>
      </w:tr>
    </w:tbl>
    <w:p w14:paraId="7BE897B7" w14:textId="77777777" w:rsidR="0052585B" w:rsidRDefault="0052585B">
      <w:pPr>
        <w:spacing w:after="60"/>
      </w:pPr>
    </w:p>
    <w:p w14:paraId="25113A93" w14:textId="77777777" w:rsidR="0052585B" w:rsidRDefault="00000000">
      <w:pPr>
        <w:spacing w:before="120"/>
        <w:jc w:val="center"/>
      </w:pPr>
      <w:r>
        <w:rPr>
          <w:noProof/>
        </w:rPr>
        <w:drawing>
          <wp:inline distT="0" distB="0" distL="0" distR="0" wp14:anchorId="0F277D49" wp14:editId="78FE0580">
            <wp:extent cx="3048000" cy="2266950"/>
            <wp:effectExtent l="0" t="0" r="0" b="0"/>
            <wp:docPr id="188759165" name="Picture 18875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266950"/>
                    </a:xfrm>
                    <a:prstGeom prst="rect">
                      <a:avLst/>
                    </a:prstGeom>
                  </pic:spPr>
                </pic:pic>
              </a:graphicData>
            </a:graphic>
          </wp:inline>
        </w:drawing>
      </w:r>
    </w:p>
    <w:p w14:paraId="2100CCE1" w14:textId="77777777" w:rsidR="0052585B" w:rsidRDefault="00000000">
      <w:pPr>
        <w:spacing w:before="80" w:after="240"/>
        <w:jc w:val="center"/>
      </w:pPr>
      <w:r>
        <w:rPr>
          <w:i/>
          <w:iCs/>
          <w:color w:val="595959"/>
        </w:rPr>
        <w:t>Figure 5. Segments in PCA space (Module 3).</w:t>
      </w:r>
    </w:p>
    <w:p w14:paraId="36C0A569" w14:textId="77777777" w:rsidR="0052585B" w:rsidRDefault="00000000">
      <w:pPr>
        <w:spacing w:after="160"/>
      </w:pPr>
      <w:r>
        <w:t>This module's main contribution to the rest of the project is a named, quantified customer typology - Families, Mainstream Leisure, Loyal Short-Stay Regulars - that Section 9 reconnects to the seasonal patterns of Module 2 and the pricing patterns of Module 5.</w:t>
      </w:r>
    </w:p>
    <w:p w14:paraId="17968689" w14:textId="77777777" w:rsidR="0052585B" w:rsidRDefault="00000000">
      <w:pPr>
        <w:pStyle w:val="Heading1"/>
        <w:spacing w:before="300" w:after="150"/>
      </w:pPr>
      <w:r>
        <w:t>7. Module 4 - Sentiment Analysis</w:t>
      </w:r>
    </w:p>
    <w:p w14:paraId="04B40400" w14:textId="77777777" w:rsidR="0052585B" w:rsidRDefault="00000000">
      <w:pPr>
        <w:spacing w:after="160"/>
      </w:pPr>
      <w:r>
        <w:t>20,491 TripAdvisor reviews were repaired (corrupted apostrophes and split negations from an already-processed source file), cleaned, and scored with five methods.</w:t>
      </w:r>
    </w:p>
    <w:p w14:paraId="090A1965" w14:textId="77777777" w:rsidR="0052585B" w:rsidRDefault="00000000">
      <w:pPr>
        <w:spacing w:before="120"/>
        <w:jc w:val="center"/>
      </w:pPr>
      <w:r>
        <w:rPr>
          <w:noProof/>
        </w:rPr>
        <w:lastRenderedPageBreak/>
        <w:drawing>
          <wp:inline distT="0" distB="0" distL="0" distR="0" wp14:anchorId="4425F13E" wp14:editId="7EA4A72B">
            <wp:extent cx="4191000" cy="1885950"/>
            <wp:effectExtent l="0" t="0" r="0" b="0"/>
            <wp:docPr id="2107542891" name="Picture 210754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885950"/>
                    </a:xfrm>
                    <a:prstGeom prst="rect">
                      <a:avLst/>
                    </a:prstGeom>
                  </pic:spPr>
                </pic:pic>
              </a:graphicData>
            </a:graphic>
          </wp:inline>
        </w:drawing>
      </w:r>
    </w:p>
    <w:p w14:paraId="637CDD4E" w14:textId="77777777" w:rsidR="0052585B" w:rsidRDefault="00000000">
      <w:pPr>
        <w:spacing w:before="80" w:after="240"/>
        <w:jc w:val="center"/>
      </w:pPr>
      <w:r>
        <w:rPr>
          <w:i/>
          <w:iCs/>
          <w:color w:val="595959"/>
        </w:rPr>
        <w:t>Figure 6. Sentiment method comparison on the held-out test set (Module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00"/>
      </w:tblGrid>
      <w:tr w:rsidR="0052585B" w14:paraId="5492F68A" w14:textId="77777777">
        <w:tblPrEx>
          <w:tblCellMar>
            <w:top w:w="0" w:type="dxa"/>
            <w:bottom w:w="0" w:type="dxa"/>
          </w:tblCellMar>
        </w:tblPrEx>
        <w:tc>
          <w:tcPr>
            <w:tcW w:w="5000" w:type="dxa"/>
            <w:shd w:val="clear" w:color="auto" w:fill="1F3864"/>
            <w:tcMar>
              <w:top w:w="70" w:type="dxa"/>
              <w:left w:w="100" w:type="dxa"/>
              <w:bottom w:w="70" w:type="dxa"/>
              <w:right w:w="100" w:type="dxa"/>
            </w:tcMar>
          </w:tcPr>
          <w:p w14:paraId="4842DA38" w14:textId="77777777" w:rsidR="0052585B" w:rsidRDefault="00000000">
            <w:r>
              <w:rPr>
                <w:b/>
                <w:bCs/>
                <w:color w:val="FFFFFF"/>
                <w:sz w:val="19"/>
                <w:szCs w:val="19"/>
              </w:rPr>
              <w:t>Method</w:t>
            </w:r>
          </w:p>
        </w:tc>
        <w:tc>
          <w:tcPr>
            <w:tcW w:w="2000" w:type="dxa"/>
            <w:shd w:val="clear" w:color="auto" w:fill="1F3864"/>
            <w:tcMar>
              <w:top w:w="70" w:type="dxa"/>
              <w:left w:w="100" w:type="dxa"/>
              <w:bottom w:w="70" w:type="dxa"/>
              <w:right w:w="100" w:type="dxa"/>
            </w:tcMar>
          </w:tcPr>
          <w:p w14:paraId="47BA6ADD" w14:textId="77777777" w:rsidR="0052585B" w:rsidRDefault="00000000">
            <w:r>
              <w:rPr>
                <w:b/>
                <w:bCs/>
                <w:color w:val="FFFFFF"/>
                <w:sz w:val="19"/>
                <w:szCs w:val="19"/>
              </w:rPr>
              <w:t>Accuracy</w:t>
            </w:r>
          </w:p>
        </w:tc>
        <w:tc>
          <w:tcPr>
            <w:tcW w:w="2000" w:type="dxa"/>
            <w:shd w:val="clear" w:color="auto" w:fill="1F3864"/>
            <w:tcMar>
              <w:top w:w="70" w:type="dxa"/>
              <w:left w:w="100" w:type="dxa"/>
              <w:bottom w:w="70" w:type="dxa"/>
              <w:right w:w="100" w:type="dxa"/>
            </w:tcMar>
          </w:tcPr>
          <w:p w14:paraId="55A275ED" w14:textId="77777777" w:rsidR="0052585B" w:rsidRDefault="00000000">
            <w:r>
              <w:rPr>
                <w:b/>
                <w:bCs/>
                <w:color w:val="FFFFFF"/>
                <w:sz w:val="19"/>
                <w:szCs w:val="19"/>
              </w:rPr>
              <w:t>Macro-F1</w:t>
            </w:r>
          </w:p>
        </w:tc>
      </w:tr>
      <w:tr w:rsidR="0052585B" w14:paraId="41D7E1DF" w14:textId="77777777">
        <w:tblPrEx>
          <w:tblCellMar>
            <w:top w:w="0" w:type="dxa"/>
            <w:bottom w:w="0" w:type="dxa"/>
          </w:tblCellMar>
        </w:tblPrEx>
        <w:tc>
          <w:tcPr>
            <w:tcW w:w="5000" w:type="dxa"/>
            <w:tcMar>
              <w:top w:w="70" w:type="dxa"/>
              <w:left w:w="100" w:type="dxa"/>
              <w:bottom w:w="70" w:type="dxa"/>
              <w:right w:w="100" w:type="dxa"/>
            </w:tcMar>
          </w:tcPr>
          <w:p w14:paraId="2508E620" w14:textId="77777777" w:rsidR="0052585B" w:rsidRDefault="00000000">
            <w:r>
              <w:rPr>
                <w:color w:val="000000"/>
                <w:sz w:val="19"/>
                <w:szCs w:val="19"/>
              </w:rPr>
              <w:t>Majority-class baseline</w:t>
            </w:r>
          </w:p>
        </w:tc>
        <w:tc>
          <w:tcPr>
            <w:tcW w:w="2000" w:type="dxa"/>
            <w:tcMar>
              <w:top w:w="70" w:type="dxa"/>
              <w:left w:w="100" w:type="dxa"/>
              <w:bottom w:w="70" w:type="dxa"/>
              <w:right w:w="100" w:type="dxa"/>
            </w:tcMar>
          </w:tcPr>
          <w:p w14:paraId="617112DE" w14:textId="77777777" w:rsidR="0052585B" w:rsidRDefault="00000000">
            <w:r>
              <w:rPr>
                <w:color w:val="000000"/>
                <w:sz w:val="19"/>
                <w:szCs w:val="19"/>
              </w:rPr>
              <w:t>0.737</w:t>
            </w:r>
          </w:p>
        </w:tc>
        <w:tc>
          <w:tcPr>
            <w:tcW w:w="2000" w:type="dxa"/>
            <w:tcMar>
              <w:top w:w="70" w:type="dxa"/>
              <w:left w:w="100" w:type="dxa"/>
              <w:bottom w:w="70" w:type="dxa"/>
              <w:right w:w="100" w:type="dxa"/>
            </w:tcMar>
          </w:tcPr>
          <w:p w14:paraId="49EDC629" w14:textId="77777777" w:rsidR="0052585B" w:rsidRDefault="00000000">
            <w:r>
              <w:rPr>
                <w:color w:val="000000"/>
                <w:sz w:val="19"/>
                <w:szCs w:val="19"/>
              </w:rPr>
              <w:t>0.283</w:t>
            </w:r>
          </w:p>
        </w:tc>
      </w:tr>
      <w:tr w:rsidR="0052585B" w14:paraId="16423BAE" w14:textId="77777777">
        <w:tblPrEx>
          <w:tblCellMar>
            <w:top w:w="0" w:type="dxa"/>
            <w:bottom w:w="0" w:type="dxa"/>
          </w:tblCellMar>
        </w:tblPrEx>
        <w:tc>
          <w:tcPr>
            <w:tcW w:w="5000" w:type="dxa"/>
            <w:tcMar>
              <w:top w:w="70" w:type="dxa"/>
              <w:left w:w="100" w:type="dxa"/>
              <w:bottom w:w="70" w:type="dxa"/>
              <w:right w:w="100" w:type="dxa"/>
            </w:tcMar>
          </w:tcPr>
          <w:p w14:paraId="1200ECB9" w14:textId="77777777" w:rsidR="0052585B" w:rsidRDefault="00000000">
            <w:r>
              <w:rPr>
                <w:color w:val="000000"/>
                <w:sz w:val="19"/>
                <w:szCs w:val="19"/>
              </w:rPr>
              <w:t>VADER, standard cut-offs</w:t>
            </w:r>
          </w:p>
        </w:tc>
        <w:tc>
          <w:tcPr>
            <w:tcW w:w="2000" w:type="dxa"/>
            <w:tcMar>
              <w:top w:w="70" w:type="dxa"/>
              <w:left w:w="100" w:type="dxa"/>
              <w:bottom w:w="70" w:type="dxa"/>
              <w:right w:w="100" w:type="dxa"/>
            </w:tcMar>
          </w:tcPr>
          <w:p w14:paraId="48863E56" w14:textId="77777777" w:rsidR="0052585B" w:rsidRDefault="00000000">
            <w:r>
              <w:rPr>
                <w:color w:val="000000"/>
                <w:sz w:val="19"/>
                <w:szCs w:val="19"/>
              </w:rPr>
              <w:t>0.795</w:t>
            </w:r>
          </w:p>
        </w:tc>
        <w:tc>
          <w:tcPr>
            <w:tcW w:w="2000" w:type="dxa"/>
            <w:tcMar>
              <w:top w:w="70" w:type="dxa"/>
              <w:left w:w="100" w:type="dxa"/>
              <w:bottom w:w="70" w:type="dxa"/>
              <w:right w:w="100" w:type="dxa"/>
            </w:tcMar>
          </w:tcPr>
          <w:p w14:paraId="61124DDF" w14:textId="77777777" w:rsidR="0052585B" w:rsidRDefault="00000000">
            <w:r>
              <w:rPr>
                <w:color w:val="000000"/>
                <w:sz w:val="19"/>
                <w:szCs w:val="19"/>
              </w:rPr>
              <w:t>0.478</w:t>
            </w:r>
          </w:p>
        </w:tc>
      </w:tr>
      <w:tr w:rsidR="0052585B" w14:paraId="4B531DF9" w14:textId="77777777">
        <w:tblPrEx>
          <w:tblCellMar>
            <w:top w:w="0" w:type="dxa"/>
            <w:bottom w:w="0" w:type="dxa"/>
          </w:tblCellMar>
        </w:tblPrEx>
        <w:tc>
          <w:tcPr>
            <w:tcW w:w="5000" w:type="dxa"/>
            <w:tcMar>
              <w:top w:w="70" w:type="dxa"/>
              <w:left w:w="100" w:type="dxa"/>
              <w:bottom w:w="70" w:type="dxa"/>
              <w:right w:w="100" w:type="dxa"/>
            </w:tcMar>
          </w:tcPr>
          <w:p w14:paraId="05F8499F" w14:textId="77777777" w:rsidR="0052585B" w:rsidRDefault="00000000">
            <w:r>
              <w:rPr>
                <w:color w:val="000000"/>
                <w:sz w:val="19"/>
                <w:szCs w:val="19"/>
              </w:rPr>
              <w:t>TF-IDF + Logistic Regression</w:t>
            </w:r>
          </w:p>
        </w:tc>
        <w:tc>
          <w:tcPr>
            <w:tcW w:w="2000" w:type="dxa"/>
            <w:tcMar>
              <w:top w:w="70" w:type="dxa"/>
              <w:left w:w="100" w:type="dxa"/>
              <w:bottom w:w="70" w:type="dxa"/>
              <w:right w:w="100" w:type="dxa"/>
            </w:tcMar>
          </w:tcPr>
          <w:p w14:paraId="212D1036" w14:textId="77777777" w:rsidR="0052585B" w:rsidRDefault="00000000">
            <w:r>
              <w:rPr>
                <w:color w:val="000000"/>
                <w:sz w:val="19"/>
                <w:szCs w:val="19"/>
              </w:rPr>
              <w:t>0.852</w:t>
            </w:r>
          </w:p>
        </w:tc>
        <w:tc>
          <w:tcPr>
            <w:tcW w:w="2000" w:type="dxa"/>
            <w:tcMar>
              <w:top w:w="70" w:type="dxa"/>
              <w:left w:w="100" w:type="dxa"/>
              <w:bottom w:w="70" w:type="dxa"/>
              <w:right w:w="100" w:type="dxa"/>
            </w:tcMar>
          </w:tcPr>
          <w:p w14:paraId="58D3AAFA" w14:textId="77777777" w:rsidR="0052585B" w:rsidRDefault="00000000">
            <w:r>
              <w:rPr>
                <w:color w:val="000000"/>
                <w:sz w:val="19"/>
                <w:szCs w:val="19"/>
              </w:rPr>
              <w:t>0.712</w:t>
            </w:r>
          </w:p>
        </w:tc>
      </w:tr>
    </w:tbl>
    <w:p w14:paraId="4EB1BB8A" w14:textId="77777777" w:rsidR="0052585B" w:rsidRDefault="0052585B">
      <w:pPr>
        <w:spacing w:after="60"/>
      </w:pPr>
    </w:p>
    <w:p w14:paraId="13746E0F" w14:textId="77777777" w:rsidR="0052585B" w:rsidRDefault="00000000">
      <w:pPr>
        <w:spacing w:before="120"/>
        <w:jc w:val="center"/>
      </w:pPr>
      <w:r>
        <w:rPr>
          <w:noProof/>
        </w:rPr>
        <w:drawing>
          <wp:inline distT="0" distB="0" distL="0" distR="0" wp14:anchorId="0DAE200C" wp14:editId="6C1036E9">
            <wp:extent cx="4381500" cy="1743075"/>
            <wp:effectExtent l="0" t="0" r="0" b="0"/>
            <wp:docPr id="239022357" name="Picture 23902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743075"/>
                    </a:xfrm>
                    <a:prstGeom prst="rect">
                      <a:avLst/>
                    </a:prstGeom>
                  </pic:spPr>
                </pic:pic>
              </a:graphicData>
            </a:graphic>
          </wp:inline>
        </w:drawing>
      </w:r>
    </w:p>
    <w:p w14:paraId="74AEEF84" w14:textId="77777777" w:rsidR="0052585B" w:rsidRDefault="00000000">
      <w:pPr>
        <w:spacing w:before="80" w:after="240"/>
        <w:jc w:val="center"/>
      </w:pPr>
      <w:r>
        <w:rPr>
          <w:i/>
          <w:iCs/>
          <w:color w:val="595959"/>
        </w:rPr>
        <w:t>Figure 7. Aspect-based sentiment: mean score and mention rate (Module 4).</w:t>
      </w:r>
    </w:p>
    <w:p w14:paraId="76279263" w14:textId="77777777" w:rsidR="0052585B" w:rsidRDefault="00000000">
      <w:pPr>
        <w:spacing w:after="160"/>
      </w:pPr>
      <w:r>
        <w:t>Default lexicon tools label about 92% of reviews positive against 74% by star rating, because long reviews mix praise and complaint and a single compound score saturates; clause-level scoring corrected part of this (correlation with rating rising from 0.46 to 0.58). Aspect analysis found cleanliness and staff as clear strengths and room condition and noise as the weakest aspects of guest experience - a theme that reappears in Module 5's discussion of what a hotel can defensibly charge more for.</w:t>
      </w:r>
    </w:p>
    <w:p w14:paraId="6727CE7B" w14:textId="77777777" w:rsidR="0052585B" w:rsidRDefault="00000000">
      <w:pPr>
        <w:pStyle w:val="Heading1"/>
        <w:spacing w:before="300" w:after="150"/>
      </w:pPr>
      <w:r>
        <w:t>8. Module 5 - Revenue Management and Pricing</w:t>
      </w:r>
    </w:p>
    <w:p w14:paraId="7D2941E3" w14:textId="77777777" w:rsidR="0052585B" w:rsidRDefault="00000000">
      <w:pPr>
        <w:spacing w:after="160"/>
      </w:pPr>
      <w:r>
        <w:t>Occupancy and RevPAR proxies were built from booking arrivals against an assumed capacity per hotel, and used in a hedonic OLS pricing model, a price-elasticity estimation exercise, and RevPAR-optimisation scenarios.</w:t>
      </w:r>
    </w:p>
    <w:p w14:paraId="32D18F50" w14:textId="77777777" w:rsidR="0052585B" w:rsidRDefault="00000000">
      <w:pPr>
        <w:spacing w:before="120"/>
        <w:jc w:val="center"/>
      </w:pPr>
      <w:r>
        <w:rPr>
          <w:noProof/>
        </w:rPr>
        <w:lastRenderedPageBreak/>
        <w:drawing>
          <wp:inline distT="0" distB="0" distL="0" distR="0" wp14:anchorId="45177E95" wp14:editId="315FF05F">
            <wp:extent cx="4381500" cy="1847850"/>
            <wp:effectExtent l="0" t="0" r="0" b="0"/>
            <wp:docPr id="1231961238" name="Picture 123196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847850"/>
                    </a:xfrm>
                    <a:prstGeom prst="rect">
                      <a:avLst/>
                    </a:prstGeom>
                  </pic:spPr>
                </pic:pic>
              </a:graphicData>
            </a:graphic>
          </wp:inline>
        </w:drawing>
      </w:r>
    </w:p>
    <w:p w14:paraId="2C73AEA1" w14:textId="77777777" w:rsidR="0052585B" w:rsidRDefault="00000000">
      <w:pPr>
        <w:spacing w:before="80" w:after="240"/>
        <w:jc w:val="center"/>
      </w:pPr>
      <w:r>
        <w:rPr>
          <w:i/>
          <w:iCs/>
          <w:color w:val="595959"/>
        </w:rPr>
        <w:t>Figure 8. ADR and occupancy seasonality by hotel (Module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00"/>
      </w:tblGrid>
      <w:tr w:rsidR="0052585B" w14:paraId="6CC8BAD7" w14:textId="77777777">
        <w:tblPrEx>
          <w:tblCellMar>
            <w:top w:w="0" w:type="dxa"/>
            <w:bottom w:w="0" w:type="dxa"/>
          </w:tblCellMar>
        </w:tblPrEx>
        <w:tc>
          <w:tcPr>
            <w:tcW w:w="2800" w:type="dxa"/>
            <w:shd w:val="clear" w:color="auto" w:fill="1F3864"/>
            <w:tcMar>
              <w:top w:w="70" w:type="dxa"/>
              <w:left w:w="100" w:type="dxa"/>
              <w:bottom w:w="70" w:type="dxa"/>
              <w:right w:w="100" w:type="dxa"/>
            </w:tcMar>
          </w:tcPr>
          <w:p w14:paraId="6CFF23A9" w14:textId="77777777" w:rsidR="0052585B" w:rsidRDefault="00000000">
            <w:r>
              <w:rPr>
                <w:b/>
                <w:bCs/>
                <w:color w:val="FFFFFF"/>
                <w:sz w:val="19"/>
                <w:szCs w:val="19"/>
              </w:rPr>
              <w:t>Model</w:t>
            </w:r>
          </w:p>
        </w:tc>
        <w:tc>
          <w:tcPr>
            <w:tcW w:w="1600" w:type="dxa"/>
            <w:shd w:val="clear" w:color="auto" w:fill="1F3864"/>
            <w:tcMar>
              <w:top w:w="70" w:type="dxa"/>
              <w:left w:w="100" w:type="dxa"/>
              <w:bottom w:w="70" w:type="dxa"/>
              <w:right w:w="100" w:type="dxa"/>
            </w:tcMar>
          </w:tcPr>
          <w:p w14:paraId="13080E0C" w14:textId="77777777" w:rsidR="0052585B" w:rsidRDefault="00000000">
            <w:r>
              <w:rPr>
                <w:b/>
                <w:bCs/>
                <w:color w:val="FFFFFF"/>
                <w:sz w:val="19"/>
                <w:szCs w:val="19"/>
              </w:rPr>
              <w:t>R-squared</w:t>
            </w:r>
          </w:p>
        </w:tc>
        <w:tc>
          <w:tcPr>
            <w:tcW w:w="4600" w:type="dxa"/>
            <w:shd w:val="clear" w:color="auto" w:fill="1F3864"/>
            <w:tcMar>
              <w:top w:w="70" w:type="dxa"/>
              <w:left w:w="100" w:type="dxa"/>
              <w:bottom w:w="70" w:type="dxa"/>
              <w:right w:w="100" w:type="dxa"/>
            </w:tcMar>
          </w:tcPr>
          <w:p w14:paraId="370F9B61" w14:textId="77777777" w:rsidR="0052585B" w:rsidRDefault="00000000">
            <w:r>
              <w:rPr>
                <w:b/>
                <w:bCs/>
                <w:color w:val="FFFFFF"/>
                <w:sz w:val="19"/>
                <w:szCs w:val="19"/>
              </w:rPr>
              <w:t>Key finding</w:t>
            </w:r>
          </w:p>
        </w:tc>
      </w:tr>
      <w:tr w:rsidR="0052585B" w14:paraId="521F74F6" w14:textId="77777777">
        <w:tblPrEx>
          <w:tblCellMar>
            <w:top w:w="0" w:type="dxa"/>
            <w:bottom w:w="0" w:type="dxa"/>
          </w:tblCellMar>
        </w:tblPrEx>
        <w:tc>
          <w:tcPr>
            <w:tcW w:w="2800" w:type="dxa"/>
            <w:tcMar>
              <w:top w:w="70" w:type="dxa"/>
              <w:left w:w="100" w:type="dxa"/>
              <w:bottom w:w="70" w:type="dxa"/>
              <w:right w:w="100" w:type="dxa"/>
            </w:tcMar>
          </w:tcPr>
          <w:p w14:paraId="6BB4CBCE" w14:textId="77777777" w:rsidR="0052585B" w:rsidRDefault="00000000">
            <w:r>
              <w:rPr>
                <w:color w:val="000000"/>
                <w:sz w:val="19"/>
                <w:szCs w:val="19"/>
              </w:rPr>
              <w:t>Hedonic ADR model</w:t>
            </w:r>
          </w:p>
        </w:tc>
        <w:tc>
          <w:tcPr>
            <w:tcW w:w="1600" w:type="dxa"/>
            <w:tcMar>
              <w:top w:w="70" w:type="dxa"/>
              <w:left w:w="100" w:type="dxa"/>
              <w:bottom w:w="70" w:type="dxa"/>
              <w:right w:w="100" w:type="dxa"/>
            </w:tcMar>
          </w:tcPr>
          <w:p w14:paraId="11FB87DD" w14:textId="77777777" w:rsidR="0052585B" w:rsidRDefault="00000000">
            <w:r>
              <w:rPr>
                <w:color w:val="000000"/>
                <w:sz w:val="19"/>
                <w:szCs w:val="19"/>
              </w:rPr>
              <w:t>0.431</w:t>
            </w:r>
          </w:p>
        </w:tc>
        <w:tc>
          <w:tcPr>
            <w:tcW w:w="4600" w:type="dxa"/>
            <w:tcMar>
              <w:top w:w="70" w:type="dxa"/>
              <w:left w:w="100" w:type="dxa"/>
              <w:bottom w:w="70" w:type="dxa"/>
              <w:right w:w="100" w:type="dxa"/>
            </w:tcMar>
          </w:tcPr>
          <w:p w14:paraId="7997DDA8" w14:textId="77777777" w:rsidR="0052585B" w:rsidRDefault="00000000">
            <w:r>
              <w:rPr>
                <w:color w:val="000000"/>
                <w:sz w:val="19"/>
                <w:szCs w:val="19"/>
              </w:rPr>
              <w:t>August prices 62.9% above January, controlling for booking characteristics</w:t>
            </w:r>
          </w:p>
        </w:tc>
      </w:tr>
      <w:tr w:rsidR="0052585B" w14:paraId="70004CD0" w14:textId="77777777">
        <w:tblPrEx>
          <w:tblCellMar>
            <w:top w:w="0" w:type="dxa"/>
            <w:bottom w:w="0" w:type="dxa"/>
          </w:tblCellMar>
        </w:tblPrEx>
        <w:tc>
          <w:tcPr>
            <w:tcW w:w="2800" w:type="dxa"/>
            <w:tcMar>
              <w:top w:w="70" w:type="dxa"/>
              <w:left w:w="100" w:type="dxa"/>
              <w:bottom w:w="70" w:type="dxa"/>
              <w:right w:w="100" w:type="dxa"/>
            </w:tcMar>
          </w:tcPr>
          <w:p w14:paraId="1BD6CFD2" w14:textId="77777777" w:rsidR="0052585B" w:rsidRDefault="00000000">
            <w:r>
              <w:rPr>
                <w:color w:val="000000"/>
                <w:sz w:val="19"/>
                <w:szCs w:val="19"/>
              </w:rPr>
              <w:t>Naive price-demand elasticity</w:t>
            </w:r>
          </w:p>
        </w:tc>
        <w:tc>
          <w:tcPr>
            <w:tcW w:w="1600" w:type="dxa"/>
            <w:tcMar>
              <w:top w:w="70" w:type="dxa"/>
              <w:left w:w="100" w:type="dxa"/>
              <w:bottom w:w="70" w:type="dxa"/>
              <w:right w:w="100" w:type="dxa"/>
            </w:tcMar>
          </w:tcPr>
          <w:p w14:paraId="1AEF6596" w14:textId="77777777" w:rsidR="0052585B" w:rsidRDefault="00000000">
            <w:r>
              <w:rPr>
                <w:color w:val="000000"/>
                <w:sz w:val="19"/>
                <w:szCs w:val="19"/>
              </w:rPr>
              <w:t>0.153</w:t>
            </w:r>
          </w:p>
        </w:tc>
        <w:tc>
          <w:tcPr>
            <w:tcW w:w="4600" w:type="dxa"/>
            <w:tcMar>
              <w:top w:w="70" w:type="dxa"/>
              <w:left w:w="100" w:type="dxa"/>
              <w:bottom w:w="70" w:type="dxa"/>
              <w:right w:w="100" w:type="dxa"/>
            </w:tcMar>
          </w:tcPr>
          <w:p w14:paraId="6D18EB1B" w14:textId="77777777" w:rsidR="0052585B" w:rsidRDefault="00000000">
            <w:r>
              <w:rPr>
                <w:color w:val="000000"/>
                <w:sz w:val="19"/>
                <w:szCs w:val="19"/>
              </w:rPr>
              <w:t>Coefficient 0.483 - positive, diagnosed as reverse causality, not used for pricing</w:t>
            </w:r>
          </w:p>
        </w:tc>
      </w:tr>
    </w:tbl>
    <w:p w14:paraId="568FB7E1" w14:textId="77777777" w:rsidR="0052585B" w:rsidRDefault="0052585B">
      <w:pPr>
        <w:spacing w:after="60"/>
      </w:pPr>
    </w:p>
    <w:p w14:paraId="628E175D" w14:textId="77777777" w:rsidR="0052585B" w:rsidRDefault="00000000">
      <w:pPr>
        <w:spacing w:before="120"/>
        <w:jc w:val="center"/>
      </w:pPr>
      <w:r>
        <w:rPr>
          <w:noProof/>
        </w:rPr>
        <w:drawing>
          <wp:inline distT="0" distB="0" distL="0" distR="0" wp14:anchorId="489548F9" wp14:editId="221D57D8">
            <wp:extent cx="4381500" cy="2095500"/>
            <wp:effectExtent l="0" t="0" r="0" b="0"/>
            <wp:docPr id="1629910922" name="Picture 162991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095500"/>
                    </a:xfrm>
                    <a:prstGeom prst="rect">
                      <a:avLst/>
                    </a:prstGeom>
                  </pic:spPr>
                </pic:pic>
              </a:graphicData>
            </a:graphic>
          </wp:inline>
        </w:drawing>
      </w:r>
    </w:p>
    <w:p w14:paraId="002348D2" w14:textId="77777777" w:rsidR="0052585B" w:rsidRDefault="00000000">
      <w:pPr>
        <w:spacing w:before="80" w:after="240"/>
        <w:jc w:val="center"/>
      </w:pPr>
      <w:r>
        <w:rPr>
          <w:i/>
          <w:iCs/>
          <w:color w:val="595959"/>
        </w:rPr>
        <w:t>Figure 9. Illustrative RevPAR-optimisation scenarios under three assumed elasticities (Module 5).</w:t>
      </w:r>
    </w:p>
    <w:p w14:paraId="64AD4155" w14:textId="77777777" w:rsidR="0052585B" w:rsidRDefault="00000000">
      <w:pPr>
        <w:spacing w:after="160"/>
      </w:pPr>
      <w:r>
        <w:t>This module's central methodological contribution - openly diagnosing why a standard elasticity regression fails on this kind of data, rather than reporting a misleading number - is one of the more advanced pieces of reasoning in the whole project, and Section 11 returns to it.</w:t>
      </w:r>
    </w:p>
    <w:p w14:paraId="65B037B0" w14:textId="77777777" w:rsidR="0052585B" w:rsidRDefault="00000000">
      <w:pPr>
        <w:pStyle w:val="Heading1"/>
        <w:spacing w:before="300" w:after="150"/>
      </w:pPr>
      <w:r>
        <w:t>9. Analytical Synthesis: Connecting the Five Modules</w:t>
      </w:r>
    </w:p>
    <w:p w14:paraId="3455530C" w14:textId="77777777" w:rsidR="0052585B" w:rsidRDefault="00000000">
      <w:pPr>
        <w:spacing w:after="160"/>
      </w:pPr>
      <w:r>
        <w:t>The individual modules were built separately, in different weeks, using different subsets of features and, in Module 4's case, an entirely different dataset. This section deliberately looks for places where their independent findings agree, reinforce, or usefully complicate one another.</w:t>
      </w:r>
    </w:p>
    <w:p w14:paraId="485FD3B8" w14:textId="77777777" w:rsidR="0052585B" w:rsidRDefault="00000000">
      <w:pPr>
        <w:pStyle w:val="Heading2"/>
        <w:spacing w:before="240" w:after="120"/>
      </w:pPr>
      <w:r>
        <w:t>9.1 The Families segment explains the summer demand peak</w:t>
      </w:r>
    </w:p>
    <w:p w14:paraId="1F4A03F3" w14:textId="77777777" w:rsidR="0052585B" w:rsidRDefault="00000000">
      <w:pPr>
        <w:spacing w:after="160"/>
      </w:pPr>
      <w:r>
        <w:t xml:space="preserve">Module 2 found a clear summer peak in arrivals (Figure 2); Module 5 found ADR peaks sharply in August (Resort Hotel especially, Figure 8). Checking Module 3's segments against the calendar shows why: the Families segment holds 10.4% of bookings overall but 18.3% in August - almost double its baseline share (see Figure 10). Families </w:t>
      </w:r>
      <w:r>
        <w:lastRenderedPageBreak/>
        <w:t>are, in effect, the segment driving the seasonal demand and price cycle that Modules 2 and 5 each detected independently, without either being told the segment existed.</w:t>
      </w:r>
    </w:p>
    <w:p w14:paraId="75864D67" w14:textId="77777777" w:rsidR="0052585B" w:rsidRDefault="00000000">
      <w:pPr>
        <w:spacing w:before="120"/>
        <w:jc w:val="center"/>
      </w:pPr>
      <w:r>
        <w:rPr>
          <w:noProof/>
        </w:rPr>
        <w:drawing>
          <wp:inline distT="0" distB="0" distL="0" distR="0" wp14:anchorId="5ABFB5B6" wp14:editId="07AAE275">
            <wp:extent cx="4572000" cy="2152650"/>
            <wp:effectExtent l="0" t="0" r="0" b="0"/>
            <wp:docPr id="714884228" name="Picture 71488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152650"/>
                    </a:xfrm>
                    <a:prstGeom prst="rect">
                      <a:avLst/>
                    </a:prstGeom>
                  </pic:spPr>
                </pic:pic>
              </a:graphicData>
            </a:graphic>
          </wp:inline>
        </w:drawing>
      </w:r>
    </w:p>
    <w:p w14:paraId="3C54573D" w14:textId="77777777" w:rsidR="0052585B" w:rsidRDefault="00000000">
      <w:pPr>
        <w:spacing w:before="80" w:after="240"/>
        <w:jc w:val="center"/>
      </w:pPr>
      <w:r>
        <w:rPr>
          <w:i/>
          <w:iCs/>
          <w:color w:val="595959"/>
        </w:rPr>
        <w:t>Figure 10. Families and Loyal Short-Stay Regulars segment share by month, against mean ADR (new analysis for this report).</w:t>
      </w:r>
    </w:p>
    <w:p w14:paraId="0AA38B84" w14:textId="77777777" w:rsidR="0052585B" w:rsidRDefault="00000000">
      <w:pPr>
        <w:spacing w:after="160"/>
      </w:pPr>
      <w:r>
        <w:t>The Loyal Short-Stay Regulars segment shows the opposite pattern: its share falls from a winter high to a low of just 1.4% in August, consistent with a corporate/local-business guest who travels least during the summer holiday period. This gives the seasonality found in Modules 2 and 5 a customer-level explanation that neither module could see on its own.</w:t>
      </w:r>
    </w:p>
    <w:p w14:paraId="3F2BFDF3" w14:textId="77777777" w:rsidR="0052585B" w:rsidRDefault="00000000">
      <w:pPr>
        <w:pStyle w:val="Heading2"/>
        <w:spacing w:before="240" w:after="120"/>
      </w:pPr>
      <w:r>
        <w:t>9.2 Segmentation and revenue management independently agree on cancellation-by-price risk</w:t>
      </w:r>
    </w:p>
    <w:p w14:paraId="15BA398F" w14:textId="77777777" w:rsidR="0052585B" w:rsidRDefault="00000000">
      <w:pPr>
        <w:spacing w:after="160"/>
      </w:pPr>
      <w:r>
        <w:t>Module 5 found cancellation rate rising steadily from 17.4% in the cheapest ADR quintile to 34.5% in the most expensive. Module 3, built independently with a different feature set and clustering algorithm, found the Families segment - whose median ADR of 149.6 falls in that same top quintile - has a cancellation rate of 34.6%, almost exactly matching Module 5's top-quintile figure of 34.5%. Two different analyses, on two different cuts of the same data, converge on the same number. This is meaningful cross-validation: it suggests the price-cancellation relationship is a real property of the data rather than an artefact of either method, and it means Module 5's pricing recommendation (tighten cancellation policy at higher price points) and Module 3's segment strategy (flexible-change policies for Families) are really the same recommendation seen from two angles.</w:t>
      </w:r>
    </w:p>
    <w:p w14:paraId="243ED41B" w14:textId="77777777" w:rsidR="0052585B" w:rsidRDefault="00000000">
      <w:pPr>
        <w:pStyle w:val="Heading2"/>
        <w:spacing w:before="240" w:after="120"/>
      </w:pPr>
      <w:r>
        <w:t>9.3 Sentiment themes point at the same weaknesses revenue data prices around</w:t>
      </w:r>
    </w:p>
    <w:p w14:paraId="195BC948" w14:textId="77777777" w:rsidR="0052585B" w:rsidRDefault="00000000">
      <w:pPr>
        <w:spacing w:after="160"/>
      </w:pPr>
      <w:r>
        <w:rPr>
          <w:i/>
          <w:iCs/>
          <w:color w:val="595959"/>
        </w:rPr>
        <w:t>Module 4 found room condition and noise as the weakest-scoring guest experience aspects, even though these reviews cannot be linked to the two hotels analysed elsewhere. Module 5's hedonic model shows length of stay and party size, not room quality, driving most of the explainable price variation - meaning current pricing does not obviously discriminate by room condition. Read together, these point to an opportunity rather than a contradiction: if room condition is a widespread driver of guest dissatisfaction (Module 4) but is not currently priced as a differentiator (Module 5), then room-tier pricing informed by condition/renovation status is a lever this project's data did not have the fields to test directly, but which the combination of modules surfaces as worth testing.</w:t>
      </w:r>
    </w:p>
    <w:p w14:paraId="71458ED8" w14:textId="77777777" w:rsidR="0052585B" w:rsidRDefault="00000000">
      <w:pPr>
        <w:spacing w:after="160"/>
      </w:pPr>
      <w:r>
        <w:t>This particular link is the weakest of the three in this section, precisely because the two datasets do not share hotels or guests - it is offered as a hypothesis the two analyses jointly suggest, not a finding either one proves alone.</w:t>
      </w:r>
    </w:p>
    <w:p w14:paraId="1485DD72" w14:textId="77777777" w:rsidR="0052585B" w:rsidRDefault="00000000">
      <w:pPr>
        <w:pStyle w:val="Heading2"/>
        <w:spacing w:before="240" w:after="120"/>
      </w:pPr>
      <w:r>
        <w:t>9.4 A single, coherent operating calendar</w:t>
      </w:r>
    </w:p>
    <w:p w14:paraId="6E8D2452" w14:textId="77777777" w:rsidR="0052585B" w:rsidRDefault="00000000">
      <w:pPr>
        <w:spacing w:after="160"/>
      </w:pPr>
      <w:r>
        <w:t xml:space="preserve">Put together, Modules 2, 3 and 5 support one integrated seasonal operating picture: forecasted arrivals rise through spring into a summer peak (Module 2); that peak is disproportionately made up of the highest-value, highest-cancellation-risk Families segment (Module 3); and pricing already responds to this seasonally (Module 5) but </w:t>
      </w:r>
      <w:r>
        <w:lastRenderedPageBreak/>
        <w:t>weekday/weekend pricing within each season is comparatively flat (a Module 5 finding not yet acted on). This is the kind of coordinated, cross-functional view - demand, customer mix, price and satisfaction moving together - that a hotel's revenue management and guest experience teams would need to plan a season jointly rather than from separate spreadsheets.</w:t>
      </w:r>
    </w:p>
    <w:p w14:paraId="37B749B0" w14:textId="77777777" w:rsidR="0052585B" w:rsidRDefault="00000000">
      <w:pPr>
        <w:pStyle w:val="Heading1"/>
        <w:spacing w:before="300" w:after="150"/>
      </w:pPr>
      <w:r>
        <w:t>10. Consolidated Strategic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00"/>
        <w:gridCol w:w="2400"/>
      </w:tblGrid>
      <w:tr w:rsidR="0052585B" w14:paraId="6E554011" w14:textId="77777777">
        <w:tblPrEx>
          <w:tblCellMar>
            <w:top w:w="0" w:type="dxa"/>
            <w:bottom w:w="0" w:type="dxa"/>
          </w:tblCellMar>
        </w:tblPrEx>
        <w:tc>
          <w:tcPr>
            <w:tcW w:w="500" w:type="dxa"/>
            <w:shd w:val="clear" w:color="auto" w:fill="1F3864"/>
            <w:tcMar>
              <w:top w:w="70" w:type="dxa"/>
              <w:left w:w="100" w:type="dxa"/>
              <w:bottom w:w="70" w:type="dxa"/>
              <w:right w:w="100" w:type="dxa"/>
            </w:tcMar>
          </w:tcPr>
          <w:p w14:paraId="0D92ADFF" w14:textId="77777777" w:rsidR="0052585B" w:rsidRDefault="00000000">
            <w:r>
              <w:rPr>
                <w:b/>
                <w:bCs/>
                <w:color w:val="FFFFFF"/>
                <w:sz w:val="19"/>
                <w:szCs w:val="19"/>
              </w:rPr>
              <w:t>#</w:t>
            </w:r>
          </w:p>
        </w:tc>
        <w:tc>
          <w:tcPr>
            <w:tcW w:w="6100" w:type="dxa"/>
            <w:shd w:val="clear" w:color="auto" w:fill="1F3864"/>
            <w:tcMar>
              <w:top w:w="70" w:type="dxa"/>
              <w:left w:w="100" w:type="dxa"/>
              <w:bottom w:w="70" w:type="dxa"/>
              <w:right w:w="100" w:type="dxa"/>
            </w:tcMar>
          </w:tcPr>
          <w:p w14:paraId="4F29C6EF" w14:textId="77777777" w:rsidR="0052585B" w:rsidRDefault="00000000">
            <w:r>
              <w:rPr>
                <w:b/>
                <w:bCs/>
                <w:color w:val="FFFFFF"/>
                <w:sz w:val="19"/>
                <w:szCs w:val="19"/>
              </w:rPr>
              <w:t>Recommendation</w:t>
            </w:r>
          </w:p>
        </w:tc>
        <w:tc>
          <w:tcPr>
            <w:tcW w:w="2400" w:type="dxa"/>
            <w:shd w:val="clear" w:color="auto" w:fill="1F3864"/>
            <w:tcMar>
              <w:top w:w="70" w:type="dxa"/>
              <w:left w:w="100" w:type="dxa"/>
              <w:bottom w:w="70" w:type="dxa"/>
              <w:right w:w="100" w:type="dxa"/>
            </w:tcMar>
          </w:tcPr>
          <w:p w14:paraId="10C19A9D" w14:textId="77777777" w:rsidR="0052585B" w:rsidRDefault="00000000">
            <w:r>
              <w:rPr>
                <w:b/>
                <w:bCs/>
                <w:color w:val="FFFFFF"/>
                <w:sz w:val="19"/>
                <w:szCs w:val="19"/>
              </w:rPr>
              <w:t>Modules combined</w:t>
            </w:r>
          </w:p>
        </w:tc>
      </w:tr>
      <w:tr w:rsidR="0052585B" w14:paraId="42E857D9" w14:textId="77777777">
        <w:tblPrEx>
          <w:tblCellMar>
            <w:top w:w="0" w:type="dxa"/>
            <w:bottom w:w="0" w:type="dxa"/>
          </w:tblCellMar>
        </w:tblPrEx>
        <w:tc>
          <w:tcPr>
            <w:tcW w:w="500" w:type="dxa"/>
            <w:tcMar>
              <w:top w:w="70" w:type="dxa"/>
              <w:left w:w="100" w:type="dxa"/>
              <w:bottom w:w="70" w:type="dxa"/>
              <w:right w:w="100" w:type="dxa"/>
            </w:tcMar>
          </w:tcPr>
          <w:p w14:paraId="5787AD82" w14:textId="77777777" w:rsidR="0052585B" w:rsidRDefault="00000000">
            <w:r>
              <w:rPr>
                <w:color w:val="000000"/>
                <w:sz w:val="19"/>
                <w:szCs w:val="19"/>
              </w:rPr>
              <w:t>1</w:t>
            </w:r>
          </w:p>
        </w:tc>
        <w:tc>
          <w:tcPr>
            <w:tcW w:w="6100" w:type="dxa"/>
            <w:tcMar>
              <w:top w:w="70" w:type="dxa"/>
              <w:left w:w="100" w:type="dxa"/>
              <w:bottom w:w="70" w:type="dxa"/>
              <w:right w:w="100" w:type="dxa"/>
            </w:tcMar>
          </w:tcPr>
          <w:p w14:paraId="0B182C45" w14:textId="77777777" w:rsidR="0052585B" w:rsidRDefault="00000000">
            <w:r>
              <w:rPr>
                <w:color w:val="000000"/>
                <w:sz w:val="19"/>
                <w:szCs w:val="19"/>
              </w:rPr>
              <w:t>Build a seasonal calendar around the Families segment: staff, price and communicate for the July-August surge as a distinct operating mode, with flexible-change policies to manage its high cancellation rate.</w:t>
            </w:r>
          </w:p>
        </w:tc>
        <w:tc>
          <w:tcPr>
            <w:tcW w:w="2400" w:type="dxa"/>
            <w:tcMar>
              <w:top w:w="70" w:type="dxa"/>
              <w:left w:w="100" w:type="dxa"/>
              <w:bottom w:w="70" w:type="dxa"/>
              <w:right w:w="100" w:type="dxa"/>
            </w:tcMar>
          </w:tcPr>
          <w:p w14:paraId="396716F4" w14:textId="77777777" w:rsidR="0052585B" w:rsidRDefault="00000000">
            <w:r>
              <w:rPr>
                <w:color w:val="000000"/>
                <w:sz w:val="19"/>
                <w:szCs w:val="19"/>
              </w:rPr>
              <w:t>Forecasting + Segmentation + Revenue</w:t>
            </w:r>
          </w:p>
        </w:tc>
      </w:tr>
      <w:tr w:rsidR="0052585B" w14:paraId="57805433" w14:textId="77777777">
        <w:tblPrEx>
          <w:tblCellMar>
            <w:top w:w="0" w:type="dxa"/>
            <w:bottom w:w="0" w:type="dxa"/>
          </w:tblCellMar>
        </w:tblPrEx>
        <w:tc>
          <w:tcPr>
            <w:tcW w:w="500" w:type="dxa"/>
            <w:tcMar>
              <w:top w:w="70" w:type="dxa"/>
              <w:left w:w="100" w:type="dxa"/>
              <w:bottom w:w="70" w:type="dxa"/>
              <w:right w:w="100" w:type="dxa"/>
            </w:tcMar>
          </w:tcPr>
          <w:p w14:paraId="667EE510" w14:textId="77777777" w:rsidR="0052585B" w:rsidRDefault="00000000">
            <w:r>
              <w:rPr>
                <w:color w:val="000000"/>
                <w:sz w:val="19"/>
                <w:szCs w:val="19"/>
              </w:rPr>
              <w:t>2</w:t>
            </w:r>
          </w:p>
        </w:tc>
        <w:tc>
          <w:tcPr>
            <w:tcW w:w="6100" w:type="dxa"/>
            <w:tcMar>
              <w:top w:w="70" w:type="dxa"/>
              <w:left w:w="100" w:type="dxa"/>
              <w:bottom w:w="70" w:type="dxa"/>
              <w:right w:w="100" w:type="dxa"/>
            </w:tcMar>
          </w:tcPr>
          <w:p w14:paraId="2D2690B9" w14:textId="77777777" w:rsidR="0052585B" w:rsidRDefault="00000000">
            <w:r>
              <w:rPr>
                <w:color w:val="000000"/>
                <w:sz w:val="19"/>
                <w:szCs w:val="19"/>
              </w:rPr>
              <w:t>Tighten deposit/cancellation terms specifically at high price points, where two independent analyses agree cancellation risk is highest (roughly 34-35%).</w:t>
            </w:r>
          </w:p>
        </w:tc>
        <w:tc>
          <w:tcPr>
            <w:tcW w:w="2400" w:type="dxa"/>
            <w:tcMar>
              <w:top w:w="70" w:type="dxa"/>
              <w:left w:w="100" w:type="dxa"/>
              <w:bottom w:w="70" w:type="dxa"/>
              <w:right w:w="100" w:type="dxa"/>
            </w:tcMar>
          </w:tcPr>
          <w:p w14:paraId="3B8AD0FD" w14:textId="77777777" w:rsidR="0052585B" w:rsidRDefault="00000000">
            <w:r>
              <w:rPr>
                <w:color w:val="000000"/>
                <w:sz w:val="19"/>
                <w:szCs w:val="19"/>
              </w:rPr>
              <w:t>Segmentation + Revenue</w:t>
            </w:r>
          </w:p>
        </w:tc>
      </w:tr>
      <w:tr w:rsidR="0052585B" w14:paraId="3192DA89" w14:textId="77777777">
        <w:tblPrEx>
          <w:tblCellMar>
            <w:top w:w="0" w:type="dxa"/>
            <w:bottom w:w="0" w:type="dxa"/>
          </w:tblCellMar>
        </w:tblPrEx>
        <w:tc>
          <w:tcPr>
            <w:tcW w:w="500" w:type="dxa"/>
            <w:tcMar>
              <w:top w:w="70" w:type="dxa"/>
              <w:left w:w="100" w:type="dxa"/>
              <w:bottom w:w="70" w:type="dxa"/>
              <w:right w:w="100" w:type="dxa"/>
            </w:tcMar>
          </w:tcPr>
          <w:p w14:paraId="712AFDA5" w14:textId="77777777" w:rsidR="0052585B" w:rsidRDefault="00000000">
            <w:r>
              <w:rPr>
                <w:color w:val="000000"/>
                <w:sz w:val="19"/>
                <w:szCs w:val="19"/>
              </w:rPr>
              <w:t>3</w:t>
            </w:r>
          </w:p>
        </w:tc>
        <w:tc>
          <w:tcPr>
            <w:tcW w:w="6100" w:type="dxa"/>
            <w:tcMar>
              <w:top w:w="70" w:type="dxa"/>
              <w:left w:w="100" w:type="dxa"/>
              <w:bottom w:w="70" w:type="dxa"/>
              <w:right w:w="100" w:type="dxa"/>
            </w:tcMar>
          </w:tcPr>
          <w:p w14:paraId="195189F8" w14:textId="77777777" w:rsidR="0052585B" w:rsidRDefault="00000000">
            <w:r>
              <w:rPr>
                <w:color w:val="000000"/>
                <w:sz w:val="19"/>
                <w:szCs w:val="19"/>
              </w:rPr>
              <w:t>Introduce or strengthen weekday/weekend pricing within each season; the data shows strong month effects but a comparatively flat weekend premium (1.5-3.6%).</w:t>
            </w:r>
          </w:p>
        </w:tc>
        <w:tc>
          <w:tcPr>
            <w:tcW w:w="2400" w:type="dxa"/>
            <w:tcMar>
              <w:top w:w="70" w:type="dxa"/>
              <w:left w:w="100" w:type="dxa"/>
              <w:bottom w:w="70" w:type="dxa"/>
              <w:right w:w="100" w:type="dxa"/>
            </w:tcMar>
          </w:tcPr>
          <w:p w14:paraId="6826BFA4" w14:textId="77777777" w:rsidR="0052585B" w:rsidRDefault="00000000">
            <w:r>
              <w:rPr>
                <w:color w:val="000000"/>
                <w:sz w:val="19"/>
                <w:szCs w:val="19"/>
              </w:rPr>
              <w:t>Revenue</w:t>
            </w:r>
          </w:p>
        </w:tc>
      </w:tr>
      <w:tr w:rsidR="0052585B" w14:paraId="74BD15DD" w14:textId="77777777">
        <w:tblPrEx>
          <w:tblCellMar>
            <w:top w:w="0" w:type="dxa"/>
            <w:bottom w:w="0" w:type="dxa"/>
          </w:tblCellMar>
        </w:tblPrEx>
        <w:tc>
          <w:tcPr>
            <w:tcW w:w="500" w:type="dxa"/>
            <w:tcMar>
              <w:top w:w="70" w:type="dxa"/>
              <w:left w:w="100" w:type="dxa"/>
              <w:bottom w:w="70" w:type="dxa"/>
              <w:right w:w="100" w:type="dxa"/>
            </w:tcMar>
          </w:tcPr>
          <w:p w14:paraId="69D67915" w14:textId="77777777" w:rsidR="0052585B" w:rsidRDefault="00000000">
            <w:r>
              <w:rPr>
                <w:color w:val="000000"/>
                <w:sz w:val="19"/>
                <w:szCs w:val="19"/>
              </w:rPr>
              <w:t>4</w:t>
            </w:r>
          </w:p>
        </w:tc>
        <w:tc>
          <w:tcPr>
            <w:tcW w:w="6100" w:type="dxa"/>
            <w:tcMar>
              <w:top w:w="70" w:type="dxa"/>
              <w:left w:w="100" w:type="dxa"/>
              <w:bottom w:w="70" w:type="dxa"/>
              <w:right w:w="100" w:type="dxa"/>
            </w:tcMar>
          </w:tcPr>
          <w:p w14:paraId="63F00720" w14:textId="77777777" w:rsidR="0052585B" w:rsidRDefault="00000000">
            <w:r>
              <w:rPr>
                <w:color w:val="000000"/>
                <w:sz w:val="19"/>
                <w:szCs w:val="19"/>
              </w:rPr>
              <w:t>Target the Loyal Short-Stay Regulars segment (corporate/local, lowest cancellation) with off-season and shoulder-season offers, since their volume is highest exactly when Families volume is lowest - a natural demand-smoothing pairing.</w:t>
            </w:r>
          </w:p>
        </w:tc>
        <w:tc>
          <w:tcPr>
            <w:tcW w:w="2400" w:type="dxa"/>
            <w:tcMar>
              <w:top w:w="70" w:type="dxa"/>
              <w:left w:w="100" w:type="dxa"/>
              <w:bottom w:w="70" w:type="dxa"/>
              <w:right w:w="100" w:type="dxa"/>
            </w:tcMar>
          </w:tcPr>
          <w:p w14:paraId="0A4E3111" w14:textId="77777777" w:rsidR="0052585B" w:rsidRDefault="00000000">
            <w:r>
              <w:rPr>
                <w:color w:val="000000"/>
                <w:sz w:val="19"/>
                <w:szCs w:val="19"/>
              </w:rPr>
              <w:t>Segmentation + Forecasting</w:t>
            </w:r>
          </w:p>
        </w:tc>
      </w:tr>
      <w:tr w:rsidR="0052585B" w14:paraId="2CB0B851" w14:textId="77777777">
        <w:tblPrEx>
          <w:tblCellMar>
            <w:top w:w="0" w:type="dxa"/>
            <w:bottom w:w="0" w:type="dxa"/>
          </w:tblCellMar>
        </w:tblPrEx>
        <w:tc>
          <w:tcPr>
            <w:tcW w:w="500" w:type="dxa"/>
            <w:tcMar>
              <w:top w:w="70" w:type="dxa"/>
              <w:left w:w="100" w:type="dxa"/>
              <w:bottom w:w="70" w:type="dxa"/>
              <w:right w:w="100" w:type="dxa"/>
            </w:tcMar>
          </w:tcPr>
          <w:p w14:paraId="14FCC470" w14:textId="77777777" w:rsidR="0052585B" w:rsidRDefault="00000000">
            <w:r>
              <w:rPr>
                <w:color w:val="000000"/>
                <w:sz w:val="19"/>
                <w:szCs w:val="19"/>
              </w:rPr>
              <w:t>5</w:t>
            </w:r>
          </w:p>
        </w:tc>
        <w:tc>
          <w:tcPr>
            <w:tcW w:w="6100" w:type="dxa"/>
            <w:tcMar>
              <w:top w:w="70" w:type="dxa"/>
              <w:left w:w="100" w:type="dxa"/>
              <w:bottom w:w="70" w:type="dxa"/>
              <w:right w:w="100" w:type="dxa"/>
            </w:tcMar>
          </w:tcPr>
          <w:p w14:paraId="4008A79F" w14:textId="77777777" w:rsidR="0052585B" w:rsidRDefault="00000000">
            <w:r>
              <w:rPr>
                <w:color w:val="000000"/>
                <w:sz w:val="19"/>
                <w:szCs w:val="19"/>
              </w:rPr>
              <w:t>Prioritise front-desk service standards and room-condition audits; these are the weakest-scoring guest-experience aspects and are not currently reflected in how price varies.</w:t>
            </w:r>
          </w:p>
        </w:tc>
        <w:tc>
          <w:tcPr>
            <w:tcW w:w="2400" w:type="dxa"/>
            <w:tcMar>
              <w:top w:w="70" w:type="dxa"/>
              <w:left w:w="100" w:type="dxa"/>
              <w:bottom w:w="70" w:type="dxa"/>
              <w:right w:w="100" w:type="dxa"/>
            </w:tcMar>
          </w:tcPr>
          <w:p w14:paraId="27135BAD" w14:textId="77777777" w:rsidR="0052585B" w:rsidRDefault="00000000">
            <w:r>
              <w:rPr>
                <w:color w:val="000000"/>
                <w:sz w:val="19"/>
                <w:szCs w:val="19"/>
              </w:rPr>
              <w:t>Sentiment + Revenue</w:t>
            </w:r>
          </w:p>
        </w:tc>
      </w:tr>
      <w:tr w:rsidR="0052585B" w14:paraId="2A62CABE" w14:textId="77777777">
        <w:tblPrEx>
          <w:tblCellMar>
            <w:top w:w="0" w:type="dxa"/>
            <w:bottom w:w="0" w:type="dxa"/>
          </w:tblCellMar>
        </w:tblPrEx>
        <w:tc>
          <w:tcPr>
            <w:tcW w:w="500" w:type="dxa"/>
            <w:tcMar>
              <w:top w:w="70" w:type="dxa"/>
              <w:left w:w="100" w:type="dxa"/>
              <w:bottom w:w="70" w:type="dxa"/>
              <w:right w:w="100" w:type="dxa"/>
            </w:tcMar>
          </w:tcPr>
          <w:p w14:paraId="129BC54F" w14:textId="77777777" w:rsidR="0052585B" w:rsidRDefault="00000000">
            <w:r>
              <w:rPr>
                <w:color w:val="000000"/>
                <w:sz w:val="19"/>
                <w:szCs w:val="19"/>
              </w:rPr>
              <w:t>6</w:t>
            </w:r>
          </w:p>
        </w:tc>
        <w:tc>
          <w:tcPr>
            <w:tcW w:w="6100" w:type="dxa"/>
            <w:tcMar>
              <w:top w:w="70" w:type="dxa"/>
              <w:left w:w="100" w:type="dxa"/>
              <w:bottom w:w="70" w:type="dxa"/>
              <w:right w:w="100" w:type="dxa"/>
            </w:tcMar>
          </w:tcPr>
          <w:p w14:paraId="7CED1EEB" w14:textId="77777777" w:rsidR="0052585B" w:rsidRDefault="00000000">
            <w:r>
              <w:rPr>
                <w:color w:val="000000"/>
                <w:sz w:val="19"/>
                <w:szCs w:val="19"/>
              </w:rPr>
              <w:t>Grow the Direct booking channel, which carries the best rate at both properties in this data, ahead of intermediary-heavy channels.</w:t>
            </w:r>
          </w:p>
        </w:tc>
        <w:tc>
          <w:tcPr>
            <w:tcW w:w="2400" w:type="dxa"/>
            <w:tcMar>
              <w:top w:w="70" w:type="dxa"/>
              <w:left w:w="100" w:type="dxa"/>
              <w:bottom w:w="70" w:type="dxa"/>
              <w:right w:w="100" w:type="dxa"/>
            </w:tcMar>
          </w:tcPr>
          <w:p w14:paraId="2FC8188E" w14:textId="77777777" w:rsidR="0052585B" w:rsidRDefault="00000000">
            <w:r>
              <w:rPr>
                <w:color w:val="000000"/>
                <w:sz w:val="19"/>
                <w:szCs w:val="19"/>
              </w:rPr>
              <w:t>Revenue</w:t>
            </w:r>
          </w:p>
        </w:tc>
      </w:tr>
      <w:tr w:rsidR="0052585B" w14:paraId="097DC75E" w14:textId="77777777">
        <w:tblPrEx>
          <w:tblCellMar>
            <w:top w:w="0" w:type="dxa"/>
            <w:bottom w:w="0" w:type="dxa"/>
          </w:tblCellMar>
        </w:tblPrEx>
        <w:tc>
          <w:tcPr>
            <w:tcW w:w="500" w:type="dxa"/>
            <w:tcMar>
              <w:top w:w="70" w:type="dxa"/>
              <w:left w:w="100" w:type="dxa"/>
              <w:bottom w:w="70" w:type="dxa"/>
              <w:right w:w="100" w:type="dxa"/>
            </w:tcMar>
          </w:tcPr>
          <w:p w14:paraId="2B08959E" w14:textId="77777777" w:rsidR="0052585B" w:rsidRDefault="00000000">
            <w:r>
              <w:rPr>
                <w:color w:val="000000"/>
                <w:sz w:val="19"/>
                <w:szCs w:val="19"/>
              </w:rPr>
              <w:t>7</w:t>
            </w:r>
          </w:p>
        </w:tc>
        <w:tc>
          <w:tcPr>
            <w:tcW w:w="6100" w:type="dxa"/>
            <w:tcMar>
              <w:top w:w="70" w:type="dxa"/>
              <w:left w:w="100" w:type="dxa"/>
              <w:bottom w:w="70" w:type="dxa"/>
              <w:right w:w="100" w:type="dxa"/>
            </w:tcMar>
          </w:tcPr>
          <w:p w14:paraId="0360A9E4" w14:textId="77777777" w:rsidR="0052585B" w:rsidRDefault="00000000">
            <w:r>
              <w:rPr>
                <w:color w:val="000000"/>
                <w:sz w:val="19"/>
                <w:szCs w:val="19"/>
              </w:rPr>
              <w:t>Before acting on any price-elasticity number from historical data, validate it with a controlled test; this project's own elasticity regression produced an implausible result once diagnosed as reverse causality.</w:t>
            </w:r>
          </w:p>
        </w:tc>
        <w:tc>
          <w:tcPr>
            <w:tcW w:w="2400" w:type="dxa"/>
            <w:tcMar>
              <w:top w:w="70" w:type="dxa"/>
              <w:left w:w="100" w:type="dxa"/>
              <w:bottom w:w="70" w:type="dxa"/>
              <w:right w:w="100" w:type="dxa"/>
            </w:tcMar>
          </w:tcPr>
          <w:p w14:paraId="2E623AFD" w14:textId="77777777" w:rsidR="0052585B" w:rsidRDefault="00000000">
            <w:r>
              <w:rPr>
                <w:color w:val="000000"/>
                <w:sz w:val="19"/>
                <w:szCs w:val="19"/>
              </w:rPr>
              <w:t>Revenue</w:t>
            </w:r>
          </w:p>
        </w:tc>
      </w:tr>
      <w:tr w:rsidR="0052585B" w14:paraId="206E899A" w14:textId="77777777">
        <w:tblPrEx>
          <w:tblCellMar>
            <w:top w:w="0" w:type="dxa"/>
            <w:bottom w:w="0" w:type="dxa"/>
          </w:tblCellMar>
        </w:tblPrEx>
        <w:tc>
          <w:tcPr>
            <w:tcW w:w="500" w:type="dxa"/>
            <w:tcMar>
              <w:top w:w="70" w:type="dxa"/>
              <w:left w:w="100" w:type="dxa"/>
              <w:bottom w:w="70" w:type="dxa"/>
              <w:right w:w="100" w:type="dxa"/>
            </w:tcMar>
          </w:tcPr>
          <w:p w14:paraId="39561141" w14:textId="77777777" w:rsidR="0052585B" w:rsidRDefault="00000000">
            <w:r>
              <w:rPr>
                <w:color w:val="000000"/>
                <w:sz w:val="19"/>
                <w:szCs w:val="19"/>
              </w:rPr>
              <w:t>8</w:t>
            </w:r>
          </w:p>
        </w:tc>
        <w:tc>
          <w:tcPr>
            <w:tcW w:w="6100" w:type="dxa"/>
            <w:tcMar>
              <w:top w:w="70" w:type="dxa"/>
              <w:left w:w="100" w:type="dxa"/>
              <w:bottom w:w="70" w:type="dxa"/>
              <w:right w:w="100" w:type="dxa"/>
            </w:tcMar>
          </w:tcPr>
          <w:p w14:paraId="35E0B59E" w14:textId="77777777" w:rsidR="0052585B" w:rsidRDefault="00000000">
            <w:r>
              <w:rPr>
                <w:color w:val="000000"/>
                <w:sz w:val="19"/>
                <w:szCs w:val="19"/>
              </w:rPr>
              <w:t>Re-run sentiment and segmentation on the hotel's own, linked guest and review data before deploying Section 9.3's hypothesis operationally.</w:t>
            </w:r>
          </w:p>
        </w:tc>
        <w:tc>
          <w:tcPr>
            <w:tcW w:w="2400" w:type="dxa"/>
            <w:tcMar>
              <w:top w:w="70" w:type="dxa"/>
              <w:left w:w="100" w:type="dxa"/>
              <w:bottom w:w="70" w:type="dxa"/>
              <w:right w:w="100" w:type="dxa"/>
            </w:tcMar>
          </w:tcPr>
          <w:p w14:paraId="08A4416C" w14:textId="77777777" w:rsidR="0052585B" w:rsidRDefault="00000000">
            <w:r>
              <w:rPr>
                <w:color w:val="000000"/>
                <w:sz w:val="19"/>
                <w:szCs w:val="19"/>
              </w:rPr>
              <w:t>Sentiment + Segmentation</w:t>
            </w:r>
          </w:p>
        </w:tc>
      </w:tr>
    </w:tbl>
    <w:p w14:paraId="4BA1A9B8" w14:textId="77777777" w:rsidR="0052585B" w:rsidRDefault="00000000">
      <w:pPr>
        <w:pStyle w:val="Heading1"/>
        <w:spacing w:before="300" w:after="150"/>
      </w:pPr>
      <w:r>
        <w:t>11. Limitations and Critical Reflection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4"/>
        <w:gridCol w:w="6016"/>
      </w:tblGrid>
      <w:tr w:rsidR="0052585B" w14:paraId="5C9BD8FD" w14:textId="77777777">
        <w:tblPrEx>
          <w:tblCellMar>
            <w:top w:w="0" w:type="dxa"/>
            <w:bottom w:w="0" w:type="dxa"/>
          </w:tblCellMar>
        </w:tblPrEx>
        <w:tc>
          <w:tcPr>
            <w:tcW w:w="3200" w:type="dxa"/>
            <w:shd w:val="clear" w:color="auto" w:fill="1F3864"/>
            <w:tcMar>
              <w:top w:w="70" w:type="dxa"/>
              <w:left w:w="100" w:type="dxa"/>
              <w:bottom w:w="70" w:type="dxa"/>
              <w:right w:w="100" w:type="dxa"/>
            </w:tcMar>
          </w:tcPr>
          <w:p w14:paraId="13F8CA58" w14:textId="77777777" w:rsidR="0052585B" w:rsidRDefault="00000000">
            <w:r>
              <w:rPr>
                <w:b/>
                <w:bCs/>
                <w:color w:val="FFFFFF"/>
                <w:sz w:val="19"/>
                <w:szCs w:val="19"/>
              </w:rPr>
              <w:t>Limitation</w:t>
            </w:r>
          </w:p>
        </w:tc>
        <w:tc>
          <w:tcPr>
            <w:tcW w:w="6600" w:type="dxa"/>
            <w:shd w:val="clear" w:color="auto" w:fill="1F3864"/>
            <w:tcMar>
              <w:top w:w="70" w:type="dxa"/>
              <w:left w:w="100" w:type="dxa"/>
              <w:bottom w:w="70" w:type="dxa"/>
              <w:right w:w="100" w:type="dxa"/>
            </w:tcMar>
          </w:tcPr>
          <w:p w14:paraId="4A7744EB" w14:textId="77777777" w:rsidR="0052585B" w:rsidRDefault="00000000">
            <w:r>
              <w:rPr>
                <w:b/>
                <w:bCs/>
                <w:color w:val="FFFFFF"/>
                <w:sz w:val="19"/>
                <w:szCs w:val="19"/>
              </w:rPr>
              <w:t>Scope</w:t>
            </w:r>
          </w:p>
        </w:tc>
      </w:tr>
      <w:tr w:rsidR="0052585B" w14:paraId="517EFB2F" w14:textId="77777777">
        <w:tblPrEx>
          <w:tblCellMar>
            <w:top w:w="0" w:type="dxa"/>
            <w:bottom w:w="0" w:type="dxa"/>
          </w:tblCellMar>
        </w:tblPrEx>
        <w:tc>
          <w:tcPr>
            <w:tcW w:w="3200" w:type="dxa"/>
            <w:tcMar>
              <w:top w:w="70" w:type="dxa"/>
              <w:left w:w="100" w:type="dxa"/>
              <w:bottom w:w="70" w:type="dxa"/>
              <w:right w:w="100" w:type="dxa"/>
            </w:tcMar>
          </w:tcPr>
          <w:p w14:paraId="61E05825" w14:textId="77777777" w:rsidR="0052585B" w:rsidRDefault="00000000">
            <w:r>
              <w:rPr>
                <w:color w:val="000000"/>
                <w:sz w:val="19"/>
                <w:szCs w:val="19"/>
              </w:rPr>
              <w:t>Two datasets, not fully linked</w:t>
            </w:r>
          </w:p>
        </w:tc>
        <w:tc>
          <w:tcPr>
            <w:tcW w:w="6600" w:type="dxa"/>
            <w:tcMar>
              <w:top w:w="70" w:type="dxa"/>
              <w:left w:w="100" w:type="dxa"/>
              <w:bottom w:w="70" w:type="dxa"/>
              <w:right w:w="100" w:type="dxa"/>
            </w:tcMar>
          </w:tcPr>
          <w:p w14:paraId="76A27568" w14:textId="77777777" w:rsidR="0052585B" w:rsidRDefault="00000000">
            <w:r>
              <w:rPr>
                <w:color w:val="000000"/>
                <w:sz w:val="19"/>
                <w:szCs w:val="19"/>
              </w:rPr>
              <w:t>Sentiment analysis cannot be tied to the specific bookings, segments or price points analysed elsewhere; Section 9.3's synthesis is explicitly flagged as a hypothesis, not a proven link</w:t>
            </w:r>
          </w:p>
        </w:tc>
      </w:tr>
      <w:tr w:rsidR="0052585B" w14:paraId="31B9534C" w14:textId="77777777">
        <w:tblPrEx>
          <w:tblCellMar>
            <w:top w:w="0" w:type="dxa"/>
            <w:bottom w:w="0" w:type="dxa"/>
          </w:tblCellMar>
        </w:tblPrEx>
        <w:tc>
          <w:tcPr>
            <w:tcW w:w="3200" w:type="dxa"/>
            <w:tcMar>
              <w:top w:w="70" w:type="dxa"/>
              <w:left w:w="100" w:type="dxa"/>
              <w:bottom w:w="70" w:type="dxa"/>
              <w:right w:w="100" w:type="dxa"/>
            </w:tcMar>
          </w:tcPr>
          <w:p w14:paraId="0F772334" w14:textId="77777777" w:rsidR="0052585B" w:rsidRDefault="00000000">
            <w:r>
              <w:rPr>
                <w:color w:val="000000"/>
                <w:sz w:val="19"/>
                <w:szCs w:val="19"/>
              </w:rPr>
              <w:t>Occupancy and RevPAR are proxies</w:t>
            </w:r>
          </w:p>
        </w:tc>
        <w:tc>
          <w:tcPr>
            <w:tcW w:w="6600" w:type="dxa"/>
            <w:tcMar>
              <w:top w:w="70" w:type="dxa"/>
              <w:left w:w="100" w:type="dxa"/>
              <w:bottom w:w="70" w:type="dxa"/>
              <w:right w:w="100" w:type="dxa"/>
            </w:tcMar>
          </w:tcPr>
          <w:p w14:paraId="688E2F4C" w14:textId="77777777" w:rsidR="0052585B" w:rsidRDefault="00000000">
            <w:r>
              <w:rPr>
                <w:color w:val="000000"/>
                <w:sz w:val="19"/>
                <w:szCs w:val="19"/>
              </w:rPr>
              <w:t>No true capacity field exists; capacity was assumed near the 99th percentile of observed daily arrivals per hotel (Module 5)</w:t>
            </w:r>
          </w:p>
        </w:tc>
      </w:tr>
      <w:tr w:rsidR="0052585B" w14:paraId="45C28D8D" w14:textId="77777777">
        <w:tblPrEx>
          <w:tblCellMar>
            <w:top w:w="0" w:type="dxa"/>
            <w:bottom w:w="0" w:type="dxa"/>
          </w:tblCellMar>
        </w:tblPrEx>
        <w:tc>
          <w:tcPr>
            <w:tcW w:w="3200" w:type="dxa"/>
            <w:tcMar>
              <w:top w:w="70" w:type="dxa"/>
              <w:left w:w="100" w:type="dxa"/>
              <w:bottom w:w="70" w:type="dxa"/>
              <w:right w:w="100" w:type="dxa"/>
            </w:tcMar>
          </w:tcPr>
          <w:p w14:paraId="2DBD5889" w14:textId="77777777" w:rsidR="0052585B" w:rsidRDefault="00000000">
            <w:r>
              <w:rPr>
                <w:color w:val="000000"/>
                <w:sz w:val="19"/>
                <w:szCs w:val="19"/>
              </w:rPr>
              <w:t>Elasticity could not be identified causally</w:t>
            </w:r>
          </w:p>
        </w:tc>
        <w:tc>
          <w:tcPr>
            <w:tcW w:w="6600" w:type="dxa"/>
            <w:tcMar>
              <w:top w:w="70" w:type="dxa"/>
              <w:left w:w="100" w:type="dxa"/>
              <w:bottom w:w="70" w:type="dxa"/>
              <w:right w:w="100" w:type="dxa"/>
            </w:tcMar>
          </w:tcPr>
          <w:p w14:paraId="53FA5603" w14:textId="77777777" w:rsidR="0052585B" w:rsidRDefault="00000000">
            <w:r>
              <w:rPr>
                <w:color w:val="000000"/>
                <w:sz w:val="19"/>
                <w:szCs w:val="19"/>
              </w:rPr>
              <w:t>Historical price-quantity data reflects the hotel's own revenue-management reactions to anticipated demand, not an independent demand curve (Module 5, Section 5.1 of that module)</w:t>
            </w:r>
          </w:p>
        </w:tc>
      </w:tr>
      <w:tr w:rsidR="0052585B" w14:paraId="4D1CD958" w14:textId="77777777">
        <w:tblPrEx>
          <w:tblCellMar>
            <w:top w:w="0" w:type="dxa"/>
            <w:bottom w:w="0" w:type="dxa"/>
          </w:tblCellMar>
        </w:tblPrEx>
        <w:tc>
          <w:tcPr>
            <w:tcW w:w="3200" w:type="dxa"/>
            <w:tcMar>
              <w:top w:w="70" w:type="dxa"/>
              <w:left w:w="100" w:type="dxa"/>
              <w:bottom w:w="70" w:type="dxa"/>
              <w:right w:w="100" w:type="dxa"/>
            </w:tcMar>
          </w:tcPr>
          <w:p w14:paraId="53BD399B" w14:textId="77777777" w:rsidR="0052585B" w:rsidRDefault="00000000">
            <w:r>
              <w:rPr>
                <w:color w:val="000000"/>
                <w:sz w:val="19"/>
                <w:szCs w:val="19"/>
              </w:rPr>
              <w:t>Segmentation quality is moderate, not strong</w:t>
            </w:r>
          </w:p>
        </w:tc>
        <w:tc>
          <w:tcPr>
            <w:tcW w:w="6600" w:type="dxa"/>
            <w:tcMar>
              <w:top w:w="70" w:type="dxa"/>
              <w:left w:w="100" w:type="dxa"/>
              <w:bottom w:w="70" w:type="dxa"/>
              <w:right w:w="100" w:type="dxa"/>
            </w:tcMar>
          </w:tcPr>
          <w:p w14:paraId="1D57D1EB" w14:textId="77777777" w:rsidR="0052585B" w:rsidRDefault="00000000">
            <w:r>
              <w:rPr>
                <w:color w:val="000000"/>
                <w:sz w:val="19"/>
                <w:szCs w:val="19"/>
              </w:rPr>
              <w:t>Silhouette 0.36 sits in the 'weak structure' band of common guidance; segments are useful simplifications of gradual behavioural variation, not sharply separated populations (Module 3)</w:t>
            </w:r>
          </w:p>
        </w:tc>
      </w:tr>
      <w:tr w:rsidR="0052585B" w14:paraId="36303EE5" w14:textId="77777777">
        <w:tblPrEx>
          <w:tblCellMar>
            <w:top w:w="0" w:type="dxa"/>
            <w:bottom w:w="0" w:type="dxa"/>
          </w:tblCellMar>
        </w:tblPrEx>
        <w:tc>
          <w:tcPr>
            <w:tcW w:w="3200" w:type="dxa"/>
            <w:tcMar>
              <w:top w:w="70" w:type="dxa"/>
              <w:left w:w="100" w:type="dxa"/>
              <w:bottom w:w="70" w:type="dxa"/>
              <w:right w:w="100" w:type="dxa"/>
            </w:tcMar>
          </w:tcPr>
          <w:p w14:paraId="66CAEEEA" w14:textId="77777777" w:rsidR="0052585B" w:rsidRDefault="00000000">
            <w:r>
              <w:rPr>
                <w:color w:val="000000"/>
                <w:sz w:val="19"/>
                <w:szCs w:val="19"/>
              </w:rPr>
              <w:lastRenderedPageBreak/>
              <w:t>Forecasting evaluated on one 8-week window</w:t>
            </w:r>
          </w:p>
        </w:tc>
        <w:tc>
          <w:tcPr>
            <w:tcW w:w="6600" w:type="dxa"/>
            <w:tcMar>
              <w:top w:w="70" w:type="dxa"/>
              <w:left w:w="100" w:type="dxa"/>
              <w:bottom w:w="70" w:type="dxa"/>
              <w:right w:w="100" w:type="dxa"/>
            </w:tcMar>
          </w:tcPr>
          <w:p w14:paraId="123C8112" w14:textId="77777777" w:rsidR="0052585B" w:rsidRDefault="00000000">
            <w:r>
              <w:rPr>
                <w:color w:val="000000"/>
                <w:sz w:val="19"/>
                <w:szCs w:val="19"/>
              </w:rPr>
              <w:t>The holdout-best and cross-validation-best models disagreed, showing single-window evaluation is not fully reliable at this data volume (Module 2)</w:t>
            </w:r>
          </w:p>
        </w:tc>
      </w:tr>
      <w:tr w:rsidR="0052585B" w14:paraId="50606FAD" w14:textId="77777777">
        <w:tblPrEx>
          <w:tblCellMar>
            <w:top w:w="0" w:type="dxa"/>
            <w:bottom w:w="0" w:type="dxa"/>
          </w:tblCellMar>
        </w:tblPrEx>
        <w:tc>
          <w:tcPr>
            <w:tcW w:w="3200" w:type="dxa"/>
            <w:tcMar>
              <w:top w:w="70" w:type="dxa"/>
              <w:left w:w="100" w:type="dxa"/>
              <w:bottom w:w="70" w:type="dxa"/>
              <w:right w:w="100" w:type="dxa"/>
            </w:tcMar>
          </w:tcPr>
          <w:p w14:paraId="73E9A93C" w14:textId="77777777" w:rsidR="0052585B" w:rsidRDefault="00000000">
            <w:r>
              <w:rPr>
                <w:color w:val="000000"/>
                <w:sz w:val="19"/>
                <w:szCs w:val="19"/>
              </w:rPr>
              <w:t>Sentiment labels are star ratings, not human annotation</w:t>
            </w:r>
          </w:p>
        </w:tc>
        <w:tc>
          <w:tcPr>
            <w:tcW w:w="6600" w:type="dxa"/>
            <w:tcMar>
              <w:top w:w="70" w:type="dxa"/>
              <w:left w:w="100" w:type="dxa"/>
              <w:bottom w:w="70" w:type="dxa"/>
              <w:right w:w="100" w:type="dxa"/>
            </w:tcMar>
          </w:tcPr>
          <w:p w14:paraId="660E5F07" w14:textId="77777777" w:rsidR="0052585B" w:rsidRDefault="00000000">
            <w:r>
              <w:rPr>
                <w:color w:val="000000"/>
                <w:sz w:val="19"/>
                <w:szCs w:val="19"/>
              </w:rPr>
              <w:t>Accuracy figures measure agreement with ratings, not with independently verified sentiment (Module 4)</w:t>
            </w:r>
          </w:p>
        </w:tc>
      </w:tr>
      <w:tr w:rsidR="0052585B" w14:paraId="43342B8C" w14:textId="77777777">
        <w:tblPrEx>
          <w:tblCellMar>
            <w:top w:w="0" w:type="dxa"/>
            <w:bottom w:w="0" w:type="dxa"/>
          </w:tblCellMar>
        </w:tblPrEx>
        <w:tc>
          <w:tcPr>
            <w:tcW w:w="3200" w:type="dxa"/>
            <w:tcMar>
              <w:top w:w="70" w:type="dxa"/>
              <w:left w:w="100" w:type="dxa"/>
              <w:bottom w:w="70" w:type="dxa"/>
              <w:right w:w="100" w:type="dxa"/>
            </w:tcMar>
          </w:tcPr>
          <w:p w14:paraId="1EA91B6A" w14:textId="77777777" w:rsidR="0052585B" w:rsidRDefault="00000000">
            <w:r>
              <w:rPr>
                <w:color w:val="000000"/>
                <w:sz w:val="19"/>
                <w:szCs w:val="19"/>
              </w:rPr>
              <w:t>Two hotels, one country, 2015-2017</w:t>
            </w:r>
          </w:p>
        </w:tc>
        <w:tc>
          <w:tcPr>
            <w:tcW w:w="6600" w:type="dxa"/>
            <w:tcMar>
              <w:top w:w="70" w:type="dxa"/>
              <w:left w:w="100" w:type="dxa"/>
              <w:bottom w:w="70" w:type="dxa"/>
              <w:right w:w="100" w:type="dxa"/>
            </w:tcMar>
          </w:tcPr>
          <w:p w14:paraId="588D63A2" w14:textId="77777777" w:rsidR="0052585B" w:rsidRDefault="00000000">
            <w:r>
              <w:rPr>
                <w:color w:val="000000"/>
                <w:sz w:val="19"/>
                <w:szCs w:val="19"/>
              </w:rPr>
              <w:t>All five modules share this scope; conclusions may not generalise to other markets, hotel types, or the current period</w:t>
            </w:r>
          </w:p>
        </w:tc>
      </w:tr>
    </w:tbl>
    <w:p w14:paraId="437770B4" w14:textId="77777777" w:rsidR="0052585B" w:rsidRDefault="00000000">
      <w:pPr>
        <w:spacing w:after="160"/>
      </w:pPr>
      <w:r>
        <w:t>Presenting these limitations together, rather than only within each module, is itself part of the synthesis: several of them compound. For example, the moderate segmentation quality (Module 3) combined with the unlinked sentiment data (Module 4) means Section 9.3's room-condition hypothesis carries two layers of uncertainty and should be treated as a research question, not a ready-to-implement finding.</w:t>
      </w:r>
    </w:p>
    <w:p w14:paraId="582B70DF" w14:textId="77777777" w:rsidR="0052585B" w:rsidRDefault="00000000">
      <w:pPr>
        <w:pStyle w:val="Heading1"/>
        <w:spacing w:before="300" w:after="150"/>
      </w:pPr>
      <w:r>
        <w:t>12. Conclusion</w:t>
      </w:r>
    </w:p>
    <w:p w14:paraId="1595FFCB" w14:textId="77777777" w:rsidR="0052585B" w:rsidRDefault="00000000">
      <w:pPr>
        <w:spacing w:after="160"/>
      </w:pPr>
      <w:r>
        <w:t>This project took one real hospitality dataset through a complete analytics lifecycle - cleaning, forecasting, segmentation, and pricing - and paired it with an independent sentiment analysis of public hotel reviews. Each module stands on its own evidence: a cleaned base of 87,221 bookings; a forecasting model that beats naive baselines but is honest about the limits of an 8-week evaluation window; a three-segment guest typology confirmed by two different clustering algorithms; a sentiment pipeline that diagnoses why simple lexicon tools mislead on long, mixed reviews; and a pricing analysis that correctly recognises when its own regression cannot be trusted for a business decision.</w:t>
      </w:r>
    </w:p>
    <w:p w14:paraId="3682CDFD" w14:textId="77777777" w:rsidR="0052585B" w:rsidRDefault="00000000">
      <w:pPr>
        <w:spacing w:after="160"/>
      </w:pPr>
      <w:r>
        <w:t>The more important result, and the one specific to this final report, is that these independently built analyses corroborate each other without having been designed to: the segment that clustering identified as high-value and high-risk is the same segment driving the seasonal peak that forecasting found and the seasonal price premium that the revenue model found, and two unrelated calculations of cancellation-by-price risk land on the same number. That kind of convergence across independently built models is, in applied data science, a stronger form of evidence than any single model's internal metrics, and it is the clearest demonstration in this report of how forecasting, segmentation, sentiment analysis and revenue management genuinely function as one connected system in hospitality decision-making rather than four separate exercises.</w:t>
      </w:r>
    </w:p>
    <w:p w14:paraId="53252213" w14:textId="77777777" w:rsidR="0052585B" w:rsidRDefault="00000000">
      <w:pPr>
        <w:pStyle w:val="Heading1"/>
        <w:spacing w:before="300" w:after="150"/>
      </w:pPr>
      <w:r>
        <w:t>References</w:t>
      </w:r>
    </w:p>
    <w:p w14:paraId="52991176" w14:textId="77777777" w:rsidR="0052585B" w:rsidRDefault="00000000">
      <w:pPr>
        <w:spacing w:after="160"/>
      </w:pPr>
      <w:r>
        <w:t>Antonio, N., de Almeida, A., &amp; Nunes, L. (2019). Hotel booking demand datasets. Data in Brief, 22, 41-49.</w:t>
      </w:r>
    </w:p>
    <w:p w14:paraId="553FBE8C" w14:textId="77777777" w:rsidR="0052585B" w:rsidRDefault="00000000">
      <w:pPr>
        <w:spacing w:after="160"/>
      </w:pPr>
      <w:r>
        <w:t>Hutto, C. J., &amp; Gilbert, E. (2014). VADER: A parsimonious rule-based model for sentiment analysis of social media text. Proceedings of ICWSM-14.</w:t>
      </w:r>
    </w:p>
    <w:p w14:paraId="097DE32B" w14:textId="77777777" w:rsidR="0052585B" w:rsidRDefault="00000000">
      <w:pPr>
        <w:spacing w:after="160"/>
      </w:pPr>
      <w:r>
        <w:t>Hyndman, R. J., &amp; Athanasopoulos, G. (2021). Forecasting: Principles and Practice (3rd ed.). OTexts.</w:t>
      </w:r>
    </w:p>
    <w:p w14:paraId="3D80A816" w14:textId="77777777" w:rsidR="0052585B" w:rsidRDefault="00000000">
      <w:pPr>
        <w:spacing w:after="160"/>
      </w:pPr>
      <w:r>
        <w:t>Kaufman, L., &amp; Rousseeuw, P. J. (1990). Finding Groups in Data: An Introduction to Cluster Analysis. Wiley.</w:t>
      </w:r>
    </w:p>
    <w:p w14:paraId="0BBD2811" w14:textId="77777777" w:rsidR="0052585B" w:rsidRDefault="00000000">
      <w:pPr>
        <w:spacing w:after="160"/>
      </w:pPr>
      <w:r>
        <w:t>Kimes, S. E. (2011). Customer-based revenue management: Setting rates based on customer response to price. Cornell Hospitality Report, 11(2).</w:t>
      </w:r>
    </w:p>
    <w:p w14:paraId="72B6C002" w14:textId="77777777" w:rsidR="0052585B" w:rsidRDefault="00000000">
      <w:pPr>
        <w:spacing w:after="160"/>
      </w:pPr>
      <w:r>
        <w:t>Pedregosa, F., et al. (2011). Scikit-learn: Machine learning in Python. Journal of Machine Learning Research, 12, 2825-2830.</w:t>
      </w:r>
    </w:p>
    <w:p w14:paraId="67F0F087" w14:textId="77777777" w:rsidR="0052585B" w:rsidRDefault="00000000">
      <w:pPr>
        <w:spacing w:after="160"/>
      </w:pPr>
      <w:r>
        <w:t>Seabold, S., &amp; Perktold, J. (2010). statsmodels: Econometric and statistical modeling with Python. Proceedings of the 9th Python in Science Conference.</w:t>
      </w:r>
    </w:p>
    <w:p w14:paraId="21486926" w14:textId="77777777" w:rsidR="0052585B" w:rsidRDefault="00000000">
      <w:pPr>
        <w:spacing w:after="160"/>
      </w:pPr>
      <w:r>
        <w:t>TripAdvisor Hotel Reviews dataset (public CSV, 20,491 reviews), accessed via a public GitHub repository.</w:t>
      </w:r>
    </w:p>
    <w:sectPr w:rsidR="005258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06DF"/>
    <w:multiLevelType w:val="hybridMultilevel"/>
    <w:tmpl w:val="0E2C15B0"/>
    <w:lvl w:ilvl="0" w:tplc="890C04BC">
      <w:start w:val="1"/>
      <w:numFmt w:val="bullet"/>
      <w:lvlText w:val="●"/>
      <w:lvlJc w:val="left"/>
      <w:pPr>
        <w:ind w:left="720" w:hanging="360"/>
      </w:pPr>
    </w:lvl>
    <w:lvl w:ilvl="1" w:tplc="202A7586">
      <w:start w:val="1"/>
      <w:numFmt w:val="bullet"/>
      <w:lvlText w:val="○"/>
      <w:lvlJc w:val="left"/>
      <w:pPr>
        <w:ind w:left="1440" w:hanging="360"/>
      </w:pPr>
    </w:lvl>
    <w:lvl w:ilvl="2" w:tplc="21D66AC4">
      <w:start w:val="1"/>
      <w:numFmt w:val="bullet"/>
      <w:lvlText w:val="■"/>
      <w:lvlJc w:val="left"/>
      <w:pPr>
        <w:ind w:left="2160" w:hanging="360"/>
      </w:pPr>
    </w:lvl>
    <w:lvl w:ilvl="3" w:tplc="41385918">
      <w:start w:val="1"/>
      <w:numFmt w:val="bullet"/>
      <w:lvlText w:val="●"/>
      <w:lvlJc w:val="left"/>
      <w:pPr>
        <w:ind w:left="2880" w:hanging="360"/>
      </w:pPr>
    </w:lvl>
    <w:lvl w:ilvl="4" w:tplc="84F07316">
      <w:start w:val="1"/>
      <w:numFmt w:val="bullet"/>
      <w:lvlText w:val="○"/>
      <w:lvlJc w:val="left"/>
      <w:pPr>
        <w:ind w:left="3600" w:hanging="360"/>
      </w:pPr>
    </w:lvl>
    <w:lvl w:ilvl="5" w:tplc="99A4A22E">
      <w:start w:val="1"/>
      <w:numFmt w:val="bullet"/>
      <w:lvlText w:val="■"/>
      <w:lvlJc w:val="left"/>
      <w:pPr>
        <w:ind w:left="4320" w:hanging="360"/>
      </w:pPr>
    </w:lvl>
    <w:lvl w:ilvl="6" w:tplc="3E48A1EA">
      <w:start w:val="1"/>
      <w:numFmt w:val="bullet"/>
      <w:lvlText w:val="●"/>
      <w:lvlJc w:val="left"/>
      <w:pPr>
        <w:ind w:left="5040" w:hanging="360"/>
      </w:pPr>
    </w:lvl>
    <w:lvl w:ilvl="7" w:tplc="2C1CB0FA">
      <w:start w:val="1"/>
      <w:numFmt w:val="bullet"/>
      <w:lvlText w:val="●"/>
      <w:lvlJc w:val="left"/>
      <w:pPr>
        <w:ind w:left="5760" w:hanging="360"/>
      </w:pPr>
    </w:lvl>
    <w:lvl w:ilvl="8" w:tplc="DB4439F4">
      <w:start w:val="1"/>
      <w:numFmt w:val="bullet"/>
      <w:lvlText w:val="●"/>
      <w:lvlJc w:val="left"/>
      <w:pPr>
        <w:ind w:left="6480" w:hanging="360"/>
      </w:pPr>
    </w:lvl>
  </w:abstractNum>
  <w:num w:numId="1" w16cid:durableId="119577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85B"/>
    <w:rsid w:val="00021626"/>
    <w:rsid w:val="0052585B"/>
    <w:rsid w:val="006D2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1342"/>
  <w15:docId w15:val="{3C8516C5-1809-453F-AA18-02D95BA69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3161</Words>
  <Characters>18021</Characters>
  <Application>Microsoft Office Word</Application>
  <DocSecurity>0</DocSecurity>
  <Lines>150</Lines>
  <Paragraphs>42</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2</cp:revision>
  <dcterms:created xsi:type="dcterms:W3CDTF">2026-09-30T08:24:00Z</dcterms:created>
  <dcterms:modified xsi:type="dcterms:W3CDTF">2026-10-13T16:32:00Z</dcterms:modified>
</cp:coreProperties>
</file>