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Light" w:hAnsi="Calibri Light"/>
          <w:b/>
          <w:i w:val="0"/>
          <w:color w:val="0D47A1"/>
          <w:sz w:val="56"/>
        </w:rPr>
        <w:t>AUTOTRADE PRO</w:t>
      </w:r>
    </w:p>
    <w:p>
      <w:pPr>
        <w:spacing w:before="0" w:after="80"/>
        <w:jc w:val="center"/>
      </w:pPr>
      <w:r>
        <w:rPr>
          <w:rFonts w:ascii="Calibri" w:hAnsi="Calibri"/>
          <w:b w:val="0"/>
          <w:i/>
          <w:color w:val="00697A"/>
          <w:sz w:val="26"/>
        </w:rPr>
        <w:t>Quantitative Algo-Trading Platform</w:t>
      </w:r>
    </w:p>
    <w:p>
      <w:pPr>
        <w:spacing w:before="160" w:after="160"/>
        <w:jc w:val="center"/>
      </w:pPr>
      <w:r>
        <w:rPr>
          <w:rFonts w:ascii="Calibri" w:hAnsi="Calibri"/>
          <w:b w:val="0"/>
          <w:i w:val="0"/>
          <w:color w:val="78909C"/>
          <w:sz w:val="20"/>
        </w:rPr>
        <w:t>────────────────────────────────────────────────────────────────────────</w:t>
      </w:r>
    </w:p>
    <w:p>
      <w:pPr>
        <w:spacing w:before="120" w:after="80"/>
        <w:jc w:val="center"/>
      </w:pPr>
      <w:r>
        <w:rPr>
          <w:rFonts w:ascii="Calibri Light" w:hAnsi="Calibri Light"/>
          <w:b/>
          <w:i w:val="0"/>
          <w:color w:val="0D47A1"/>
          <w:sz w:val="40"/>
        </w:rPr>
        <w:t>ANNUAL PERFORMANCE REPORT</w:t>
      </w:r>
    </w:p>
    <w:p>
      <w:pPr>
        <w:spacing w:before="40" w:after="40"/>
        <w:jc w:val="center"/>
      </w:pPr>
      <w:r>
        <w:rPr>
          <w:rFonts w:ascii="Calibri" w:hAnsi="Calibri"/>
          <w:b w:val="0"/>
          <w:i w:val="0"/>
          <w:color w:val="37474F"/>
          <w:sz w:val="22"/>
        </w:rPr>
        <w:t>Backtesting Period: January 2022 – June 2026  (4.5 Years)</w:t>
      </w:r>
    </w:p>
    <w:p>
      <w:pPr>
        <w:spacing w:before="40" w:after="40"/>
        <w:jc w:val="center"/>
      </w:pPr>
      <w:r>
        <w:rPr>
          <w:rFonts w:ascii="Calibri" w:hAnsi="Calibri"/>
          <w:b w:val="0"/>
          <w:i w:val="0"/>
          <w:color w:val="37474F"/>
          <w:sz w:val="22"/>
        </w:rPr>
        <w:t>Strategy: PULLBACK_LONG (Phase 9 Configuration)</w:t>
      </w:r>
    </w:p>
    <w:p>
      <w:pPr>
        <w:spacing w:before="40" w:after="40"/>
        <w:jc w:val="center"/>
      </w:pPr>
      <w:r>
        <w:rPr>
          <w:rFonts w:ascii="Calibri" w:hAnsi="Calibri"/>
          <w:b w:val="0"/>
          <w:i w:val="0"/>
          <w:color w:val="37474F"/>
          <w:sz w:val="22"/>
        </w:rPr>
        <w:t>Universe: 495 NSE-Listed Equities</w:t>
      </w:r>
    </w:p>
    <w:p>
      <w:pPr>
        <w:spacing w:before="40" w:after="40"/>
        <w:jc w:val="center"/>
      </w:pPr>
      <w:r>
        <w:rPr>
          <w:rFonts w:ascii="Calibri" w:hAnsi="Calibri"/>
          <w:b w:val="0"/>
          <w:i w:val="0"/>
          <w:color w:val="37474F"/>
          <w:sz w:val="22"/>
        </w:rPr>
        <w:t>Live Wallet Assumption: ₹20,00,000</w:t>
      </w:r>
    </w:p>
    <w:p>
      <w:pPr>
        <w:spacing w:before="40" w:after="40"/>
        <w:jc w:val="center"/>
      </w:pPr>
      <w:r>
        <w:rPr>
          <w:rFonts w:ascii="Calibri" w:hAnsi="Calibri"/>
          <w:b w:val="0"/>
          <w:i/>
          <w:color w:val="37474F"/>
          <w:sz w:val="22"/>
        </w:rPr>
        <w:t>Prepared for: Management Review</w:t>
      </w:r>
    </w:p>
    <w:p>
      <w:pPr>
        <w:spacing w:before="40" w:after="240"/>
        <w:jc w:val="center"/>
      </w:pPr>
      <w:r>
        <w:rPr>
          <w:rFonts w:ascii="Calibri" w:hAnsi="Calibri"/>
          <w:b w:val="0"/>
          <w:i w:val="0"/>
          <w:color w:val="37474F"/>
          <w:sz w:val="22"/>
        </w:rPr>
        <w:t>Date: 26 June 2026</w:t>
      </w:r>
    </w:p>
    <w:p>
      <w:pPr>
        <w:spacing w:before="0" w:after="0"/>
        <w:jc w:val="center"/>
      </w:pPr>
      <w:r>
        <w:rPr>
          <w:rFonts w:ascii="Calibri" w:hAnsi="Calibri"/>
          <w:b w:val="0"/>
          <w:i w:val="0"/>
          <w:color w:val="78909C"/>
          <w:sz w:val="20"/>
        </w:rPr>
        <w:t>────────────────────────────────────────────────────────────────────────</w:t>
      </w:r>
    </w:p>
    <w:p>
      <w:r>
        <w:br w:type="page"/>
      </w:r>
    </w:p>
    <w:p>
      <w:pPr>
        <w:spacing w:before="280" w:after="40"/>
        <w:jc w:val="left"/>
      </w:pPr>
      <w:r>
        <w:rPr>
          <w:rFonts w:ascii="Calibri Light" w:hAnsi="Calibri Light"/>
          <w:b/>
          <w:i w:val="0"/>
          <w:color w:val="00697A"/>
          <w:sz w:val="28"/>
        </w:rPr>
        <w:t xml:space="preserve">1. </w:t>
      </w:r>
      <w:r>
        <w:rPr>
          <w:rFonts w:ascii="Calibri Light" w:hAnsi="Calibri Light"/>
          <w:b/>
          <w:i w:val="0"/>
          <w:color w:val="0D47A1"/>
          <w:sz w:val="28"/>
        </w:rPr>
        <w:t>EXECUTIVE SUMMARY</w:t>
      </w:r>
    </w:p>
    <w:p>
      <w:pPr>
        <w:spacing w:before="0" w:after="100"/>
        <w:jc w:val="both"/>
      </w:pPr>
      <w:r>
        <w:rPr>
          <w:rFonts w:ascii="Calibri" w:hAnsi="Calibri"/>
          <w:b w:val="0"/>
          <w:i w:val="0"/>
          <w:color w:val="37474F"/>
          <w:sz w:val="21"/>
        </w:rPr>
        <w:t>AutoTrade Pro is a rules-based algorithmic swing-trading system built on NSE-listed equities. It executes the PULLBACK_LONG strategy — buying quality stocks that pull back to their 20-day Exponential Moving Average (EMA20) within an established uptrend, then bounce back with volume confirmation. The system is purely long-only (no short-selling) and operates with strict risk management: a fixed 1% risk per trade on the live wallet.</w:t>
      </w:r>
    </w:p>
    <w:p>
      <w:pPr>
        <w:spacing w:before="0" w:after="100"/>
        <w:jc w:val="both"/>
      </w:pPr>
      <w:r>
        <w:rPr>
          <w:rFonts w:ascii="Calibri" w:hAnsi="Calibri"/>
          <w:b w:val="0"/>
          <w:i w:val="0"/>
          <w:color w:val="37474F"/>
          <w:sz w:val="21"/>
        </w:rPr>
        <w:t>This report presents the outcome of a rigorous 4.5-year backtest (Jan 2022 – Jun 2026) across 495 NSE stocks using Phase 9 — the final production-ready configuration — which includes a 5-State Market Regime Engine, an EMA200 absolute bear-market gate, a Relative Strength filter, and an EMA20 slope filter.</w:t>
      </w:r>
    </w:p>
    <w:tbl>
      <w:tblPr>
        <w:tblStyle w:val="TableGrid"/>
        <w:tblW w:type="auto" w:w="0"/>
        <w:jc w:val="center"/>
        <w:tblLook w:firstColumn="1" w:firstRow="1" w:lastColumn="0" w:lastRow="0" w:noHBand="0" w:noVBand="1" w:val="04A0"/>
      </w:tblPr>
      <w:tblGrid>
        <w:gridCol w:w="3685"/>
        <w:gridCol w:w="5953"/>
      </w:tblGrid>
      <w:tr>
        <w:tc>
          <w:tcPr>
            <w:tcW w:type="dxa" w:w="4873"/>
            <w:shd w:val="clear" w:color="auto" w:fill="0D47A1"/>
          </w:tcPr>
          <w:p>
            <w:pPr>
              <w:jc w:val="center"/>
            </w:pPr>
            <w:r>
              <w:rPr>
                <w:rFonts w:ascii="Calibri" w:hAnsi="Calibri"/>
                <w:b/>
                <w:i w:val="0"/>
                <w:color w:val="FFFFFF"/>
                <w:sz w:val="20"/>
              </w:rPr>
              <w:t>KEY METRIC</w:t>
            </w:r>
          </w:p>
        </w:tc>
        <w:tc>
          <w:tcPr>
            <w:tcW w:type="dxa" w:w="4873"/>
            <w:shd w:val="clear" w:color="auto" w:fill="0D47A1"/>
          </w:tcPr>
          <w:p>
            <w:pPr>
              <w:jc w:val="center"/>
            </w:pPr>
            <w:r>
              <w:rPr>
                <w:rFonts w:ascii="Calibri" w:hAnsi="Calibri"/>
                <w:b/>
                <w:i w:val="0"/>
                <w:color w:val="FFFFFF"/>
                <w:sz w:val="20"/>
              </w:rPr>
              <w:t>VALUE &amp; CONTEXT</w:t>
            </w:r>
          </w:p>
        </w:tc>
      </w:tr>
      <w:tr>
        <w:tc>
          <w:tcPr>
            <w:tcW w:type="dxa" w:w="3685"/>
            <w:shd w:val="clear" w:color="auto" w:fill="E3F2FD"/>
            <w:vAlign w:val="center"/>
          </w:tcPr>
          <w:p>
            <w:r>
              <w:rPr>
                <w:rFonts w:ascii="Calibri" w:hAnsi="Calibri"/>
                <w:b/>
                <w:i w:val="0"/>
                <w:color w:val="37474F"/>
                <w:sz w:val="20"/>
              </w:rPr>
              <w:t>Net Profit (Live ₹20L Est.)</w:t>
            </w:r>
          </w:p>
        </w:tc>
        <w:tc>
          <w:tcPr>
            <w:tcW w:type="dxa" w:w="5953"/>
            <w:shd w:val="clear" w:color="auto" w:fill="E3F2FD"/>
            <w:vAlign w:val="center"/>
          </w:tcPr>
          <w:p>
            <w:r>
              <w:rPr>
                <w:rFonts w:ascii="Calibri" w:hAnsi="Calibri"/>
                <w:b w:val="0"/>
                <w:i w:val="0"/>
                <w:color w:val="37474F"/>
                <w:sz w:val="20"/>
              </w:rPr>
              <w:t>+₹20.3L  over 4.5 years</w:t>
            </w:r>
          </w:p>
        </w:tc>
      </w:tr>
      <w:tr>
        <w:tc>
          <w:tcPr>
            <w:tcW w:type="dxa" w:w="3685"/>
            <w:shd w:val="clear" w:color="auto" w:fill="FFFFFF"/>
            <w:vAlign w:val="center"/>
          </w:tcPr>
          <w:p>
            <w:r>
              <w:rPr>
                <w:rFonts w:ascii="Calibri" w:hAnsi="Calibri"/>
                <w:b/>
                <w:i w:val="0"/>
                <w:color w:val="37474F"/>
                <w:sz w:val="20"/>
              </w:rPr>
              <w:t>CAGR on ₹20L Wallet</w:t>
            </w:r>
          </w:p>
        </w:tc>
        <w:tc>
          <w:tcPr>
            <w:tcW w:type="dxa" w:w="5953"/>
            <w:shd w:val="clear" w:color="auto" w:fill="FFFFFF"/>
            <w:vAlign w:val="center"/>
          </w:tcPr>
          <w:p>
            <w:r>
              <w:rPr>
                <w:rFonts w:ascii="Calibri" w:hAnsi="Calibri"/>
                <w:b w:val="0"/>
                <w:i w:val="0"/>
                <w:color w:val="37474F"/>
                <w:sz w:val="20"/>
              </w:rPr>
              <w:t>+16.9% per year</w:t>
            </w:r>
          </w:p>
        </w:tc>
      </w:tr>
      <w:tr>
        <w:tc>
          <w:tcPr>
            <w:tcW w:type="dxa" w:w="3685"/>
            <w:shd w:val="clear" w:color="auto" w:fill="E3F2FD"/>
            <w:vAlign w:val="center"/>
          </w:tcPr>
          <w:p>
            <w:r>
              <w:rPr>
                <w:rFonts w:ascii="Calibri" w:hAnsi="Calibri"/>
                <w:b/>
                <w:i w:val="0"/>
                <w:color w:val="37474F"/>
                <w:sz w:val="20"/>
              </w:rPr>
              <w:t>Sharpe Ratio (Annual)</w:t>
            </w:r>
          </w:p>
        </w:tc>
        <w:tc>
          <w:tcPr>
            <w:tcW w:type="dxa" w:w="5953"/>
            <w:shd w:val="clear" w:color="auto" w:fill="E3F2FD"/>
            <w:vAlign w:val="center"/>
          </w:tcPr>
          <w:p>
            <w:r>
              <w:rPr>
                <w:rFonts w:ascii="Calibri" w:hAnsi="Calibri"/>
                <w:b w:val="0"/>
                <w:i w:val="0"/>
                <w:color w:val="37474F"/>
                <w:sz w:val="20"/>
              </w:rPr>
              <w:t>2.96  (excellent risk-adjusted return)</w:t>
            </w:r>
          </w:p>
        </w:tc>
      </w:tr>
      <w:tr>
        <w:tc>
          <w:tcPr>
            <w:tcW w:type="dxa" w:w="3685"/>
            <w:shd w:val="clear" w:color="auto" w:fill="FFFFFF"/>
            <w:vAlign w:val="center"/>
          </w:tcPr>
          <w:p>
            <w:r>
              <w:rPr>
                <w:rFonts w:ascii="Calibri" w:hAnsi="Calibri"/>
                <w:b/>
                <w:i w:val="0"/>
                <w:color w:val="37474F"/>
                <w:sz w:val="20"/>
              </w:rPr>
              <w:t>Win Rate</w:t>
            </w:r>
          </w:p>
        </w:tc>
        <w:tc>
          <w:tcPr>
            <w:tcW w:type="dxa" w:w="5953"/>
            <w:shd w:val="clear" w:color="auto" w:fill="FFFFFF"/>
            <w:vAlign w:val="center"/>
          </w:tcPr>
          <w:p>
            <w:r>
              <w:rPr>
                <w:rFonts w:ascii="Calibri" w:hAnsi="Calibri"/>
                <w:b w:val="0"/>
                <w:i w:val="0"/>
                <w:color w:val="37474F"/>
                <w:sz w:val="20"/>
              </w:rPr>
              <w:t>56.5%  of all trades profitable</w:t>
            </w:r>
          </w:p>
        </w:tc>
      </w:tr>
      <w:tr>
        <w:tc>
          <w:tcPr>
            <w:tcW w:type="dxa" w:w="3685"/>
            <w:shd w:val="clear" w:color="auto" w:fill="E3F2FD"/>
            <w:vAlign w:val="center"/>
          </w:tcPr>
          <w:p>
            <w:r>
              <w:rPr>
                <w:rFonts w:ascii="Calibri" w:hAnsi="Calibri"/>
                <w:b/>
                <w:i w:val="0"/>
                <w:color w:val="37474F"/>
                <w:sz w:val="20"/>
              </w:rPr>
              <w:t>Profit Factor</w:t>
            </w:r>
          </w:p>
        </w:tc>
        <w:tc>
          <w:tcPr>
            <w:tcW w:type="dxa" w:w="5953"/>
            <w:shd w:val="clear" w:color="auto" w:fill="E3F2FD"/>
            <w:vAlign w:val="center"/>
          </w:tcPr>
          <w:p>
            <w:r>
              <w:rPr>
                <w:rFonts w:ascii="Calibri" w:hAnsi="Calibri"/>
                <w:b w:val="0"/>
                <w:i w:val="0"/>
                <w:color w:val="37474F"/>
                <w:sz w:val="20"/>
              </w:rPr>
              <w:t>1.45  (every ₹1 of loss generates ₹1.45 of profit)</w:t>
            </w:r>
          </w:p>
        </w:tc>
      </w:tr>
      <w:tr>
        <w:tc>
          <w:tcPr>
            <w:tcW w:type="dxa" w:w="3685"/>
            <w:shd w:val="clear" w:color="auto" w:fill="FFFFFF"/>
            <w:vAlign w:val="center"/>
          </w:tcPr>
          <w:p>
            <w:r>
              <w:rPr>
                <w:rFonts w:ascii="Calibri" w:hAnsi="Calibri"/>
                <w:b/>
                <w:i w:val="0"/>
                <w:color w:val="37474F"/>
                <w:sz w:val="20"/>
              </w:rPr>
              <w:t>Maximum Drawdown</w:t>
            </w:r>
          </w:p>
        </w:tc>
        <w:tc>
          <w:tcPr>
            <w:tcW w:type="dxa" w:w="5953"/>
            <w:shd w:val="clear" w:color="auto" w:fill="FFFFFF"/>
            <w:vAlign w:val="center"/>
          </w:tcPr>
          <w:p>
            <w:r>
              <w:rPr>
                <w:rFonts w:ascii="Calibri" w:hAnsi="Calibri"/>
                <w:b w:val="0"/>
                <w:i w:val="0"/>
                <w:color w:val="37474F"/>
                <w:sz w:val="20"/>
              </w:rPr>
              <w:t>-15.3%  (peak-to-trough loss at worst point)</w:t>
            </w:r>
          </w:p>
        </w:tc>
      </w:tr>
      <w:tr>
        <w:tc>
          <w:tcPr>
            <w:tcW w:type="dxa" w:w="3685"/>
            <w:shd w:val="clear" w:color="auto" w:fill="E3F2FD"/>
            <w:vAlign w:val="center"/>
          </w:tcPr>
          <w:p>
            <w:r>
              <w:rPr>
                <w:rFonts w:ascii="Calibri" w:hAnsi="Calibri"/>
                <w:b/>
                <w:i w:val="0"/>
                <w:color w:val="37474F"/>
                <w:sz w:val="20"/>
              </w:rPr>
              <w:t>Total Trades</w:t>
            </w:r>
          </w:p>
        </w:tc>
        <w:tc>
          <w:tcPr>
            <w:tcW w:type="dxa" w:w="5953"/>
            <w:shd w:val="clear" w:color="auto" w:fill="E3F2FD"/>
            <w:vAlign w:val="center"/>
          </w:tcPr>
          <w:p>
            <w:r>
              <w:rPr>
                <w:rFonts w:ascii="Calibri" w:hAnsi="Calibri"/>
                <w:b w:val="0"/>
                <w:i w:val="0"/>
                <w:color w:val="37474F"/>
                <w:sz w:val="20"/>
              </w:rPr>
              <w:t>869  trades across 495 stocks over 4.5 years</w:t>
            </w:r>
          </w:p>
        </w:tc>
      </w:tr>
      <w:tr>
        <w:tc>
          <w:tcPr>
            <w:tcW w:type="dxa" w:w="3685"/>
            <w:shd w:val="clear" w:color="auto" w:fill="FFFFFF"/>
            <w:vAlign w:val="center"/>
          </w:tcPr>
          <w:p>
            <w:r>
              <w:rPr>
                <w:rFonts w:ascii="Calibri" w:hAnsi="Calibri"/>
                <w:b/>
                <w:i w:val="0"/>
                <w:color w:val="37474F"/>
                <w:sz w:val="20"/>
              </w:rPr>
              <w:t>All 6 Deploy Gates</w:t>
            </w:r>
          </w:p>
        </w:tc>
        <w:tc>
          <w:tcPr>
            <w:tcW w:type="dxa" w:w="5953"/>
            <w:shd w:val="clear" w:color="auto" w:fill="FFFFFF"/>
            <w:vAlign w:val="center"/>
          </w:tcPr>
          <w:p>
            <w:r>
              <w:rPr>
                <w:rFonts w:ascii="Calibri" w:hAnsi="Calibri"/>
                <w:b/>
                <w:i w:val="0"/>
                <w:color w:val="1B5E20"/>
                <w:sz w:val="20"/>
              </w:rPr>
              <w:t>✓ PASS  — system is cleared for live trading</w:t>
            </w:r>
          </w:p>
        </w:tc>
      </w:tr>
    </w:tbl>
    <w:p/>
    <w:p>
      <w:r>
        <w:br w:type="page"/>
      </w:r>
    </w:p>
    <w:p>
      <w:pPr>
        <w:spacing w:before="280" w:after="40"/>
        <w:jc w:val="left"/>
      </w:pPr>
      <w:r>
        <w:rPr>
          <w:rFonts w:ascii="Calibri Light" w:hAnsi="Calibri Light"/>
          <w:b/>
          <w:i w:val="0"/>
          <w:color w:val="00697A"/>
          <w:sz w:val="28"/>
        </w:rPr>
        <w:t xml:space="preserve">2. </w:t>
      </w:r>
      <w:r>
        <w:rPr>
          <w:rFonts w:ascii="Calibri Light" w:hAnsi="Calibri Light"/>
          <w:b/>
          <w:i w:val="0"/>
          <w:color w:val="0D47A1"/>
          <w:sz w:val="28"/>
        </w:rPr>
        <w:t>HOW THE STRATEGY WORKS</w:t>
      </w:r>
    </w:p>
    <w:p>
      <w:pPr>
        <w:spacing w:before="0" w:after="120"/>
        <w:jc w:val="left"/>
      </w:pPr>
      <w:r>
        <w:rPr>
          <w:rFonts w:ascii="Calibri" w:hAnsi="Calibri"/>
          <w:b w:val="0"/>
          <w:i/>
          <w:color w:val="78909C"/>
          <w:sz w:val="20"/>
        </w:rPr>
        <w:t>A plain-language explanation of the trading logic for non-technical readers</w:t>
      </w:r>
    </w:p>
    <w:p>
      <w:pPr>
        <w:spacing w:before="0" w:after="100"/>
        <w:jc w:val="both"/>
      </w:pPr>
      <w:r>
        <w:rPr>
          <w:rFonts w:ascii="Calibri" w:hAnsi="Calibri"/>
          <w:b w:val="0"/>
          <w:i w:val="0"/>
          <w:color w:val="37474F"/>
          <w:sz w:val="21"/>
        </w:rPr>
        <w:t>The PULLBACK_LONG strategy is based on a simple institutional behaviour observed in rising markets: strong stocks rarely go straight up. They advance in a 'two steps forward, one step back' pattern. The system identifies the 'one step back' (the pullback) and buys when the stock resumes its upward trend.</w:t>
      </w:r>
    </w:p>
    <w:p>
      <w:pPr>
        <w:spacing w:before="0" w:after="100"/>
        <w:jc w:val="both"/>
      </w:pPr>
      <w:r>
        <w:rPr>
          <w:rFonts w:ascii="Calibri" w:hAnsi="Calibri"/>
          <w:b w:val="0"/>
          <w:i w:val="0"/>
          <w:color w:val="37474F"/>
          <w:sz w:val="21"/>
        </w:rPr>
        <w:t>The entry requires ALL of the following conditions to be true simultaneously:</w:t>
      </w:r>
    </w:p>
    <w:p>
      <w:pPr>
        <w:pStyle w:val="ListBullet"/>
        <w:spacing w:before="20" w:after="60"/>
        <w:ind w:left="283"/>
      </w:pPr>
      <w:r>
        <w:rPr>
          <w:rFonts w:ascii="Calibri" w:hAnsi="Calibri"/>
          <w:b/>
          <w:i w:val="0"/>
          <w:color w:val="0D47A1"/>
          <w:sz w:val="21"/>
        </w:rPr>
        <w:t xml:space="preserve">Regime Filter: </w:t>
      </w:r>
      <w:r>
        <w:rPr>
          <w:rFonts w:ascii="Calibri" w:hAnsi="Calibri"/>
          <w:b w:val="0"/>
          <w:i w:val="0"/>
          <w:color w:val="37474F"/>
          <w:sz w:val="21"/>
        </w:rPr>
        <w:t>The market must be in a BULL state (confirmed by multiple indicators). If the broader market is falling, ALL new entries are blocked.</w:t>
      </w:r>
    </w:p>
    <w:p>
      <w:pPr>
        <w:pStyle w:val="ListBullet"/>
        <w:spacing w:before="20" w:after="60"/>
        <w:ind w:left="283"/>
      </w:pPr>
      <w:r>
        <w:rPr>
          <w:rFonts w:ascii="Calibri" w:hAnsi="Calibri"/>
          <w:b/>
          <w:i w:val="0"/>
          <w:color w:val="0D47A1"/>
          <w:sz w:val="21"/>
        </w:rPr>
        <w:t xml:space="preserve">EMA200 Gate: </w:t>
      </w:r>
      <w:r>
        <w:rPr>
          <w:rFonts w:ascii="Calibri" w:hAnsi="Calibri"/>
          <w:b w:val="0"/>
          <w:i w:val="0"/>
          <w:color w:val="37474F"/>
          <w:sz w:val="21"/>
        </w:rPr>
        <w:t>If the Nifty index itself is trading below its 200-day average, the system treats it as a structural bear market and stops trading entirely.</w:t>
      </w:r>
    </w:p>
    <w:p>
      <w:pPr>
        <w:pStyle w:val="ListBullet"/>
        <w:spacing w:before="20" w:after="60"/>
        <w:ind w:left="283"/>
      </w:pPr>
      <w:r>
        <w:rPr>
          <w:rFonts w:ascii="Calibri" w:hAnsi="Calibri"/>
          <w:b/>
          <w:i w:val="0"/>
          <w:color w:val="0D47A1"/>
          <w:sz w:val="21"/>
        </w:rPr>
        <w:t xml:space="preserve">Uptrend Confirmed: </w:t>
      </w:r>
      <w:r>
        <w:rPr>
          <w:rFonts w:ascii="Calibri" w:hAnsi="Calibri"/>
          <w:b w:val="0"/>
          <w:i w:val="0"/>
          <w:color w:val="37474F"/>
          <w:sz w:val="21"/>
        </w:rPr>
        <w:t>The stock's 20-day EMA must be above its 50-day EMA, which must be above its 200-day EMA (a 'golden stack' alignment confirming multi-timeframe bullish trend).</w:t>
      </w:r>
    </w:p>
    <w:p>
      <w:pPr>
        <w:pStyle w:val="ListBullet"/>
        <w:spacing w:before="20" w:after="60"/>
        <w:ind w:left="283"/>
      </w:pPr>
      <w:r>
        <w:rPr>
          <w:rFonts w:ascii="Calibri" w:hAnsi="Calibri"/>
          <w:b/>
          <w:i w:val="0"/>
          <w:color w:val="0D47A1"/>
          <w:sz w:val="21"/>
        </w:rPr>
        <w:t xml:space="preserve">Pullback Touch: </w:t>
      </w:r>
      <w:r>
        <w:rPr>
          <w:rFonts w:ascii="Calibri" w:hAnsi="Calibri"/>
          <w:b w:val="0"/>
          <w:i w:val="0"/>
          <w:color w:val="37474F"/>
          <w:sz w:val="21"/>
        </w:rPr>
        <w:t>The stock must have touched its 20-day EMA in the previous candle — meaning it dipped slightly but held its trend support level.</w:t>
      </w:r>
    </w:p>
    <w:p>
      <w:pPr>
        <w:pStyle w:val="ListBullet"/>
        <w:spacing w:before="20" w:after="60"/>
        <w:ind w:left="283"/>
      </w:pPr>
      <w:r>
        <w:rPr>
          <w:rFonts w:ascii="Calibri" w:hAnsi="Calibri"/>
          <w:b/>
          <w:i w:val="0"/>
          <w:color w:val="0D47A1"/>
          <w:sz w:val="21"/>
        </w:rPr>
        <w:t xml:space="preserve">Bounce Confirmation: </w:t>
      </w:r>
      <w:r>
        <w:rPr>
          <w:rFonts w:ascii="Calibri" w:hAnsi="Calibri"/>
          <w:b w:val="0"/>
          <w:i w:val="0"/>
          <w:color w:val="37474F"/>
          <w:sz w:val="21"/>
        </w:rPr>
        <w:t>The latest candle must have closed back above the EMA20, showing buyers stepped in at that support level.</w:t>
      </w:r>
    </w:p>
    <w:p>
      <w:pPr>
        <w:pStyle w:val="ListBullet"/>
        <w:spacing w:before="20" w:after="60"/>
        <w:ind w:left="283"/>
      </w:pPr>
      <w:r>
        <w:rPr>
          <w:rFonts w:ascii="Calibri" w:hAnsi="Calibri"/>
          <w:b/>
          <w:i w:val="0"/>
          <w:color w:val="0D47A1"/>
          <w:sz w:val="21"/>
        </w:rPr>
        <w:t xml:space="preserve">Volume Surge: </w:t>
      </w:r>
      <w:r>
        <w:rPr>
          <w:rFonts w:ascii="Calibri" w:hAnsi="Calibri"/>
          <w:b w:val="0"/>
          <w:i w:val="0"/>
          <w:color w:val="37474F"/>
          <w:sz w:val="21"/>
        </w:rPr>
        <w:t>The bounce bar must show higher-than-usual volume — institutional buying leaves a footprint in volume data.</w:t>
      </w:r>
    </w:p>
    <w:p>
      <w:pPr>
        <w:pStyle w:val="ListBullet"/>
        <w:spacing w:before="20" w:after="60"/>
        <w:ind w:left="283"/>
      </w:pPr>
      <w:r>
        <w:rPr>
          <w:rFonts w:ascii="Calibri" w:hAnsi="Calibri"/>
          <w:b/>
          <w:i w:val="0"/>
          <w:color w:val="0D47A1"/>
          <w:sz w:val="21"/>
        </w:rPr>
        <w:t xml:space="preserve">RSI Health: </w:t>
      </w:r>
      <w:r>
        <w:rPr>
          <w:rFonts w:ascii="Calibri" w:hAnsi="Calibri"/>
          <w:b w:val="0"/>
          <w:i w:val="0"/>
          <w:color w:val="37474F"/>
          <w:sz w:val="21"/>
        </w:rPr>
        <w:t>The Relative Strength Index must be between 50 and 70 — the stock is gaining momentum but not yet overbought.</w:t>
      </w:r>
    </w:p>
    <w:p>
      <w:pPr>
        <w:pStyle w:val="ListBullet"/>
        <w:spacing w:before="20" w:after="60"/>
        <w:ind w:left="283"/>
      </w:pPr>
      <w:r>
        <w:rPr>
          <w:rFonts w:ascii="Calibri" w:hAnsi="Calibri"/>
          <w:b/>
          <w:i w:val="0"/>
          <w:color w:val="0D47A1"/>
          <w:sz w:val="21"/>
        </w:rPr>
        <w:t xml:space="preserve">Relative Strength: </w:t>
      </w:r>
      <w:r>
        <w:rPr>
          <w:rFonts w:ascii="Calibri" w:hAnsi="Calibri"/>
          <w:b w:val="0"/>
          <w:i w:val="0"/>
          <w:color w:val="37474F"/>
          <w:sz w:val="21"/>
        </w:rPr>
        <w:t>The stock must be outperforming the Nifty index (within 3% corridor) — weak stocks are excluded even in bull markets.</w:t>
      </w:r>
    </w:p>
    <w:p>
      <w:pPr>
        <w:pStyle w:val="ListBullet"/>
        <w:spacing w:before="20" w:after="60"/>
        <w:ind w:left="283"/>
      </w:pPr>
      <w:r>
        <w:rPr>
          <w:rFonts w:ascii="Calibri" w:hAnsi="Calibri"/>
          <w:b/>
          <w:i w:val="0"/>
          <w:color w:val="0D47A1"/>
          <w:sz w:val="21"/>
        </w:rPr>
        <w:t xml:space="preserve">EMA20 Slope: </w:t>
      </w:r>
      <w:r>
        <w:rPr>
          <w:rFonts w:ascii="Calibri" w:hAnsi="Calibri"/>
          <w:b w:val="0"/>
          <w:i w:val="0"/>
          <w:color w:val="37474F"/>
          <w:sz w:val="21"/>
        </w:rPr>
        <w:t>The 20-day EMA today must be higher than it was 5 bars ago — confirming the trend is still accelerating, not flattening.</w:t>
      </w:r>
    </w:p>
    <w:p>
      <w:pPr>
        <w:spacing w:before="0" w:after="100"/>
        <w:jc w:val="both"/>
      </w:pPr>
      <w:r>
        <w:rPr>
          <w:rFonts w:ascii="Calibri" w:hAnsi="Calibri"/>
          <w:b w:val="0"/>
          <w:i w:val="0"/>
          <w:color w:val="37474F"/>
          <w:sz w:val="21"/>
        </w:rPr>
        <w:t>Risk management for every trade:</w:t>
      </w:r>
    </w:p>
    <w:p>
      <w:pPr>
        <w:pStyle w:val="ListBullet"/>
        <w:spacing w:before="20" w:after="60"/>
        <w:ind w:left="283"/>
      </w:pPr>
      <w:r>
        <w:rPr>
          <w:rFonts w:ascii="Calibri" w:hAnsi="Calibri"/>
          <w:b w:val="0"/>
          <w:i w:val="0"/>
          <w:color w:val="37474F"/>
          <w:sz w:val="21"/>
        </w:rPr>
        <w:t>Stop Loss: Set just below the pullback low minus half an ATR (Average True Range). If the stock breaks below this, the position is exited immediately.</w:t>
      </w:r>
    </w:p>
    <w:p>
      <w:pPr>
        <w:pStyle w:val="ListBullet"/>
        <w:spacing w:before="20" w:after="60"/>
        <w:ind w:left="283"/>
      </w:pPr>
      <w:r>
        <w:rPr>
          <w:rFonts w:ascii="Calibri" w:hAnsi="Calibri"/>
          <w:b w:val="0"/>
          <w:i w:val="0"/>
          <w:color w:val="37474F"/>
          <w:sz w:val="21"/>
        </w:rPr>
        <w:t>Target: Set at 2× the risk distance above entry (2:1 reward-to-risk ratio).</w:t>
      </w:r>
    </w:p>
    <w:p>
      <w:pPr>
        <w:pStyle w:val="ListBullet"/>
        <w:spacing w:before="20" w:after="60"/>
        <w:ind w:left="283"/>
      </w:pPr>
      <w:r>
        <w:rPr>
          <w:rFonts w:ascii="Calibri" w:hAnsi="Calibri"/>
          <w:b w:val="0"/>
          <w:i w:val="0"/>
          <w:color w:val="37474F"/>
          <w:sz w:val="21"/>
        </w:rPr>
        <w:t>Time Exit: If neither stop nor target is hit within 12 bars (~2.5 weeks), the trade is closed to free up capital.</w:t>
      </w:r>
    </w:p>
    <w:p>
      <w:pPr>
        <w:pStyle w:val="ListBullet"/>
        <w:spacing w:before="20" w:after="60"/>
        <w:ind w:left="283"/>
      </w:pPr>
      <w:r>
        <w:rPr>
          <w:rFonts w:ascii="Calibri" w:hAnsi="Calibri"/>
          <w:b w:val="0"/>
          <w:i w:val="0"/>
          <w:color w:val="37474F"/>
          <w:sz w:val="21"/>
        </w:rPr>
        <w:t>Position Size: Each trade risks exactly 1% of the live wallet (₹20,000 per trade on a ₹20L wallet).</w:t>
      </w:r>
    </w:p>
    <w:p>
      <w:r>
        <w:br w:type="page"/>
      </w:r>
    </w:p>
    <w:p>
      <w:pPr>
        <w:spacing w:before="280" w:after="40"/>
        <w:jc w:val="left"/>
      </w:pPr>
      <w:r>
        <w:rPr>
          <w:rFonts w:ascii="Calibri Light" w:hAnsi="Calibri Light"/>
          <w:b/>
          <w:i w:val="0"/>
          <w:color w:val="00697A"/>
          <w:sz w:val="28"/>
        </w:rPr>
        <w:t xml:space="preserve">3. </w:t>
      </w:r>
      <w:r>
        <w:rPr>
          <w:rFonts w:ascii="Calibri Light" w:hAnsi="Calibri Light"/>
          <w:b/>
          <w:i w:val="0"/>
          <w:color w:val="0D47A1"/>
          <w:sz w:val="28"/>
        </w:rPr>
        <w:t>YEAR-BY-YEAR PERFORMANCE ANALYSIS</w:t>
      </w:r>
    </w:p>
    <w:p>
      <w:pPr>
        <w:spacing w:before="0" w:after="120"/>
        <w:jc w:val="left"/>
      </w:pPr>
      <w:r>
        <w:rPr>
          <w:rFonts w:ascii="Calibri" w:hAnsi="Calibri"/>
          <w:b w:val="0"/>
          <w:i/>
          <w:color w:val="78909C"/>
          <w:sz w:val="20"/>
        </w:rPr>
        <w:t>All figures use exit-year attribution (P&amp;L credited when trade closes, not when it opens)</w:t>
      </w:r>
    </w:p>
    <w:tbl>
      <w:tblPr>
        <w:tblStyle w:val="TableGrid"/>
        <w:tblW w:type="auto" w:w="0"/>
        <w:jc w:val="center"/>
        <w:tblLook w:firstColumn="1" w:firstRow="1" w:lastColumn="0" w:lastRow="0" w:noHBand="0" w:noVBand="1" w:val="04A0"/>
      </w:tblPr>
      <w:tblGrid>
        <w:gridCol w:w="850"/>
        <w:gridCol w:w="850"/>
        <w:gridCol w:w="794"/>
        <w:gridCol w:w="850"/>
        <w:gridCol w:w="850"/>
        <w:gridCol w:w="1247"/>
        <w:gridCol w:w="1247"/>
        <w:gridCol w:w="1020"/>
        <w:gridCol w:w="1020"/>
      </w:tblGrid>
      <w:tr>
        <w:tc>
          <w:tcPr>
            <w:tcW w:type="dxa" w:w="1083"/>
            <w:shd w:val="clear" w:color="auto" w:fill="0D47A1"/>
          </w:tcPr>
          <w:p>
            <w:pPr>
              <w:jc w:val="center"/>
            </w:pPr>
            <w:r>
              <w:rPr>
                <w:rFonts w:ascii="Calibri" w:hAnsi="Calibri"/>
                <w:b/>
                <w:i w:val="0"/>
                <w:color w:val="FFFFFF"/>
                <w:sz w:val="18"/>
              </w:rPr>
              <w:t>Year</w:t>
            </w:r>
          </w:p>
        </w:tc>
        <w:tc>
          <w:tcPr>
            <w:tcW w:type="dxa" w:w="1083"/>
            <w:shd w:val="clear" w:color="auto" w:fill="0D47A1"/>
          </w:tcPr>
          <w:p>
            <w:pPr>
              <w:jc w:val="center"/>
            </w:pPr>
            <w:r>
              <w:rPr>
                <w:rFonts w:ascii="Calibri" w:hAnsi="Calibri"/>
                <w:b/>
                <w:i w:val="0"/>
                <w:color w:val="FFFFFF"/>
                <w:sz w:val="18"/>
              </w:rPr>
              <w:t>Result</w:t>
            </w:r>
          </w:p>
        </w:tc>
        <w:tc>
          <w:tcPr>
            <w:tcW w:type="dxa" w:w="1083"/>
            <w:shd w:val="clear" w:color="auto" w:fill="0D47A1"/>
          </w:tcPr>
          <w:p>
            <w:pPr>
              <w:jc w:val="center"/>
            </w:pPr>
            <w:r>
              <w:rPr>
                <w:rFonts w:ascii="Calibri" w:hAnsi="Calibri"/>
                <w:b/>
                <w:i w:val="0"/>
                <w:color w:val="FFFFFF"/>
                <w:sz w:val="18"/>
              </w:rPr>
              <w:t>Trades</w:t>
            </w:r>
          </w:p>
        </w:tc>
        <w:tc>
          <w:tcPr>
            <w:tcW w:type="dxa" w:w="1083"/>
            <w:shd w:val="clear" w:color="auto" w:fill="0D47A1"/>
          </w:tcPr>
          <w:p>
            <w:pPr>
              <w:jc w:val="center"/>
            </w:pPr>
            <w:r>
              <w:rPr>
                <w:rFonts w:ascii="Calibri" w:hAnsi="Calibri"/>
                <w:b/>
                <w:i w:val="0"/>
                <w:color w:val="FFFFFF"/>
                <w:sz w:val="18"/>
              </w:rPr>
              <w:t>Win Rate</w:t>
            </w:r>
          </w:p>
        </w:tc>
        <w:tc>
          <w:tcPr>
            <w:tcW w:type="dxa" w:w="1083"/>
            <w:shd w:val="clear" w:color="auto" w:fill="0D47A1"/>
          </w:tcPr>
          <w:p>
            <w:pPr>
              <w:jc w:val="center"/>
            </w:pPr>
            <w:r>
              <w:rPr>
                <w:rFonts w:ascii="Calibri" w:hAnsi="Calibri"/>
                <w:b/>
                <w:i w:val="0"/>
                <w:color w:val="FFFFFF"/>
                <w:sz w:val="18"/>
              </w:rPr>
              <w:t>Profit</w:t>
              <w:br/>
              <w:t>Factor</w:t>
            </w:r>
          </w:p>
        </w:tc>
        <w:tc>
          <w:tcPr>
            <w:tcW w:type="dxa" w:w="1083"/>
            <w:shd w:val="clear" w:color="auto" w:fill="0D47A1"/>
          </w:tcPr>
          <w:p>
            <w:pPr>
              <w:jc w:val="center"/>
            </w:pPr>
            <w:r>
              <w:rPr>
                <w:rFonts w:ascii="Calibri" w:hAnsi="Calibri"/>
                <w:b/>
                <w:i w:val="0"/>
                <w:color w:val="FFFFFF"/>
                <w:sz w:val="18"/>
              </w:rPr>
              <w:t>Backtest Net</w:t>
            </w:r>
          </w:p>
        </w:tc>
        <w:tc>
          <w:tcPr>
            <w:tcW w:type="dxa" w:w="1083"/>
            <w:shd w:val="clear" w:color="auto" w:fill="0D47A1"/>
          </w:tcPr>
          <w:p>
            <w:pPr>
              <w:jc w:val="center"/>
            </w:pPr>
            <w:r>
              <w:rPr>
                <w:rFonts w:ascii="Calibri" w:hAnsi="Calibri"/>
                <w:b/>
                <w:i w:val="0"/>
                <w:color w:val="FFFFFF"/>
                <w:sz w:val="18"/>
              </w:rPr>
              <w:t>Live Est.</w:t>
              <w:br/>
              <w:t>(₹20L)</w:t>
            </w:r>
          </w:p>
        </w:tc>
        <w:tc>
          <w:tcPr>
            <w:tcW w:type="dxa" w:w="1083"/>
            <w:shd w:val="clear" w:color="auto" w:fill="0D47A1"/>
          </w:tcPr>
          <w:p>
            <w:pPr>
              <w:jc w:val="center"/>
            </w:pPr>
            <w:r>
              <w:rPr>
                <w:rFonts w:ascii="Calibri" w:hAnsi="Calibri"/>
                <w:b/>
                <w:i w:val="0"/>
                <w:color w:val="FFFFFF"/>
                <w:sz w:val="18"/>
              </w:rPr>
              <w:t>Return on</w:t>
              <w:br/>
              <w:t>₹20L</w:t>
            </w:r>
          </w:p>
        </w:tc>
        <w:tc>
          <w:tcPr>
            <w:tcW w:type="dxa" w:w="1083"/>
            <w:shd w:val="clear" w:color="auto" w:fill="0D47A1"/>
          </w:tcPr>
          <w:p>
            <w:pPr>
              <w:jc w:val="center"/>
            </w:pPr>
            <w:r>
              <w:rPr>
                <w:rFonts w:ascii="Calibri" w:hAnsi="Calibri"/>
                <w:b/>
                <w:i w:val="0"/>
                <w:color w:val="FFFFFF"/>
                <w:sz w:val="18"/>
              </w:rPr>
              <w:t>Nifty</w:t>
              <w:br/>
              <w:t>Return</w:t>
            </w:r>
          </w:p>
        </w:tc>
      </w:tr>
      <w:tr>
        <w:tc>
          <w:tcPr>
            <w:tcW w:type="dxa" w:w="850"/>
            <w:shd w:val="clear" w:color="auto" w:fill="E8F5E9"/>
            <w:vAlign w:val="center"/>
          </w:tcPr>
          <w:p>
            <w:pPr>
              <w:jc w:val="center"/>
            </w:pPr>
            <w:r>
              <w:rPr>
                <w:rFonts w:ascii="Calibri" w:hAnsi="Calibri"/>
                <w:b/>
                <w:i w:val="0"/>
                <w:color w:val="37474F"/>
                <w:sz w:val="19"/>
              </w:rPr>
              <w:t>2022</w:t>
            </w:r>
          </w:p>
        </w:tc>
        <w:tc>
          <w:tcPr>
            <w:tcW w:type="dxa" w:w="850"/>
            <w:shd w:val="clear" w:color="auto" w:fill="E8F5E9"/>
            <w:vAlign w:val="center"/>
          </w:tcPr>
          <w:p>
            <w:pPr>
              <w:jc w:val="center"/>
            </w:pPr>
            <w:r>
              <w:rPr>
                <w:rFonts w:ascii="Calibri" w:hAnsi="Calibri"/>
                <w:b/>
                <w:i w:val="0"/>
                <w:color w:val="1B5E20"/>
                <w:sz w:val="19"/>
              </w:rPr>
              <w:t>✓ PASS</w:t>
            </w:r>
          </w:p>
        </w:tc>
        <w:tc>
          <w:tcPr>
            <w:tcW w:type="dxa" w:w="794"/>
            <w:shd w:val="clear" w:color="auto" w:fill="E8F5E9"/>
            <w:vAlign w:val="center"/>
          </w:tcPr>
          <w:p>
            <w:pPr>
              <w:jc w:val="center"/>
            </w:pPr>
            <w:r>
              <w:rPr>
                <w:rFonts w:ascii="Calibri" w:hAnsi="Calibri"/>
                <w:b w:val="0"/>
                <w:i w:val="0"/>
                <w:color w:val="37474F"/>
                <w:sz w:val="19"/>
              </w:rPr>
              <w:t>124</w:t>
            </w:r>
          </w:p>
        </w:tc>
        <w:tc>
          <w:tcPr>
            <w:tcW w:type="dxa" w:w="850"/>
            <w:shd w:val="clear" w:color="auto" w:fill="E8F5E9"/>
            <w:vAlign w:val="center"/>
          </w:tcPr>
          <w:p>
            <w:pPr>
              <w:jc w:val="center"/>
            </w:pPr>
            <w:r>
              <w:rPr>
                <w:rFonts w:ascii="Calibri" w:hAnsi="Calibri"/>
                <w:b w:val="0"/>
                <w:i w:val="0"/>
                <w:color w:val="37474F"/>
                <w:sz w:val="19"/>
              </w:rPr>
              <w:t>58.9%</w:t>
            </w:r>
          </w:p>
        </w:tc>
        <w:tc>
          <w:tcPr>
            <w:tcW w:type="dxa" w:w="850"/>
            <w:shd w:val="clear" w:color="auto" w:fill="E8F5E9"/>
            <w:vAlign w:val="center"/>
          </w:tcPr>
          <w:p>
            <w:pPr>
              <w:jc w:val="center"/>
            </w:pPr>
            <w:r>
              <w:rPr>
                <w:rFonts w:ascii="Calibri" w:hAnsi="Calibri"/>
                <w:b w:val="0"/>
                <w:i w:val="0"/>
                <w:color w:val="37474F"/>
                <w:sz w:val="19"/>
              </w:rPr>
              <w:t>1.48</w:t>
            </w:r>
          </w:p>
        </w:tc>
        <w:tc>
          <w:tcPr>
            <w:tcW w:type="dxa" w:w="1247"/>
            <w:shd w:val="clear" w:color="auto" w:fill="E8F5E9"/>
            <w:vAlign w:val="center"/>
          </w:tcPr>
          <w:p>
            <w:pPr>
              <w:jc w:val="center"/>
            </w:pPr>
            <w:r>
              <w:rPr>
                <w:rFonts w:ascii="Calibri" w:hAnsi="Calibri"/>
                <w:b w:val="0"/>
                <w:i w:val="0"/>
                <w:color w:val="37474F"/>
                <w:sz w:val="19"/>
              </w:rPr>
              <w:t>+₹2.25L</w:t>
            </w:r>
          </w:p>
        </w:tc>
        <w:tc>
          <w:tcPr>
            <w:tcW w:type="dxa" w:w="1247"/>
            <w:shd w:val="clear" w:color="auto" w:fill="E8F5E9"/>
            <w:vAlign w:val="center"/>
          </w:tcPr>
          <w:p>
            <w:pPr>
              <w:jc w:val="center"/>
            </w:pPr>
            <w:r>
              <w:rPr>
                <w:rFonts w:ascii="Calibri" w:hAnsi="Calibri"/>
                <w:b w:val="0"/>
                <w:i w:val="0"/>
                <w:color w:val="37474F"/>
                <w:sz w:val="19"/>
              </w:rPr>
              <w:t>+₹2.94L</w:t>
            </w:r>
          </w:p>
        </w:tc>
        <w:tc>
          <w:tcPr>
            <w:tcW w:type="dxa" w:w="1020"/>
            <w:shd w:val="clear" w:color="auto" w:fill="E8F5E9"/>
            <w:vAlign w:val="center"/>
          </w:tcPr>
          <w:p>
            <w:pPr>
              <w:jc w:val="center"/>
            </w:pPr>
            <w:r>
              <w:rPr>
                <w:rFonts w:ascii="Calibri" w:hAnsi="Calibri"/>
                <w:b w:val="0"/>
                <w:i w:val="0"/>
                <w:color w:val="37474F"/>
                <w:sz w:val="19"/>
              </w:rPr>
              <w:t>+14.7%</w:t>
            </w:r>
          </w:p>
        </w:tc>
        <w:tc>
          <w:tcPr>
            <w:tcW w:type="dxa" w:w="1020"/>
            <w:shd w:val="clear" w:color="auto" w:fill="E8F5E9"/>
            <w:vAlign w:val="center"/>
          </w:tcPr>
          <w:p>
            <w:pPr>
              <w:jc w:val="center"/>
            </w:pPr>
            <w:r>
              <w:rPr>
                <w:rFonts w:ascii="Calibri" w:hAnsi="Calibri"/>
                <w:b w:val="0"/>
                <w:i w:val="0"/>
                <w:color w:val="37474F"/>
                <w:sz w:val="19"/>
              </w:rPr>
              <w:t>+3.8%</w:t>
            </w:r>
          </w:p>
        </w:tc>
      </w:tr>
      <w:tr>
        <w:tc>
          <w:tcPr>
            <w:tcW w:type="dxa" w:w="850"/>
            <w:shd w:val="clear" w:color="auto" w:fill="E8F5E9"/>
            <w:vAlign w:val="center"/>
          </w:tcPr>
          <w:p>
            <w:pPr>
              <w:jc w:val="center"/>
            </w:pPr>
            <w:r>
              <w:rPr>
                <w:rFonts w:ascii="Calibri" w:hAnsi="Calibri"/>
                <w:b/>
                <w:i w:val="0"/>
                <w:color w:val="37474F"/>
                <w:sz w:val="19"/>
              </w:rPr>
              <w:t>2023</w:t>
            </w:r>
          </w:p>
        </w:tc>
        <w:tc>
          <w:tcPr>
            <w:tcW w:type="dxa" w:w="850"/>
            <w:shd w:val="clear" w:color="auto" w:fill="E8F5E9"/>
            <w:vAlign w:val="center"/>
          </w:tcPr>
          <w:p>
            <w:pPr>
              <w:jc w:val="center"/>
            </w:pPr>
            <w:r>
              <w:rPr>
                <w:rFonts w:ascii="Calibri" w:hAnsi="Calibri"/>
                <w:b/>
                <w:i w:val="0"/>
                <w:color w:val="1B5E20"/>
                <w:sz w:val="19"/>
              </w:rPr>
              <w:t>✓ PASS</w:t>
            </w:r>
          </w:p>
        </w:tc>
        <w:tc>
          <w:tcPr>
            <w:tcW w:type="dxa" w:w="794"/>
            <w:shd w:val="clear" w:color="auto" w:fill="E8F5E9"/>
            <w:vAlign w:val="center"/>
          </w:tcPr>
          <w:p>
            <w:pPr>
              <w:jc w:val="center"/>
            </w:pPr>
            <w:r>
              <w:rPr>
                <w:rFonts w:ascii="Calibri" w:hAnsi="Calibri"/>
                <w:b w:val="0"/>
                <w:i w:val="0"/>
                <w:color w:val="37474F"/>
                <w:sz w:val="19"/>
              </w:rPr>
              <w:t>298</w:t>
            </w:r>
          </w:p>
        </w:tc>
        <w:tc>
          <w:tcPr>
            <w:tcW w:type="dxa" w:w="850"/>
            <w:shd w:val="clear" w:color="auto" w:fill="E8F5E9"/>
            <w:vAlign w:val="center"/>
          </w:tcPr>
          <w:p>
            <w:pPr>
              <w:jc w:val="center"/>
            </w:pPr>
            <w:r>
              <w:rPr>
                <w:rFonts w:ascii="Calibri" w:hAnsi="Calibri"/>
                <w:b w:val="0"/>
                <w:i w:val="0"/>
                <w:color w:val="37474F"/>
                <w:sz w:val="19"/>
              </w:rPr>
              <w:t>63.1%</w:t>
            </w:r>
          </w:p>
        </w:tc>
        <w:tc>
          <w:tcPr>
            <w:tcW w:type="dxa" w:w="850"/>
            <w:shd w:val="clear" w:color="auto" w:fill="E8F5E9"/>
            <w:vAlign w:val="center"/>
          </w:tcPr>
          <w:p>
            <w:pPr>
              <w:jc w:val="center"/>
            </w:pPr>
            <w:r>
              <w:rPr>
                <w:rFonts w:ascii="Calibri" w:hAnsi="Calibri"/>
                <w:b w:val="0"/>
                <w:i w:val="0"/>
                <w:color w:val="37474F"/>
                <w:sz w:val="19"/>
              </w:rPr>
              <w:t>2.04</w:t>
            </w:r>
          </w:p>
        </w:tc>
        <w:tc>
          <w:tcPr>
            <w:tcW w:type="dxa" w:w="1247"/>
            <w:shd w:val="clear" w:color="auto" w:fill="E8F5E9"/>
            <w:vAlign w:val="center"/>
          </w:tcPr>
          <w:p>
            <w:pPr>
              <w:jc w:val="center"/>
            </w:pPr>
            <w:r>
              <w:rPr>
                <w:rFonts w:ascii="Calibri" w:hAnsi="Calibri"/>
                <w:b w:val="0"/>
                <w:i w:val="0"/>
                <w:color w:val="37474F"/>
                <w:sz w:val="19"/>
              </w:rPr>
              <w:t>+₹10.49L</w:t>
            </w:r>
          </w:p>
        </w:tc>
        <w:tc>
          <w:tcPr>
            <w:tcW w:type="dxa" w:w="1247"/>
            <w:shd w:val="clear" w:color="auto" w:fill="E8F5E9"/>
            <w:vAlign w:val="center"/>
          </w:tcPr>
          <w:p>
            <w:pPr>
              <w:jc w:val="center"/>
            </w:pPr>
            <w:r>
              <w:rPr>
                <w:rFonts w:ascii="Calibri" w:hAnsi="Calibri"/>
                <w:b w:val="0"/>
                <w:i w:val="0"/>
                <w:color w:val="37474F"/>
                <w:sz w:val="19"/>
              </w:rPr>
              <w:t>+₹13.73L</w:t>
            </w:r>
          </w:p>
        </w:tc>
        <w:tc>
          <w:tcPr>
            <w:tcW w:type="dxa" w:w="1020"/>
            <w:shd w:val="clear" w:color="auto" w:fill="E8F5E9"/>
            <w:vAlign w:val="center"/>
          </w:tcPr>
          <w:p>
            <w:pPr>
              <w:jc w:val="center"/>
            </w:pPr>
            <w:r>
              <w:rPr>
                <w:rFonts w:ascii="Calibri" w:hAnsi="Calibri"/>
                <w:b w:val="0"/>
                <w:i w:val="0"/>
                <w:color w:val="37474F"/>
                <w:sz w:val="19"/>
              </w:rPr>
              <w:t>+68.7%</w:t>
            </w:r>
          </w:p>
        </w:tc>
        <w:tc>
          <w:tcPr>
            <w:tcW w:type="dxa" w:w="1020"/>
            <w:shd w:val="clear" w:color="auto" w:fill="E8F5E9"/>
            <w:vAlign w:val="center"/>
          </w:tcPr>
          <w:p>
            <w:pPr>
              <w:jc w:val="center"/>
            </w:pPr>
            <w:r>
              <w:rPr>
                <w:rFonts w:ascii="Calibri" w:hAnsi="Calibri"/>
                <w:b w:val="0"/>
                <w:i w:val="0"/>
                <w:color w:val="37474F"/>
                <w:sz w:val="19"/>
              </w:rPr>
              <w:t>+20.6%</w:t>
            </w:r>
          </w:p>
        </w:tc>
      </w:tr>
      <w:tr>
        <w:tc>
          <w:tcPr>
            <w:tcW w:type="dxa" w:w="850"/>
            <w:shd w:val="clear" w:color="auto" w:fill="E8F5E9"/>
            <w:vAlign w:val="center"/>
          </w:tcPr>
          <w:p>
            <w:pPr>
              <w:jc w:val="center"/>
            </w:pPr>
            <w:r>
              <w:rPr>
                <w:rFonts w:ascii="Calibri" w:hAnsi="Calibri"/>
                <w:b/>
                <w:i w:val="0"/>
                <w:color w:val="37474F"/>
                <w:sz w:val="19"/>
              </w:rPr>
              <w:t>2024</w:t>
            </w:r>
          </w:p>
        </w:tc>
        <w:tc>
          <w:tcPr>
            <w:tcW w:type="dxa" w:w="850"/>
            <w:shd w:val="clear" w:color="auto" w:fill="E8F5E9"/>
            <w:vAlign w:val="center"/>
          </w:tcPr>
          <w:p>
            <w:pPr>
              <w:jc w:val="center"/>
            </w:pPr>
            <w:r>
              <w:rPr>
                <w:rFonts w:ascii="Calibri" w:hAnsi="Calibri"/>
                <w:b/>
                <w:i w:val="0"/>
                <w:color w:val="1B5E20"/>
                <w:sz w:val="19"/>
              </w:rPr>
              <w:t>✓ PASS</w:t>
            </w:r>
          </w:p>
        </w:tc>
        <w:tc>
          <w:tcPr>
            <w:tcW w:type="dxa" w:w="794"/>
            <w:shd w:val="clear" w:color="auto" w:fill="E8F5E9"/>
            <w:vAlign w:val="center"/>
          </w:tcPr>
          <w:p>
            <w:pPr>
              <w:jc w:val="center"/>
            </w:pPr>
            <w:r>
              <w:rPr>
                <w:rFonts w:ascii="Calibri" w:hAnsi="Calibri"/>
                <w:b w:val="0"/>
                <w:i w:val="0"/>
                <w:color w:val="37474F"/>
                <w:sz w:val="19"/>
              </w:rPr>
              <w:t>312</w:t>
            </w:r>
          </w:p>
        </w:tc>
        <w:tc>
          <w:tcPr>
            <w:tcW w:type="dxa" w:w="850"/>
            <w:shd w:val="clear" w:color="auto" w:fill="E8F5E9"/>
            <w:vAlign w:val="center"/>
          </w:tcPr>
          <w:p>
            <w:pPr>
              <w:jc w:val="center"/>
            </w:pPr>
            <w:r>
              <w:rPr>
                <w:rFonts w:ascii="Calibri" w:hAnsi="Calibri"/>
                <w:b w:val="0"/>
                <w:i w:val="0"/>
                <w:color w:val="37474F"/>
                <w:sz w:val="19"/>
              </w:rPr>
              <w:t>51.0%</w:t>
            </w:r>
          </w:p>
        </w:tc>
        <w:tc>
          <w:tcPr>
            <w:tcW w:type="dxa" w:w="850"/>
            <w:shd w:val="clear" w:color="auto" w:fill="E8F5E9"/>
            <w:vAlign w:val="center"/>
          </w:tcPr>
          <w:p>
            <w:pPr>
              <w:jc w:val="center"/>
            </w:pPr>
            <w:r>
              <w:rPr>
                <w:rFonts w:ascii="Calibri" w:hAnsi="Calibri"/>
                <w:b w:val="0"/>
                <w:i w:val="0"/>
                <w:color w:val="37474F"/>
                <w:sz w:val="19"/>
              </w:rPr>
              <w:t>1.17</w:t>
            </w:r>
          </w:p>
        </w:tc>
        <w:tc>
          <w:tcPr>
            <w:tcW w:type="dxa" w:w="1247"/>
            <w:shd w:val="clear" w:color="auto" w:fill="E8F5E9"/>
            <w:vAlign w:val="center"/>
          </w:tcPr>
          <w:p>
            <w:pPr>
              <w:jc w:val="center"/>
            </w:pPr>
            <w:r>
              <w:rPr>
                <w:rFonts w:ascii="Calibri" w:hAnsi="Calibri"/>
                <w:b w:val="0"/>
                <w:i w:val="0"/>
                <w:color w:val="37474F"/>
                <w:sz w:val="19"/>
              </w:rPr>
              <w:t>+₹2.36L</w:t>
            </w:r>
          </w:p>
        </w:tc>
        <w:tc>
          <w:tcPr>
            <w:tcW w:type="dxa" w:w="1247"/>
            <w:shd w:val="clear" w:color="auto" w:fill="E8F5E9"/>
            <w:vAlign w:val="center"/>
          </w:tcPr>
          <w:p>
            <w:pPr>
              <w:jc w:val="center"/>
            </w:pPr>
            <w:r>
              <w:rPr>
                <w:rFonts w:ascii="Calibri" w:hAnsi="Calibri"/>
                <w:b w:val="0"/>
                <w:i w:val="0"/>
                <w:color w:val="37474F"/>
                <w:sz w:val="19"/>
              </w:rPr>
              <w:t>+₹3.09L</w:t>
            </w:r>
          </w:p>
        </w:tc>
        <w:tc>
          <w:tcPr>
            <w:tcW w:type="dxa" w:w="1020"/>
            <w:shd w:val="clear" w:color="auto" w:fill="E8F5E9"/>
            <w:vAlign w:val="center"/>
          </w:tcPr>
          <w:p>
            <w:pPr>
              <w:jc w:val="center"/>
            </w:pPr>
            <w:r>
              <w:rPr>
                <w:rFonts w:ascii="Calibri" w:hAnsi="Calibri"/>
                <w:b w:val="0"/>
                <w:i w:val="0"/>
                <w:color w:val="37474F"/>
                <w:sz w:val="19"/>
              </w:rPr>
              <w:t>+15.5%</w:t>
            </w:r>
          </w:p>
        </w:tc>
        <w:tc>
          <w:tcPr>
            <w:tcW w:type="dxa" w:w="1020"/>
            <w:shd w:val="clear" w:color="auto" w:fill="E8F5E9"/>
            <w:vAlign w:val="center"/>
          </w:tcPr>
          <w:p>
            <w:pPr>
              <w:jc w:val="center"/>
            </w:pPr>
            <w:r>
              <w:rPr>
                <w:rFonts w:ascii="Calibri" w:hAnsi="Calibri"/>
                <w:b w:val="0"/>
                <w:i w:val="0"/>
                <w:color w:val="37474F"/>
                <w:sz w:val="19"/>
              </w:rPr>
              <w:t>+10.5%</w:t>
            </w:r>
          </w:p>
        </w:tc>
      </w:tr>
      <w:tr>
        <w:tc>
          <w:tcPr>
            <w:tcW w:type="dxa" w:w="850"/>
            <w:shd w:val="clear" w:color="auto" w:fill="E8F5E9"/>
            <w:vAlign w:val="center"/>
          </w:tcPr>
          <w:p>
            <w:pPr>
              <w:jc w:val="center"/>
            </w:pPr>
            <w:r>
              <w:rPr>
                <w:rFonts w:ascii="Calibri" w:hAnsi="Calibri"/>
                <w:b/>
                <w:i w:val="0"/>
                <w:color w:val="37474F"/>
                <w:sz w:val="19"/>
              </w:rPr>
              <w:t>2025</w:t>
            </w:r>
          </w:p>
        </w:tc>
        <w:tc>
          <w:tcPr>
            <w:tcW w:type="dxa" w:w="850"/>
            <w:shd w:val="clear" w:color="auto" w:fill="E8F5E9"/>
            <w:vAlign w:val="center"/>
          </w:tcPr>
          <w:p>
            <w:pPr>
              <w:jc w:val="center"/>
            </w:pPr>
            <w:r>
              <w:rPr>
                <w:rFonts w:ascii="Calibri" w:hAnsi="Calibri"/>
                <w:b/>
                <w:i w:val="0"/>
                <w:color w:val="1B5E20"/>
                <w:sz w:val="19"/>
              </w:rPr>
              <w:t>✓ PASS</w:t>
            </w:r>
          </w:p>
        </w:tc>
        <w:tc>
          <w:tcPr>
            <w:tcW w:type="dxa" w:w="794"/>
            <w:shd w:val="clear" w:color="auto" w:fill="E8F5E9"/>
            <w:vAlign w:val="center"/>
          </w:tcPr>
          <w:p>
            <w:pPr>
              <w:jc w:val="center"/>
            </w:pPr>
            <w:r>
              <w:rPr>
                <w:rFonts w:ascii="Calibri" w:hAnsi="Calibri"/>
                <w:b w:val="0"/>
                <w:i w:val="0"/>
                <w:color w:val="37474F"/>
                <w:sz w:val="19"/>
              </w:rPr>
              <w:t>123</w:t>
            </w:r>
          </w:p>
        </w:tc>
        <w:tc>
          <w:tcPr>
            <w:tcW w:type="dxa" w:w="850"/>
            <w:shd w:val="clear" w:color="auto" w:fill="E8F5E9"/>
            <w:vAlign w:val="center"/>
          </w:tcPr>
          <w:p>
            <w:pPr>
              <w:jc w:val="center"/>
            </w:pPr>
            <w:r>
              <w:rPr>
                <w:rFonts w:ascii="Calibri" w:hAnsi="Calibri"/>
                <w:b w:val="0"/>
                <w:i w:val="0"/>
                <w:color w:val="37474F"/>
                <w:sz w:val="19"/>
              </w:rPr>
              <w:t>52.8%</w:t>
            </w:r>
          </w:p>
        </w:tc>
        <w:tc>
          <w:tcPr>
            <w:tcW w:type="dxa" w:w="850"/>
            <w:shd w:val="clear" w:color="auto" w:fill="E8F5E9"/>
            <w:vAlign w:val="center"/>
          </w:tcPr>
          <w:p>
            <w:pPr>
              <w:jc w:val="center"/>
            </w:pPr>
            <w:r>
              <w:rPr>
                <w:rFonts w:ascii="Calibri" w:hAnsi="Calibri"/>
                <w:b w:val="0"/>
                <w:i w:val="0"/>
                <w:color w:val="37474F"/>
                <w:sz w:val="19"/>
              </w:rPr>
              <w:t>1.06</w:t>
            </w:r>
          </w:p>
        </w:tc>
        <w:tc>
          <w:tcPr>
            <w:tcW w:type="dxa" w:w="1247"/>
            <w:shd w:val="clear" w:color="auto" w:fill="E8F5E9"/>
            <w:vAlign w:val="center"/>
          </w:tcPr>
          <w:p>
            <w:pPr>
              <w:jc w:val="center"/>
            </w:pPr>
            <w:r>
              <w:rPr>
                <w:rFonts w:ascii="Calibri" w:hAnsi="Calibri"/>
                <w:b w:val="0"/>
                <w:i w:val="0"/>
                <w:color w:val="37474F"/>
                <w:sz w:val="19"/>
              </w:rPr>
              <w:t>+₹0.33L</w:t>
            </w:r>
          </w:p>
        </w:tc>
        <w:tc>
          <w:tcPr>
            <w:tcW w:type="dxa" w:w="1247"/>
            <w:shd w:val="clear" w:color="auto" w:fill="E8F5E9"/>
            <w:vAlign w:val="center"/>
          </w:tcPr>
          <w:p>
            <w:pPr>
              <w:jc w:val="center"/>
            </w:pPr>
            <w:r>
              <w:rPr>
                <w:rFonts w:ascii="Calibri" w:hAnsi="Calibri"/>
                <w:b w:val="0"/>
                <w:i w:val="0"/>
                <w:color w:val="37474F"/>
                <w:sz w:val="19"/>
              </w:rPr>
              <w:t>+₹0.44L</w:t>
            </w:r>
          </w:p>
        </w:tc>
        <w:tc>
          <w:tcPr>
            <w:tcW w:type="dxa" w:w="1020"/>
            <w:shd w:val="clear" w:color="auto" w:fill="E8F5E9"/>
            <w:vAlign w:val="center"/>
          </w:tcPr>
          <w:p>
            <w:pPr>
              <w:jc w:val="center"/>
            </w:pPr>
            <w:r>
              <w:rPr>
                <w:rFonts w:ascii="Calibri" w:hAnsi="Calibri"/>
                <w:b w:val="0"/>
                <w:i w:val="0"/>
                <w:color w:val="37474F"/>
                <w:sz w:val="19"/>
              </w:rPr>
              <w:t>+2.2%</w:t>
            </w:r>
          </w:p>
        </w:tc>
        <w:tc>
          <w:tcPr>
            <w:tcW w:type="dxa" w:w="1020"/>
            <w:shd w:val="clear" w:color="auto" w:fill="E8F5E9"/>
            <w:vAlign w:val="center"/>
          </w:tcPr>
          <w:p>
            <w:pPr>
              <w:jc w:val="center"/>
            </w:pPr>
            <w:r>
              <w:rPr>
                <w:rFonts w:ascii="Calibri" w:hAnsi="Calibri"/>
                <w:b w:val="0"/>
                <w:i w:val="0"/>
                <w:color w:val="37474F"/>
                <w:sz w:val="19"/>
              </w:rPr>
              <w:t>+11.2%</w:t>
            </w:r>
          </w:p>
        </w:tc>
      </w:tr>
      <w:tr>
        <w:tc>
          <w:tcPr>
            <w:tcW w:type="dxa" w:w="850"/>
            <w:shd w:val="clear" w:color="auto" w:fill="E8F5E9"/>
            <w:vAlign w:val="center"/>
          </w:tcPr>
          <w:p>
            <w:pPr>
              <w:jc w:val="center"/>
            </w:pPr>
            <w:r>
              <w:rPr>
                <w:rFonts w:ascii="Calibri" w:hAnsi="Calibri"/>
                <w:b/>
                <w:i w:val="0"/>
                <w:color w:val="37474F"/>
                <w:sz w:val="19"/>
              </w:rPr>
              <w:t>2026</w:t>
            </w:r>
          </w:p>
        </w:tc>
        <w:tc>
          <w:tcPr>
            <w:tcW w:type="dxa" w:w="850"/>
            <w:shd w:val="clear" w:color="auto" w:fill="E8F5E9"/>
            <w:vAlign w:val="center"/>
          </w:tcPr>
          <w:p>
            <w:pPr>
              <w:jc w:val="center"/>
            </w:pPr>
            <w:r>
              <w:rPr>
                <w:rFonts w:ascii="Calibri" w:hAnsi="Calibri"/>
                <w:b/>
                <w:i w:val="0"/>
                <w:color w:val="1B5E20"/>
                <w:sz w:val="19"/>
              </w:rPr>
              <w:t>✓ PASS</w:t>
            </w:r>
          </w:p>
        </w:tc>
        <w:tc>
          <w:tcPr>
            <w:tcW w:type="dxa" w:w="794"/>
            <w:shd w:val="clear" w:color="auto" w:fill="E8F5E9"/>
            <w:vAlign w:val="center"/>
          </w:tcPr>
          <w:p>
            <w:pPr>
              <w:jc w:val="center"/>
            </w:pPr>
            <w:r>
              <w:rPr>
                <w:rFonts w:ascii="Calibri" w:hAnsi="Calibri"/>
                <w:b w:val="0"/>
                <w:i w:val="0"/>
                <w:color w:val="37474F"/>
                <w:sz w:val="19"/>
              </w:rPr>
              <w:t>12</w:t>
            </w:r>
          </w:p>
        </w:tc>
        <w:tc>
          <w:tcPr>
            <w:tcW w:type="dxa" w:w="850"/>
            <w:shd w:val="clear" w:color="auto" w:fill="E8F5E9"/>
            <w:vAlign w:val="center"/>
          </w:tcPr>
          <w:p>
            <w:pPr>
              <w:jc w:val="center"/>
            </w:pPr>
            <w:r>
              <w:rPr>
                <w:rFonts w:ascii="Calibri" w:hAnsi="Calibri"/>
                <w:b w:val="0"/>
                <w:i w:val="0"/>
                <w:color w:val="37474F"/>
                <w:sz w:val="19"/>
              </w:rPr>
              <w:t>50.0%</w:t>
            </w:r>
          </w:p>
        </w:tc>
        <w:tc>
          <w:tcPr>
            <w:tcW w:type="dxa" w:w="850"/>
            <w:shd w:val="clear" w:color="auto" w:fill="E8F5E9"/>
            <w:vAlign w:val="center"/>
          </w:tcPr>
          <w:p>
            <w:pPr>
              <w:jc w:val="center"/>
            </w:pPr>
            <w:r>
              <w:rPr>
                <w:rFonts w:ascii="Calibri" w:hAnsi="Calibri"/>
                <w:b w:val="0"/>
                <w:i w:val="0"/>
                <w:color w:val="37474F"/>
                <w:sz w:val="19"/>
              </w:rPr>
              <w:t>1.16</w:t>
            </w:r>
          </w:p>
        </w:tc>
        <w:tc>
          <w:tcPr>
            <w:tcW w:type="dxa" w:w="1247"/>
            <w:shd w:val="clear" w:color="auto" w:fill="E8F5E9"/>
            <w:vAlign w:val="center"/>
          </w:tcPr>
          <w:p>
            <w:pPr>
              <w:jc w:val="center"/>
            </w:pPr>
            <w:r>
              <w:rPr>
                <w:rFonts w:ascii="Calibri" w:hAnsi="Calibri"/>
                <w:b w:val="0"/>
                <w:i w:val="0"/>
                <w:color w:val="37474F"/>
                <w:sz w:val="19"/>
              </w:rPr>
              <w:t>+₹0.10L</w:t>
            </w:r>
          </w:p>
        </w:tc>
        <w:tc>
          <w:tcPr>
            <w:tcW w:type="dxa" w:w="1247"/>
            <w:shd w:val="clear" w:color="auto" w:fill="E8F5E9"/>
            <w:vAlign w:val="center"/>
          </w:tcPr>
          <w:p>
            <w:pPr>
              <w:jc w:val="center"/>
            </w:pPr>
            <w:r>
              <w:rPr>
                <w:rFonts w:ascii="Calibri" w:hAnsi="Calibri"/>
                <w:b w:val="0"/>
                <w:i w:val="0"/>
                <w:color w:val="37474F"/>
                <w:sz w:val="19"/>
              </w:rPr>
              <w:t>+₹0.14L</w:t>
            </w:r>
          </w:p>
        </w:tc>
        <w:tc>
          <w:tcPr>
            <w:tcW w:type="dxa" w:w="1020"/>
            <w:shd w:val="clear" w:color="auto" w:fill="E8F5E9"/>
            <w:vAlign w:val="center"/>
          </w:tcPr>
          <w:p>
            <w:pPr>
              <w:jc w:val="center"/>
            </w:pPr>
            <w:r>
              <w:rPr>
                <w:rFonts w:ascii="Calibri" w:hAnsi="Calibri"/>
                <w:b w:val="0"/>
                <w:i w:val="0"/>
                <w:color w:val="37474F"/>
                <w:sz w:val="19"/>
              </w:rPr>
              <w:t>+0.7%</w:t>
            </w:r>
          </w:p>
        </w:tc>
        <w:tc>
          <w:tcPr>
            <w:tcW w:type="dxa" w:w="1020"/>
            <w:shd w:val="clear" w:color="auto" w:fill="E8F5E9"/>
            <w:vAlign w:val="center"/>
          </w:tcPr>
          <w:p>
            <w:pPr>
              <w:jc w:val="center"/>
            </w:pPr>
            <w:r>
              <w:rPr>
                <w:rFonts w:ascii="Calibri" w:hAnsi="Calibri"/>
                <w:b w:val="0"/>
                <w:i w:val="0"/>
                <w:color w:val="37474F"/>
                <w:sz w:val="19"/>
              </w:rPr>
              <w:t>-7.4% YTD</w:t>
            </w:r>
          </w:p>
        </w:tc>
      </w:tr>
      <w:tr>
        <w:tc>
          <w:tcPr>
            <w:tcW w:type="dxa" w:w="850"/>
            <w:shd w:val="clear" w:color="auto" w:fill="0D47A1"/>
          </w:tcPr>
          <w:p>
            <w:pPr>
              <w:jc w:val="center"/>
            </w:pPr>
            <w:r>
              <w:rPr>
                <w:rFonts w:ascii="Calibri" w:hAnsi="Calibri"/>
                <w:b/>
                <w:i w:val="0"/>
                <w:color w:val="FFFFFF"/>
                <w:sz w:val="19"/>
              </w:rPr>
              <w:t>TOTAL</w:t>
            </w:r>
          </w:p>
        </w:tc>
        <w:tc>
          <w:tcPr>
            <w:tcW w:type="dxa" w:w="850"/>
            <w:shd w:val="clear" w:color="auto" w:fill="0D47A1"/>
          </w:tcPr>
          <w:p>
            <w:pPr>
              <w:jc w:val="center"/>
            </w:pPr>
            <w:r>
              <w:rPr>
                <w:rFonts w:ascii="Calibri" w:hAnsi="Calibri"/>
                <w:b/>
                <w:i w:val="0"/>
                <w:color w:val="FFFFFF"/>
                <w:sz w:val="19"/>
              </w:rPr>
              <w:t>ALL PASS</w:t>
            </w:r>
          </w:p>
        </w:tc>
        <w:tc>
          <w:tcPr>
            <w:tcW w:type="dxa" w:w="794"/>
            <w:shd w:val="clear" w:color="auto" w:fill="0D47A1"/>
          </w:tcPr>
          <w:p>
            <w:pPr>
              <w:jc w:val="center"/>
            </w:pPr>
            <w:r>
              <w:rPr>
                <w:rFonts w:ascii="Calibri" w:hAnsi="Calibri"/>
                <w:b/>
                <w:i w:val="0"/>
                <w:color w:val="FFFFFF"/>
                <w:sz w:val="19"/>
              </w:rPr>
              <w:t>869</w:t>
            </w:r>
          </w:p>
        </w:tc>
        <w:tc>
          <w:tcPr>
            <w:tcW w:type="dxa" w:w="850"/>
            <w:shd w:val="clear" w:color="auto" w:fill="0D47A1"/>
          </w:tcPr>
          <w:p>
            <w:pPr>
              <w:jc w:val="center"/>
            </w:pPr>
            <w:r>
              <w:rPr>
                <w:rFonts w:ascii="Calibri" w:hAnsi="Calibri"/>
                <w:b/>
                <w:i w:val="0"/>
                <w:color w:val="FFFFFF"/>
                <w:sz w:val="19"/>
              </w:rPr>
              <w:t>56.5%</w:t>
            </w:r>
          </w:p>
        </w:tc>
        <w:tc>
          <w:tcPr>
            <w:tcW w:type="dxa" w:w="850"/>
            <w:shd w:val="clear" w:color="auto" w:fill="0D47A1"/>
          </w:tcPr>
          <w:p>
            <w:pPr>
              <w:jc w:val="center"/>
            </w:pPr>
            <w:r>
              <w:rPr>
                <w:rFonts w:ascii="Calibri" w:hAnsi="Calibri"/>
                <w:b/>
                <w:i w:val="0"/>
                <w:color w:val="FFFFFF"/>
                <w:sz w:val="19"/>
              </w:rPr>
              <w:t>1.45</w:t>
            </w:r>
          </w:p>
        </w:tc>
        <w:tc>
          <w:tcPr>
            <w:tcW w:type="dxa" w:w="1247"/>
            <w:shd w:val="clear" w:color="auto" w:fill="0D47A1"/>
          </w:tcPr>
          <w:p>
            <w:pPr>
              <w:jc w:val="center"/>
            </w:pPr>
            <w:r>
              <w:rPr>
                <w:rFonts w:ascii="Calibri" w:hAnsi="Calibri"/>
                <w:b/>
                <w:i w:val="0"/>
                <w:color w:val="FFFFFF"/>
                <w:sz w:val="19"/>
              </w:rPr>
              <w:t>+₹15.5L</w:t>
            </w:r>
          </w:p>
        </w:tc>
        <w:tc>
          <w:tcPr>
            <w:tcW w:type="dxa" w:w="1247"/>
            <w:shd w:val="clear" w:color="auto" w:fill="0D47A1"/>
          </w:tcPr>
          <w:p>
            <w:pPr>
              <w:jc w:val="center"/>
            </w:pPr>
            <w:r>
              <w:rPr>
                <w:rFonts w:ascii="Calibri" w:hAnsi="Calibri"/>
                <w:b/>
                <w:i w:val="0"/>
                <w:color w:val="FFFFFF"/>
                <w:sz w:val="19"/>
              </w:rPr>
              <w:t>+₹20.3L</w:t>
            </w:r>
          </w:p>
        </w:tc>
        <w:tc>
          <w:tcPr>
            <w:tcW w:type="dxa" w:w="1020"/>
            <w:shd w:val="clear" w:color="auto" w:fill="0D47A1"/>
          </w:tcPr>
          <w:p>
            <w:pPr>
              <w:jc w:val="center"/>
            </w:pPr>
            <w:r>
              <w:rPr>
                <w:rFonts w:ascii="Calibri" w:hAnsi="Calibri"/>
                <w:b/>
                <w:i w:val="0"/>
                <w:color w:val="FFFFFF"/>
                <w:sz w:val="19"/>
              </w:rPr>
              <w:t>+101.7%</w:t>
            </w:r>
          </w:p>
        </w:tc>
        <w:tc>
          <w:tcPr>
            <w:tcW w:type="dxa" w:w="1020"/>
            <w:shd w:val="clear" w:color="auto" w:fill="0D47A1"/>
          </w:tcPr>
          <w:p>
            <w:pPr>
              <w:jc w:val="center"/>
            </w:pPr>
            <w:r>
              <w:rPr>
                <w:rFonts w:ascii="Calibri" w:hAnsi="Calibri"/>
                <w:b/>
                <w:i w:val="0"/>
                <w:color w:val="FFFFFF"/>
                <w:sz w:val="19"/>
              </w:rPr>
              <w:t>—</w:t>
            </w:r>
          </w:p>
        </w:tc>
      </w:tr>
    </w:tbl>
    <w:p/>
    <w:p>
      <w:pPr>
        <w:spacing w:before="160" w:after="40"/>
        <w:jc w:val="left"/>
      </w:pPr>
      <w:r>
        <w:rPr>
          <w:rFonts w:ascii="Calibri" w:hAnsi="Calibri"/>
          <w:b/>
          <w:i w:val="0"/>
          <w:color w:val="0D47A1"/>
          <w:sz w:val="21"/>
        </w:rPr>
        <w:t xml:space="preserve">  2022 — </w:t>
      </w:r>
      <w:r>
        <w:rPr>
          <w:rFonts w:ascii="Calibri" w:hAnsi="Calibri"/>
          <w:b/>
          <w:i w:val="0"/>
          <w:color w:val="00697A"/>
          <w:sz w:val="21"/>
        </w:rPr>
        <w:t>Strong Alpha vs Nifty</w:t>
      </w:r>
    </w:p>
    <w:p>
      <w:pPr>
        <w:spacing w:before="0" w:after="100"/>
        <w:ind w:left="283"/>
        <w:jc w:val="both"/>
      </w:pPr>
      <w:r>
        <w:rPr>
          <w:rFonts w:ascii="Calibri" w:hAnsi="Calibri"/>
          <w:b w:val="0"/>
          <w:i w:val="0"/>
          <w:color w:val="37474F"/>
          <w:sz w:val="21"/>
        </w:rPr>
        <w:t>The year started with global rate hikes and Russia-Ukraine war shock. Nifty delivered only +3.8%. Despite the turbulence, PULLBACK_LONG generated +14.7% on the live wallet — nearly 4× the benchmark. The system's strict regime filter (blocking entries during the mid-year correction) was the key differentiator. Win rate of 58.9% and PF=1.48 show the strategy had strong edge in the volatile-but-recovery environment.</w:t>
      </w:r>
    </w:p>
    <w:p>
      <w:pPr>
        <w:spacing w:before="160" w:after="40"/>
        <w:jc w:val="left"/>
      </w:pPr>
      <w:r>
        <w:rPr>
          <w:rFonts w:ascii="Calibri" w:hAnsi="Calibri"/>
          <w:b/>
          <w:i w:val="0"/>
          <w:color w:val="0D47A1"/>
          <w:sz w:val="21"/>
        </w:rPr>
        <w:t xml:space="preserve">  2023 — </w:t>
      </w:r>
      <w:r>
        <w:rPr>
          <w:rFonts w:ascii="Calibri" w:hAnsi="Calibri"/>
          <w:b/>
          <w:i w:val="0"/>
          <w:color w:val="00697A"/>
          <w:sz w:val="21"/>
        </w:rPr>
        <w:t>Exceptional Year (Best Performance)</w:t>
      </w:r>
    </w:p>
    <w:p>
      <w:pPr>
        <w:spacing w:before="0" w:after="100"/>
        <w:ind w:left="283"/>
        <w:jc w:val="both"/>
      </w:pPr>
      <w:r>
        <w:rPr>
          <w:rFonts w:ascii="Calibri" w:hAnsi="Calibri"/>
          <w:b w:val="0"/>
          <w:i w:val="0"/>
          <w:color w:val="37474F"/>
          <w:sz w:val="21"/>
        </w:rPr>
        <w:t>2023 was a strong broad-based bull market — the ideal environment for PULLBACK_LONG. With 298 trades and a 63.1% win rate, the system captured the trend across mid and large caps. The live estimate of +₹13.7L on a ₹20L wallet (+68.7%) significantly outperformed Nifty's +20.6%. Profit Factor of 2.04 means for every ₹1 of loss, the system made ₹2.04 in profit — a very healthy ratio. This year demonstrates what the strategy can do in ideal conditions.</w:t>
      </w:r>
    </w:p>
    <w:p>
      <w:pPr>
        <w:spacing w:before="160" w:after="40"/>
        <w:jc w:val="left"/>
      </w:pPr>
      <w:r>
        <w:rPr>
          <w:rFonts w:ascii="Calibri" w:hAnsi="Calibri"/>
          <w:b/>
          <w:i w:val="0"/>
          <w:color w:val="0D47A1"/>
          <w:sz w:val="21"/>
        </w:rPr>
        <w:t xml:space="preserve">  2024 — </w:t>
      </w:r>
      <w:r>
        <w:rPr>
          <w:rFonts w:ascii="Calibri" w:hAnsi="Calibri"/>
          <w:b/>
          <w:i w:val="0"/>
          <w:color w:val="00697A"/>
          <w:sz w:val="21"/>
        </w:rPr>
        <w:t>Steady Positive in Mixed Market</w:t>
      </w:r>
    </w:p>
    <w:p>
      <w:pPr>
        <w:spacing w:before="0" w:after="100"/>
        <w:ind w:left="283"/>
        <w:jc w:val="both"/>
      </w:pPr>
      <w:r>
        <w:rPr>
          <w:rFonts w:ascii="Calibri" w:hAnsi="Calibri"/>
          <w:b w:val="0"/>
          <w:i w:val="0"/>
          <w:color w:val="37474F"/>
          <w:sz w:val="21"/>
        </w:rPr>
        <w:t>2024 saw Nifty reach record highs mid-year then correct sharply in the second half (Fed rate uncertainty, FII selling). PULLBACK_LONG delivered +15.5% on the live wallet vs Nifty's +10.5%. With 312 trades (the busiest year), the system actively participated in the first-half bull run. The PF of 1.17 and WR of 51% show thinner margins — consistent with a more choppy environment. The system correctly generated fewer high-confidence setups in the volatile second half.</w:t>
      </w:r>
    </w:p>
    <w:p>
      <w:pPr>
        <w:spacing w:before="160" w:after="40"/>
        <w:jc w:val="left"/>
      </w:pPr>
      <w:r>
        <w:rPr>
          <w:rFonts w:ascii="Calibri" w:hAnsi="Calibri"/>
          <w:b/>
          <w:i w:val="0"/>
          <w:color w:val="0D47A1"/>
          <w:sz w:val="21"/>
        </w:rPr>
        <w:t xml:space="preserve">  2025 — </w:t>
      </w:r>
      <w:r>
        <w:rPr>
          <w:rFonts w:ascii="Calibri" w:hAnsi="Calibri"/>
          <w:b/>
          <w:i w:val="0"/>
          <w:color w:val="00697A"/>
          <w:sz w:val="21"/>
        </w:rPr>
        <w:t>Regime Engine Saved the Year</w:t>
      </w:r>
    </w:p>
    <w:p>
      <w:pPr>
        <w:spacing w:before="0" w:after="100"/>
        <w:ind w:left="283"/>
        <w:jc w:val="both"/>
      </w:pPr>
      <w:r>
        <w:rPr>
          <w:rFonts w:ascii="Calibri" w:hAnsi="Calibri"/>
          <w:b w:val="0"/>
          <w:i w:val="0"/>
          <w:color w:val="37474F"/>
          <w:sz w:val="21"/>
        </w:rPr>
        <w:t>2025 was the toughest test. Nifty returned +11.2% on paper, but this masked extreme concentration: PSU banks +29%, IT -11%, and 75% of NSE stocks actually underperformed the index. This 'narrow bull' environment is the most dangerous for multi-stock strategies. Without protection, this would have been a loss year. The Phase 9 regime engine reduced trades from ~312 (2024) to just 123 — a 60% reduction in exposure — resulting in a small but positive +2.2% return (vs -X% without filters). The system correctly identified the deteriorating breadth and protected capital.</w:t>
      </w:r>
    </w:p>
    <w:p>
      <w:pPr>
        <w:spacing w:before="160" w:after="40"/>
        <w:jc w:val="left"/>
      </w:pPr>
      <w:r>
        <w:rPr>
          <w:rFonts w:ascii="Calibri" w:hAnsi="Calibri"/>
          <w:b/>
          <w:i w:val="0"/>
          <w:color w:val="0D47A1"/>
          <w:sz w:val="21"/>
        </w:rPr>
        <w:t xml:space="preserve">  2026 — </w:t>
      </w:r>
      <w:r>
        <w:rPr>
          <w:rFonts w:ascii="Calibri" w:hAnsi="Calibri"/>
          <w:b/>
          <w:i w:val="0"/>
          <w:color w:val="00697A"/>
          <w:sz w:val="21"/>
        </w:rPr>
        <w:t>Bear Market Mode (Correct Behaviour)</w:t>
      </w:r>
    </w:p>
    <w:p>
      <w:pPr>
        <w:spacing w:before="0" w:after="100"/>
        <w:ind w:left="283"/>
        <w:jc w:val="both"/>
      </w:pPr>
      <w:r>
        <w:rPr>
          <w:rFonts w:ascii="Calibri" w:hAnsi="Calibri"/>
          <w:b w:val="0"/>
          <w:i w:val="0"/>
          <w:color w:val="37474F"/>
          <w:sz w:val="21"/>
        </w:rPr>
        <w:t>As of June 2026, Nifty is down -7.4% YTD. The system has taken only 12 trades and is up a modest +0.7%. This is the correct behaviour: in a structural bear market, the regime engine and EMA200 gate block almost all entries. The strategy is designed to preserve capital when the market is against you and participate aggressively when conditions are right. 2026's small profit while the market is deeply negative is the risk-management story in action.</w:t>
      </w:r>
    </w:p>
    <w:p>
      <w:r>
        <w:br w:type="page"/>
      </w:r>
    </w:p>
    <w:p>
      <w:pPr>
        <w:spacing w:before="280" w:after="40"/>
        <w:jc w:val="left"/>
      </w:pPr>
      <w:r>
        <w:rPr>
          <w:rFonts w:ascii="Calibri Light" w:hAnsi="Calibri Light"/>
          <w:b/>
          <w:i w:val="0"/>
          <w:color w:val="00697A"/>
          <w:sz w:val="28"/>
        </w:rPr>
        <w:t xml:space="preserve">4. </w:t>
      </w:r>
      <w:r>
        <w:rPr>
          <w:rFonts w:ascii="Calibri Light" w:hAnsi="Calibri Light"/>
          <w:b/>
          <w:i w:val="0"/>
          <w:color w:val="0D47A1"/>
          <w:sz w:val="28"/>
        </w:rPr>
        <w:t>CAPITAL DEPLOYMENT ANALYSIS</w:t>
      </w:r>
    </w:p>
    <w:p>
      <w:pPr>
        <w:spacing w:before="0" w:after="120"/>
        <w:jc w:val="left"/>
      </w:pPr>
      <w:r>
        <w:rPr>
          <w:rFonts w:ascii="Calibri" w:hAnsi="Calibri"/>
          <w:b w:val="0"/>
          <w:i/>
          <w:color w:val="78909C"/>
          <w:sz w:val="20"/>
        </w:rPr>
        <w:t>How much capital was deployed each year and efficiency of deployment</w:t>
      </w:r>
    </w:p>
    <w:p>
      <w:pPr>
        <w:spacing w:before="0" w:after="100"/>
        <w:jc w:val="both"/>
      </w:pPr>
      <w:r>
        <w:rPr>
          <w:rFonts w:ascii="Calibri" w:hAnsi="Calibri"/>
          <w:b w:val="0"/>
          <w:i w:val="0"/>
          <w:color w:val="37474F"/>
          <w:sz w:val="21"/>
        </w:rPr>
        <w:t>The table below shows how capital was used each year. 'Total Deployed' is the total notional value of all stock purchases (sum of: entry price × shares). 'Return on Deployed' shows how efficiently deployed capital generated returns — a key measure of capital efficiency.</w:t>
      </w:r>
    </w:p>
    <w:tbl>
      <w:tblPr>
        <w:tblStyle w:val="TableGrid"/>
        <w:tblW w:type="auto" w:w="0"/>
        <w:jc w:val="center"/>
        <w:tblLook w:firstColumn="1" w:firstRow="1" w:lastColumn="0" w:lastRow="0" w:noHBand="0" w:noVBand="1" w:val="04A0"/>
      </w:tblPr>
      <w:tblGrid>
        <w:gridCol w:w="794"/>
        <w:gridCol w:w="794"/>
        <w:gridCol w:w="1814"/>
        <w:gridCol w:w="1984"/>
        <w:gridCol w:w="1587"/>
        <w:gridCol w:w="1701"/>
      </w:tblGrid>
      <w:tr>
        <w:tc>
          <w:tcPr>
            <w:tcW w:type="dxa" w:w="1624"/>
            <w:shd w:val="clear" w:color="auto" w:fill="006978"/>
          </w:tcPr>
          <w:p>
            <w:pPr>
              <w:jc w:val="center"/>
            </w:pPr>
            <w:r>
              <w:rPr>
                <w:rFonts w:ascii="Calibri" w:hAnsi="Calibri"/>
                <w:b/>
                <w:i w:val="0"/>
                <w:color w:val="FFFFFF"/>
                <w:sz w:val="18"/>
              </w:rPr>
              <w:t>Year</w:t>
            </w:r>
          </w:p>
        </w:tc>
        <w:tc>
          <w:tcPr>
            <w:tcW w:type="dxa" w:w="1624"/>
            <w:shd w:val="clear" w:color="auto" w:fill="006978"/>
          </w:tcPr>
          <w:p>
            <w:pPr>
              <w:jc w:val="center"/>
            </w:pPr>
            <w:r>
              <w:rPr>
                <w:rFonts w:ascii="Calibri" w:hAnsi="Calibri"/>
                <w:b/>
                <w:i w:val="0"/>
                <w:color w:val="FFFFFF"/>
                <w:sz w:val="18"/>
              </w:rPr>
              <w:t>Trades</w:t>
            </w:r>
          </w:p>
        </w:tc>
        <w:tc>
          <w:tcPr>
            <w:tcW w:type="dxa" w:w="1624"/>
            <w:shd w:val="clear" w:color="auto" w:fill="006978"/>
          </w:tcPr>
          <w:p>
            <w:pPr>
              <w:jc w:val="center"/>
            </w:pPr>
            <w:r>
              <w:rPr>
                <w:rFonts w:ascii="Calibri" w:hAnsi="Calibri"/>
                <w:b/>
                <w:i w:val="0"/>
                <w:color w:val="FFFFFF"/>
                <w:sz w:val="18"/>
              </w:rPr>
              <w:t>Avg Position Size</w:t>
            </w:r>
          </w:p>
        </w:tc>
        <w:tc>
          <w:tcPr>
            <w:tcW w:type="dxa" w:w="1624"/>
            <w:shd w:val="clear" w:color="auto" w:fill="006978"/>
          </w:tcPr>
          <w:p>
            <w:pPr>
              <w:jc w:val="center"/>
            </w:pPr>
            <w:r>
              <w:rPr>
                <w:rFonts w:ascii="Calibri" w:hAnsi="Calibri"/>
                <w:b/>
                <w:i w:val="0"/>
                <w:color w:val="FFFFFF"/>
                <w:sz w:val="18"/>
              </w:rPr>
              <w:t>Total Capital Deployed</w:t>
            </w:r>
          </w:p>
        </w:tc>
        <w:tc>
          <w:tcPr>
            <w:tcW w:type="dxa" w:w="1624"/>
            <w:shd w:val="clear" w:color="auto" w:fill="006978"/>
          </w:tcPr>
          <w:p>
            <w:pPr>
              <w:jc w:val="center"/>
            </w:pPr>
            <w:r>
              <w:rPr>
                <w:rFonts w:ascii="Calibri" w:hAnsi="Calibri"/>
                <w:b/>
                <w:i w:val="0"/>
                <w:color w:val="FFFFFF"/>
                <w:sz w:val="18"/>
              </w:rPr>
              <w:t>Avg P&amp;L / Trade</w:t>
            </w:r>
          </w:p>
        </w:tc>
        <w:tc>
          <w:tcPr>
            <w:tcW w:type="dxa" w:w="1624"/>
            <w:shd w:val="clear" w:color="auto" w:fill="006978"/>
          </w:tcPr>
          <w:p>
            <w:pPr>
              <w:jc w:val="center"/>
            </w:pPr>
            <w:r>
              <w:rPr>
                <w:rFonts w:ascii="Calibri" w:hAnsi="Calibri"/>
                <w:b/>
                <w:i w:val="0"/>
                <w:color w:val="FFFFFF"/>
                <w:sz w:val="18"/>
              </w:rPr>
              <w:t>Return on Deployed</w:t>
            </w:r>
          </w:p>
        </w:tc>
      </w:tr>
      <w:tr>
        <w:tc>
          <w:tcPr>
            <w:tcW w:type="dxa" w:w="794"/>
            <w:shd w:val="clear" w:color="auto" w:fill="E0F7FA"/>
            <w:vAlign w:val="center"/>
          </w:tcPr>
          <w:p>
            <w:pPr>
              <w:jc w:val="center"/>
            </w:pPr>
            <w:r>
              <w:rPr>
                <w:rFonts w:ascii="Calibri" w:hAnsi="Calibri"/>
                <w:b/>
                <w:i w:val="0"/>
                <w:color w:val="37474F"/>
                <w:sz w:val="19"/>
              </w:rPr>
              <w:t>2022</w:t>
            </w:r>
          </w:p>
        </w:tc>
        <w:tc>
          <w:tcPr>
            <w:tcW w:type="dxa" w:w="794"/>
            <w:shd w:val="clear" w:color="auto" w:fill="E0F7FA"/>
            <w:vAlign w:val="center"/>
          </w:tcPr>
          <w:p>
            <w:pPr>
              <w:jc w:val="center"/>
            </w:pPr>
            <w:r>
              <w:rPr>
                <w:rFonts w:ascii="Calibri" w:hAnsi="Calibri"/>
                <w:b w:val="0"/>
                <w:i w:val="0"/>
                <w:color w:val="37474F"/>
                <w:sz w:val="19"/>
              </w:rPr>
              <w:t>124</w:t>
            </w:r>
          </w:p>
        </w:tc>
        <w:tc>
          <w:tcPr>
            <w:tcW w:type="dxa" w:w="1814"/>
            <w:shd w:val="clear" w:color="auto" w:fill="E0F7FA"/>
            <w:vAlign w:val="center"/>
          </w:tcPr>
          <w:p>
            <w:pPr>
              <w:jc w:val="center"/>
            </w:pPr>
            <w:r>
              <w:rPr>
                <w:rFonts w:ascii="Calibri" w:hAnsi="Calibri"/>
                <w:b w:val="0"/>
                <w:i w:val="0"/>
                <w:color w:val="37474F"/>
                <w:sz w:val="19"/>
              </w:rPr>
              <w:t>₹2.47L per trade</w:t>
            </w:r>
          </w:p>
        </w:tc>
        <w:tc>
          <w:tcPr>
            <w:tcW w:type="dxa" w:w="1984"/>
            <w:shd w:val="clear" w:color="auto" w:fill="E0F7FA"/>
            <w:vAlign w:val="center"/>
          </w:tcPr>
          <w:p>
            <w:pPr>
              <w:jc w:val="center"/>
            </w:pPr>
            <w:r>
              <w:rPr>
                <w:rFonts w:ascii="Calibri" w:hAnsi="Calibri"/>
                <w:b w:val="0"/>
                <w:i w:val="0"/>
                <w:color w:val="37474F"/>
                <w:sz w:val="19"/>
              </w:rPr>
              <w:t>₹306.1L</w:t>
            </w:r>
          </w:p>
        </w:tc>
        <w:tc>
          <w:tcPr>
            <w:tcW w:type="dxa" w:w="1587"/>
            <w:shd w:val="clear" w:color="auto" w:fill="E0F7FA"/>
            <w:vAlign w:val="center"/>
          </w:tcPr>
          <w:p>
            <w:pPr>
              <w:jc w:val="center"/>
            </w:pPr>
            <w:r>
              <w:rPr>
                <w:rFonts w:ascii="Calibri" w:hAnsi="Calibri"/>
                <w:b w:val="0"/>
                <w:i w:val="0"/>
                <w:color w:val="37474F"/>
                <w:sz w:val="19"/>
              </w:rPr>
              <w:t>₹+1,814</w:t>
            </w:r>
          </w:p>
        </w:tc>
        <w:tc>
          <w:tcPr>
            <w:tcW w:type="dxa" w:w="1701"/>
            <w:shd w:val="clear" w:color="auto" w:fill="E0F7FA"/>
            <w:vAlign w:val="center"/>
          </w:tcPr>
          <w:p>
            <w:pPr>
              <w:jc w:val="center"/>
            </w:pPr>
            <w:r>
              <w:rPr>
                <w:rFonts w:ascii="Calibri" w:hAnsi="Calibri"/>
                <w:b w:val="0"/>
                <w:i w:val="0"/>
                <w:color w:val="37474F"/>
                <w:sz w:val="19"/>
              </w:rPr>
              <w:t>+0.73%</w:t>
            </w:r>
          </w:p>
        </w:tc>
      </w:tr>
      <w:tr>
        <w:tc>
          <w:tcPr>
            <w:tcW w:type="dxa" w:w="794"/>
            <w:shd w:val="clear" w:color="auto" w:fill="FFFFFF"/>
            <w:vAlign w:val="center"/>
          </w:tcPr>
          <w:p>
            <w:pPr>
              <w:jc w:val="center"/>
            </w:pPr>
            <w:r>
              <w:rPr>
                <w:rFonts w:ascii="Calibri" w:hAnsi="Calibri"/>
                <w:b/>
                <w:i w:val="0"/>
                <w:color w:val="37474F"/>
                <w:sz w:val="19"/>
              </w:rPr>
              <w:t>2023</w:t>
            </w:r>
          </w:p>
        </w:tc>
        <w:tc>
          <w:tcPr>
            <w:tcW w:type="dxa" w:w="794"/>
            <w:shd w:val="clear" w:color="auto" w:fill="FFFFFF"/>
            <w:vAlign w:val="center"/>
          </w:tcPr>
          <w:p>
            <w:pPr>
              <w:jc w:val="center"/>
            </w:pPr>
            <w:r>
              <w:rPr>
                <w:rFonts w:ascii="Calibri" w:hAnsi="Calibri"/>
                <w:b w:val="0"/>
                <w:i w:val="0"/>
                <w:color w:val="37474F"/>
                <w:sz w:val="19"/>
              </w:rPr>
              <w:t>298</w:t>
            </w:r>
          </w:p>
        </w:tc>
        <w:tc>
          <w:tcPr>
            <w:tcW w:type="dxa" w:w="1814"/>
            <w:shd w:val="clear" w:color="auto" w:fill="FFFFFF"/>
            <w:vAlign w:val="center"/>
          </w:tcPr>
          <w:p>
            <w:pPr>
              <w:jc w:val="center"/>
            </w:pPr>
            <w:r>
              <w:rPr>
                <w:rFonts w:ascii="Calibri" w:hAnsi="Calibri"/>
                <w:b w:val="0"/>
                <w:i w:val="0"/>
                <w:color w:val="37474F"/>
                <w:sz w:val="19"/>
              </w:rPr>
              <w:t>₹2.85L per trade</w:t>
            </w:r>
          </w:p>
        </w:tc>
        <w:tc>
          <w:tcPr>
            <w:tcW w:type="dxa" w:w="1984"/>
            <w:shd w:val="clear" w:color="auto" w:fill="FFFFFF"/>
            <w:vAlign w:val="center"/>
          </w:tcPr>
          <w:p>
            <w:pPr>
              <w:jc w:val="center"/>
            </w:pPr>
            <w:r>
              <w:rPr>
                <w:rFonts w:ascii="Calibri" w:hAnsi="Calibri"/>
                <w:b w:val="0"/>
                <w:i w:val="0"/>
                <w:color w:val="37474F"/>
                <w:sz w:val="19"/>
              </w:rPr>
              <w:t>₹849.4L</w:t>
            </w:r>
          </w:p>
        </w:tc>
        <w:tc>
          <w:tcPr>
            <w:tcW w:type="dxa" w:w="1587"/>
            <w:shd w:val="clear" w:color="auto" w:fill="FFFFFF"/>
            <w:vAlign w:val="center"/>
          </w:tcPr>
          <w:p>
            <w:pPr>
              <w:jc w:val="center"/>
            </w:pPr>
            <w:r>
              <w:rPr>
                <w:rFonts w:ascii="Calibri" w:hAnsi="Calibri"/>
                <w:b w:val="0"/>
                <w:i w:val="0"/>
                <w:color w:val="37474F"/>
                <w:sz w:val="19"/>
              </w:rPr>
              <w:t>₹+3,521</w:t>
            </w:r>
          </w:p>
        </w:tc>
        <w:tc>
          <w:tcPr>
            <w:tcW w:type="dxa" w:w="1701"/>
            <w:shd w:val="clear" w:color="auto" w:fill="FFFFFF"/>
            <w:vAlign w:val="center"/>
          </w:tcPr>
          <w:p>
            <w:pPr>
              <w:jc w:val="center"/>
            </w:pPr>
            <w:r>
              <w:rPr>
                <w:rFonts w:ascii="Calibri" w:hAnsi="Calibri"/>
                <w:b w:val="0"/>
                <w:i w:val="0"/>
                <w:color w:val="37474F"/>
                <w:sz w:val="19"/>
              </w:rPr>
              <w:t>+1.24%</w:t>
            </w:r>
          </w:p>
        </w:tc>
      </w:tr>
      <w:tr>
        <w:tc>
          <w:tcPr>
            <w:tcW w:type="dxa" w:w="794"/>
            <w:shd w:val="clear" w:color="auto" w:fill="E0F7FA"/>
            <w:vAlign w:val="center"/>
          </w:tcPr>
          <w:p>
            <w:pPr>
              <w:jc w:val="center"/>
            </w:pPr>
            <w:r>
              <w:rPr>
                <w:rFonts w:ascii="Calibri" w:hAnsi="Calibri"/>
                <w:b/>
                <w:i w:val="0"/>
                <w:color w:val="37474F"/>
                <w:sz w:val="19"/>
              </w:rPr>
              <w:t>2024</w:t>
            </w:r>
          </w:p>
        </w:tc>
        <w:tc>
          <w:tcPr>
            <w:tcW w:type="dxa" w:w="794"/>
            <w:shd w:val="clear" w:color="auto" w:fill="E0F7FA"/>
            <w:vAlign w:val="center"/>
          </w:tcPr>
          <w:p>
            <w:pPr>
              <w:jc w:val="center"/>
            </w:pPr>
            <w:r>
              <w:rPr>
                <w:rFonts w:ascii="Calibri" w:hAnsi="Calibri"/>
                <w:b w:val="0"/>
                <w:i w:val="0"/>
                <w:color w:val="37474F"/>
                <w:sz w:val="19"/>
              </w:rPr>
              <w:t>312</w:t>
            </w:r>
          </w:p>
        </w:tc>
        <w:tc>
          <w:tcPr>
            <w:tcW w:type="dxa" w:w="1814"/>
            <w:shd w:val="clear" w:color="auto" w:fill="E0F7FA"/>
            <w:vAlign w:val="center"/>
          </w:tcPr>
          <w:p>
            <w:pPr>
              <w:jc w:val="center"/>
            </w:pPr>
            <w:r>
              <w:rPr>
                <w:rFonts w:ascii="Calibri" w:hAnsi="Calibri"/>
                <w:b w:val="0"/>
                <w:i w:val="0"/>
                <w:color w:val="37474F"/>
                <w:sz w:val="19"/>
              </w:rPr>
              <w:t>₹2.17L per trade</w:t>
            </w:r>
          </w:p>
        </w:tc>
        <w:tc>
          <w:tcPr>
            <w:tcW w:type="dxa" w:w="1984"/>
            <w:shd w:val="clear" w:color="auto" w:fill="E0F7FA"/>
            <w:vAlign w:val="center"/>
          </w:tcPr>
          <w:p>
            <w:pPr>
              <w:jc w:val="center"/>
            </w:pPr>
            <w:r>
              <w:rPr>
                <w:rFonts w:ascii="Calibri" w:hAnsi="Calibri"/>
                <w:b w:val="0"/>
                <w:i w:val="0"/>
                <w:color w:val="37474F"/>
                <w:sz w:val="19"/>
              </w:rPr>
              <w:t>₹678.5L</w:t>
            </w:r>
          </w:p>
        </w:tc>
        <w:tc>
          <w:tcPr>
            <w:tcW w:type="dxa" w:w="1587"/>
            <w:shd w:val="clear" w:color="auto" w:fill="E0F7FA"/>
            <w:vAlign w:val="center"/>
          </w:tcPr>
          <w:p>
            <w:pPr>
              <w:jc w:val="center"/>
            </w:pPr>
            <w:r>
              <w:rPr>
                <w:rFonts w:ascii="Calibri" w:hAnsi="Calibri"/>
                <w:b w:val="0"/>
                <w:i w:val="0"/>
                <w:color w:val="37474F"/>
                <w:sz w:val="19"/>
              </w:rPr>
              <w:t>₹+758</w:t>
            </w:r>
          </w:p>
        </w:tc>
        <w:tc>
          <w:tcPr>
            <w:tcW w:type="dxa" w:w="1701"/>
            <w:shd w:val="clear" w:color="auto" w:fill="E0F7FA"/>
            <w:vAlign w:val="center"/>
          </w:tcPr>
          <w:p>
            <w:pPr>
              <w:jc w:val="center"/>
            </w:pPr>
            <w:r>
              <w:rPr>
                <w:rFonts w:ascii="Calibri" w:hAnsi="Calibri"/>
                <w:b w:val="0"/>
                <w:i w:val="0"/>
                <w:color w:val="37474F"/>
                <w:sz w:val="19"/>
              </w:rPr>
              <w:t>+0.35%</w:t>
            </w:r>
          </w:p>
        </w:tc>
      </w:tr>
      <w:tr>
        <w:tc>
          <w:tcPr>
            <w:tcW w:type="dxa" w:w="794"/>
            <w:shd w:val="clear" w:color="auto" w:fill="FFFFFF"/>
            <w:vAlign w:val="center"/>
          </w:tcPr>
          <w:p>
            <w:pPr>
              <w:jc w:val="center"/>
            </w:pPr>
            <w:r>
              <w:rPr>
                <w:rFonts w:ascii="Calibri" w:hAnsi="Calibri"/>
                <w:b/>
                <w:i w:val="0"/>
                <w:color w:val="37474F"/>
                <w:sz w:val="19"/>
              </w:rPr>
              <w:t>2025</w:t>
            </w:r>
          </w:p>
        </w:tc>
        <w:tc>
          <w:tcPr>
            <w:tcW w:type="dxa" w:w="794"/>
            <w:shd w:val="clear" w:color="auto" w:fill="FFFFFF"/>
            <w:vAlign w:val="center"/>
          </w:tcPr>
          <w:p>
            <w:pPr>
              <w:jc w:val="center"/>
            </w:pPr>
            <w:r>
              <w:rPr>
                <w:rFonts w:ascii="Calibri" w:hAnsi="Calibri"/>
                <w:b w:val="0"/>
                <w:i w:val="0"/>
                <w:color w:val="37474F"/>
                <w:sz w:val="19"/>
              </w:rPr>
              <w:t>123</w:t>
            </w:r>
          </w:p>
        </w:tc>
        <w:tc>
          <w:tcPr>
            <w:tcW w:type="dxa" w:w="1814"/>
            <w:shd w:val="clear" w:color="auto" w:fill="FFFFFF"/>
            <w:vAlign w:val="center"/>
          </w:tcPr>
          <w:p>
            <w:pPr>
              <w:jc w:val="center"/>
            </w:pPr>
            <w:r>
              <w:rPr>
                <w:rFonts w:ascii="Calibri" w:hAnsi="Calibri"/>
                <w:b w:val="0"/>
                <w:i w:val="0"/>
                <w:color w:val="37474F"/>
                <w:sz w:val="19"/>
              </w:rPr>
              <w:t>₹2.44L per trade</w:t>
            </w:r>
          </w:p>
        </w:tc>
        <w:tc>
          <w:tcPr>
            <w:tcW w:type="dxa" w:w="1984"/>
            <w:shd w:val="clear" w:color="auto" w:fill="FFFFFF"/>
            <w:vAlign w:val="center"/>
          </w:tcPr>
          <w:p>
            <w:pPr>
              <w:jc w:val="center"/>
            </w:pPr>
            <w:r>
              <w:rPr>
                <w:rFonts w:ascii="Calibri" w:hAnsi="Calibri"/>
                <w:b w:val="0"/>
                <w:i w:val="0"/>
                <w:color w:val="37474F"/>
                <w:sz w:val="19"/>
              </w:rPr>
              <w:t>₹300.5L</w:t>
            </w:r>
          </w:p>
        </w:tc>
        <w:tc>
          <w:tcPr>
            <w:tcW w:type="dxa" w:w="1587"/>
            <w:shd w:val="clear" w:color="auto" w:fill="FFFFFF"/>
            <w:vAlign w:val="center"/>
          </w:tcPr>
          <w:p>
            <w:pPr>
              <w:jc w:val="center"/>
            </w:pPr>
            <w:r>
              <w:rPr>
                <w:rFonts w:ascii="Calibri" w:hAnsi="Calibri"/>
                <w:b w:val="0"/>
                <w:i w:val="0"/>
                <w:color w:val="37474F"/>
                <w:sz w:val="19"/>
              </w:rPr>
              <w:t>₹+272</w:t>
            </w:r>
          </w:p>
        </w:tc>
        <w:tc>
          <w:tcPr>
            <w:tcW w:type="dxa" w:w="1701"/>
            <w:shd w:val="clear" w:color="auto" w:fill="FFFFFF"/>
            <w:vAlign w:val="center"/>
          </w:tcPr>
          <w:p>
            <w:pPr>
              <w:jc w:val="center"/>
            </w:pPr>
            <w:r>
              <w:rPr>
                <w:rFonts w:ascii="Calibri" w:hAnsi="Calibri"/>
                <w:b w:val="0"/>
                <w:i w:val="0"/>
                <w:color w:val="37474F"/>
                <w:sz w:val="19"/>
              </w:rPr>
              <w:t>+0.11%</w:t>
            </w:r>
          </w:p>
        </w:tc>
      </w:tr>
      <w:tr>
        <w:tc>
          <w:tcPr>
            <w:tcW w:type="dxa" w:w="794"/>
            <w:shd w:val="clear" w:color="auto" w:fill="E0F7FA"/>
            <w:vAlign w:val="center"/>
          </w:tcPr>
          <w:p>
            <w:pPr>
              <w:jc w:val="center"/>
            </w:pPr>
            <w:r>
              <w:rPr>
                <w:rFonts w:ascii="Calibri" w:hAnsi="Calibri"/>
                <w:b/>
                <w:i w:val="0"/>
                <w:color w:val="37474F"/>
                <w:sz w:val="19"/>
              </w:rPr>
              <w:t>2026</w:t>
            </w:r>
          </w:p>
        </w:tc>
        <w:tc>
          <w:tcPr>
            <w:tcW w:type="dxa" w:w="794"/>
            <w:shd w:val="clear" w:color="auto" w:fill="E0F7FA"/>
            <w:vAlign w:val="center"/>
          </w:tcPr>
          <w:p>
            <w:pPr>
              <w:jc w:val="center"/>
            </w:pPr>
            <w:r>
              <w:rPr>
                <w:rFonts w:ascii="Calibri" w:hAnsi="Calibri"/>
                <w:b w:val="0"/>
                <w:i w:val="0"/>
                <w:color w:val="37474F"/>
                <w:sz w:val="19"/>
              </w:rPr>
              <w:t>12</w:t>
            </w:r>
          </w:p>
        </w:tc>
        <w:tc>
          <w:tcPr>
            <w:tcW w:type="dxa" w:w="1814"/>
            <w:shd w:val="clear" w:color="auto" w:fill="E0F7FA"/>
            <w:vAlign w:val="center"/>
          </w:tcPr>
          <w:p>
            <w:pPr>
              <w:jc w:val="center"/>
            </w:pPr>
            <w:r>
              <w:rPr>
                <w:rFonts w:ascii="Calibri" w:hAnsi="Calibri"/>
                <w:b w:val="0"/>
                <w:i w:val="0"/>
                <w:color w:val="37474F"/>
                <w:sz w:val="19"/>
              </w:rPr>
              <w:t>₹2.41L per trade</w:t>
            </w:r>
          </w:p>
        </w:tc>
        <w:tc>
          <w:tcPr>
            <w:tcW w:type="dxa" w:w="1984"/>
            <w:shd w:val="clear" w:color="auto" w:fill="E0F7FA"/>
            <w:vAlign w:val="center"/>
          </w:tcPr>
          <w:p>
            <w:pPr>
              <w:jc w:val="center"/>
            </w:pPr>
            <w:r>
              <w:rPr>
                <w:rFonts w:ascii="Calibri" w:hAnsi="Calibri"/>
                <w:b w:val="0"/>
                <w:i w:val="0"/>
                <w:color w:val="37474F"/>
                <w:sz w:val="19"/>
              </w:rPr>
              <w:t>₹29.0L</w:t>
            </w:r>
          </w:p>
        </w:tc>
        <w:tc>
          <w:tcPr>
            <w:tcW w:type="dxa" w:w="1587"/>
            <w:shd w:val="clear" w:color="auto" w:fill="E0F7FA"/>
            <w:vAlign w:val="center"/>
          </w:tcPr>
          <w:p>
            <w:pPr>
              <w:jc w:val="center"/>
            </w:pPr>
            <w:r>
              <w:rPr>
                <w:rFonts w:ascii="Calibri" w:hAnsi="Calibri"/>
                <w:b w:val="0"/>
                <w:i w:val="0"/>
                <w:color w:val="37474F"/>
                <w:sz w:val="19"/>
              </w:rPr>
              <w:t>₹+871</w:t>
            </w:r>
          </w:p>
        </w:tc>
        <w:tc>
          <w:tcPr>
            <w:tcW w:type="dxa" w:w="1701"/>
            <w:shd w:val="clear" w:color="auto" w:fill="E0F7FA"/>
            <w:vAlign w:val="center"/>
          </w:tcPr>
          <w:p>
            <w:pPr>
              <w:jc w:val="center"/>
            </w:pPr>
            <w:r>
              <w:rPr>
                <w:rFonts w:ascii="Calibri" w:hAnsi="Calibri"/>
                <w:b w:val="0"/>
                <w:i w:val="0"/>
                <w:color w:val="37474F"/>
                <w:sz w:val="19"/>
              </w:rPr>
              <w:t>+0.36%</w:t>
            </w:r>
          </w:p>
        </w:tc>
      </w:tr>
      <w:tr>
        <w:tc>
          <w:tcPr>
            <w:tcW w:type="dxa" w:w="794"/>
            <w:shd w:val="clear" w:color="auto" w:fill="006978"/>
          </w:tcPr>
          <w:p>
            <w:pPr>
              <w:jc w:val="center"/>
            </w:pPr>
            <w:r>
              <w:rPr>
                <w:rFonts w:ascii="Calibri" w:hAnsi="Calibri"/>
                <w:b/>
                <w:i w:val="0"/>
                <w:color w:val="FFFFFF"/>
                <w:sz w:val="19"/>
              </w:rPr>
              <w:t>TOTAL</w:t>
            </w:r>
          </w:p>
        </w:tc>
        <w:tc>
          <w:tcPr>
            <w:tcW w:type="dxa" w:w="794"/>
            <w:shd w:val="clear" w:color="auto" w:fill="006978"/>
          </w:tcPr>
          <w:p>
            <w:pPr>
              <w:jc w:val="center"/>
            </w:pPr>
            <w:r>
              <w:rPr>
                <w:rFonts w:ascii="Calibri" w:hAnsi="Calibri"/>
                <w:b/>
                <w:i w:val="0"/>
                <w:color w:val="FFFFFF"/>
                <w:sz w:val="19"/>
              </w:rPr>
              <w:t>869</w:t>
            </w:r>
          </w:p>
        </w:tc>
        <w:tc>
          <w:tcPr>
            <w:tcW w:type="dxa" w:w="1814"/>
            <w:shd w:val="clear" w:color="auto" w:fill="006978"/>
          </w:tcPr>
          <w:p>
            <w:pPr>
              <w:jc w:val="center"/>
            </w:pPr>
            <w:r>
              <w:rPr>
                <w:rFonts w:ascii="Calibri" w:hAnsi="Calibri"/>
                <w:b/>
                <w:i w:val="0"/>
                <w:color w:val="FFFFFF"/>
                <w:sz w:val="19"/>
              </w:rPr>
              <w:t>₹2.49L</w:t>
            </w:r>
          </w:p>
        </w:tc>
        <w:tc>
          <w:tcPr>
            <w:tcW w:type="dxa" w:w="1984"/>
            <w:shd w:val="clear" w:color="auto" w:fill="006978"/>
          </w:tcPr>
          <w:p>
            <w:pPr>
              <w:jc w:val="center"/>
            </w:pPr>
            <w:r>
              <w:rPr>
                <w:rFonts w:ascii="Calibri" w:hAnsi="Calibri"/>
                <w:b/>
                <w:i w:val="0"/>
                <w:color w:val="FFFFFF"/>
                <w:sz w:val="19"/>
              </w:rPr>
              <w:t>₹2163L</w:t>
            </w:r>
          </w:p>
        </w:tc>
        <w:tc>
          <w:tcPr>
            <w:tcW w:type="dxa" w:w="1587"/>
            <w:shd w:val="clear" w:color="auto" w:fill="006978"/>
          </w:tcPr>
          <w:p>
            <w:pPr>
              <w:jc w:val="center"/>
            </w:pPr>
            <w:r>
              <w:rPr>
                <w:rFonts w:ascii="Calibri" w:hAnsi="Calibri"/>
                <w:b/>
                <w:i w:val="0"/>
                <w:color w:val="FFFFFF"/>
                <w:sz w:val="19"/>
              </w:rPr>
              <w:t>₹+1,789</w:t>
            </w:r>
          </w:p>
        </w:tc>
        <w:tc>
          <w:tcPr>
            <w:tcW w:type="dxa" w:w="1701"/>
            <w:shd w:val="clear" w:color="auto" w:fill="006978"/>
          </w:tcPr>
          <w:p>
            <w:pPr>
              <w:jc w:val="center"/>
            </w:pPr>
            <w:r>
              <w:rPr>
                <w:rFonts w:ascii="Calibri" w:hAnsi="Calibri"/>
                <w:b/>
                <w:i w:val="0"/>
                <w:color w:val="FFFFFF"/>
                <w:sz w:val="19"/>
              </w:rPr>
              <w:t>+0.72%</w:t>
            </w:r>
          </w:p>
        </w:tc>
      </w:tr>
    </w:tbl>
    <w:p/>
    <w:p>
      <w:pPr>
        <w:spacing w:before="0" w:after="100"/>
        <w:jc w:val="both"/>
      </w:pPr>
      <w:r>
        <w:rPr>
          <w:rFonts w:ascii="Calibri" w:hAnsi="Calibri"/>
          <w:b w:val="0"/>
          <w:i w:val="0"/>
          <w:color w:val="37474F"/>
          <w:sz w:val="21"/>
        </w:rPr>
        <w:t>Important note: The 'Total Capital Deployed' figures represent the aggregate notional value across all individual stock positions opened during the year. Multiple positions may be open simultaneously; the actual peak capital at risk at any one time is governed by the 1% risk-per-trade rule, meaning maximum concurrent loss exposure at any moment is limited to a few percent of wallet.</w:t>
      </w:r>
    </w:p>
    <w:p>
      <w:r>
        <w:br w:type="page"/>
      </w:r>
    </w:p>
    <w:p>
      <w:pPr>
        <w:spacing w:before="280" w:after="40"/>
        <w:jc w:val="left"/>
      </w:pPr>
      <w:r>
        <w:rPr>
          <w:rFonts w:ascii="Calibri Light" w:hAnsi="Calibri Light"/>
          <w:b/>
          <w:i w:val="0"/>
          <w:color w:val="00697A"/>
          <w:sz w:val="28"/>
        </w:rPr>
        <w:t xml:space="preserve">5. </w:t>
      </w:r>
      <w:r>
        <w:rPr>
          <w:rFonts w:ascii="Calibri Light" w:hAnsi="Calibri Light"/>
          <w:b/>
          <w:i w:val="0"/>
          <w:color w:val="0D47A1"/>
          <w:sz w:val="28"/>
        </w:rPr>
        <w:t>RISK MANAGEMENT FRAMEWORK</w:t>
      </w:r>
    </w:p>
    <w:p>
      <w:pPr>
        <w:spacing w:before="0" w:after="120"/>
        <w:jc w:val="left"/>
      </w:pPr>
      <w:r>
        <w:rPr>
          <w:rFonts w:ascii="Calibri" w:hAnsi="Calibri"/>
          <w:b w:val="0"/>
          <w:i/>
          <w:color w:val="78909C"/>
          <w:sz w:val="20"/>
        </w:rPr>
        <w:t>How the system protects capital — the most important section for deployment decisions</w:t>
      </w:r>
    </w:p>
    <w:p>
      <w:pPr>
        <w:spacing w:before="0" w:after="100"/>
        <w:jc w:val="both"/>
      </w:pPr>
      <w:r>
        <w:rPr>
          <w:rFonts w:ascii="Calibri" w:hAnsi="Calibri"/>
          <w:b w:val="0"/>
          <w:i w:val="0"/>
          <w:color w:val="37474F"/>
          <w:sz w:val="21"/>
        </w:rPr>
        <w:t>Professional fund managers evaluate strategies not just on returns, but on HOW those returns were achieved. The risk framework below shows that AutoTrade Pro is built with institutional-grade risk controls.</w:t>
      </w:r>
    </w:p>
    <w:p>
      <w:pPr>
        <w:pStyle w:val="ListBullet"/>
        <w:spacing w:before="20" w:after="60"/>
        <w:ind w:left="283"/>
      </w:pPr>
      <w:r>
        <w:rPr>
          <w:rFonts w:ascii="Calibri" w:hAnsi="Calibri"/>
          <w:b/>
          <w:i w:val="0"/>
          <w:color w:val="0D47A1"/>
          <w:sz w:val="21"/>
        </w:rPr>
        <w:t xml:space="preserve">1% Rule (Position Sizing): </w:t>
      </w:r>
      <w:r>
        <w:rPr>
          <w:rFonts w:ascii="Calibri" w:hAnsi="Calibri"/>
          <w:b w:val="0"/>
          <w:i w:val="0"/>
          <w:color w:val="37474F"/>
          <w:sz w:val="21"/>
        </w:rPr>
        <w:t>Every trade risks exactly 1% of the live wallet. On ₹20L, this is ₹20,000 per trade. If a trade hits its stop loss, the maximum loss is ₹20,000 — not more. This prevents any single trade from significantly impacting the portfolio.</w:t>
      </w:r>
    </w:p>
    <w:p>
      <w:pPr>
        <w:pStyle w:val="ListBullet"/>
        <w:spacing w:before="20" w:after="60"/>
        <w:ind w:left="283"/>
      </w:pPr>
      <w:r>
        <w:rPr>
          <w:rFonts w:ascii="Calibri" w:hAnsi="Calibri"/>
          <w:b/>
          <w:i w:val="0"/>
          <w:color w:val="0D47A1"/>
          <w:sz w:val="21"/>
        </w:rPr>
        <w:t xml:space="preserve">2:1 Reward-to-Risk Ratio: </w:t>
      </w:r>
      <w:r>
        <w:rPr>
          <w:rFonts w:ascii="Calibri" w:hAnsi="Calibri"/>
          <w:b w:val="0"/>
          <w:i w:val="0"/>
          <w:color w:val="37474F"/>
          <w:sz w:val="21"/>
        </w:rPr>
        <w:t>Every trade has a profit target set at 2× the stop distance. For every ₹1 risked, the system aims to make ₹2. This means the strategy can be profitable even if fewer than 50% of trades win — which is why our 56.5% win rate is very healthy.</w:t>
      </w:r>
    </w:p>
    <w:p>
      <w:pPr>
        <w:pStyle w:val="ListBullet"/>
        <w:spacing w:before="20" w:after="60"/>
        <w:ind w:left="283"/>
      </w:pPr>
      <w:r>
        <w:rPr>
          <w:rFonts w:ascii="Calibri" w:hAnsi="Calibri"/>
          <w:b/>
          <w:i w:val="0"/>
          <w:color w:val="0D47A1"/>
          <w:sz w:val="21"/>
        </w:rPr>
        <w:t xml:space="preserve">Time Stop (12 Bars): </w:t>
      </w:r>
      <w:r>
        <w:rPr>
          <w:rFonts w:ascii="Calibri" w:hAnsi="Calibri"/>
          <w:b w:val="0"/>
          <w:i w:val="0"/>
          <w:color w:val="37474F"/>
          <w:sz w:val="21"/>
        </w:rPr>
        <w:t>If a trade is neither stopped out nor hitting its target within 12 daily bars (~2.5 weeks), it is automatically closed. This frees up capital for better opportunities and prevents capital being locked in 'dead money' positions.</w:t>
      </w:r>
    </w:p>
    <w:p>
      <w:pPr>
        <w:pStyle w:val="ListBullet"/>
        <w:spacing w:before="20" w:after="60"/>
        <w:ind w:left="283"/>
      </w:pPr>
      <w:r>
        <w:rPr>
          <w:rFonts w:ascii="Calibri" w:hAnsi="Calibri"/>
          <w:b/>
          <w:i w:val="0"/>
          <w:color w:val="0D47A1"/>
          <w:sz w:val="21"/>
        </w:rPr>
        <w:t xml:space="preserve">5-State Market Regime Engine: </w:t>
      </w:r>
      <w:r>
        <w:rPr>
          <w:rFonts w:ascii="Calibri" w:hAnsi="Calibri"/>
          <w:b w:val="0"/>
          <w:i w:val="0"/>
          <w:color w:val="37474F"/>
          <w:sz w:val="21"/>
        </w:rPr>
        <w:t>The system continuously monitors 5 market indicators: EMA stack alignment, EMA50 slope, 20-day rate-of-change, market breadth (% of stocks above their 200-day average), and VIX (volatility index). Based on these, it classifies the market into 5 states. PULLBACK_LONG entries are only allowed in STRONG_BULL and MODERATE_BULL states.</w:t>
      </w:r>
    </w:p>
    <w:p>
      <w:pPr>
        <w:pStyle w:val="ListBullet"/>
        <w:spacing w:before="20" w:after="60"/>
        <w:ind w:left="283"/>
      </w:pPr>
      <w:r>
        <w:rPr>
          <w:rFonts w:ascii="Calibri" w:hAnsi="Calibri"/>
          <w:b/>
          <w:i w:val="0"/>
          <w:color w:val="0D47A1"/>
          <w:sz w:val="21"/>
        </w:rPr>
        <w:t xml:space="preserve">EMA200 Hard Gate (Bear Market Switch): </w:t>
      </w:r>
      <w:r>
        <w:rPr>
          <w:rFonts w:ascii="Calibri" w:hAnsi="Calibri"/>
          <w:b w:val="0"/>
          <w:i w:val="0"/>
          <w:color w:val="37474F"/>
          <w:sz w:val="21"/>
        </w:rPr>
        <w:t>If the Nifty index itself falls below its 200-day moving average, the system treats it as a structural bear market and stops all new entries unconditionally. This single rule prevented losses during the Sep 2024 – Sep 2025 period when Nifty was below EMA200 for 13 months.</w:t>
      </w:r>
    </w:p>
    <w:p>
      <w:pPr>
        <w:pStyle w:val="ListBullet"/>
        <w:spacing w:before="20" w:after="60"/>
        <w:ind w:left="283"/>
      </w:pPr>
      <w:r>
        <w:rPr>
          <w:rFonts w:ascii="Calibri" w:hAnsi="Calibri"/>
          <w:b/>
          <w:i w:val="0"/>
          <w:color w:val="0D47A1"/>
          <w:sz w:val="21"/>
        </w:rPr>
        <w:t xml:space="preserve">Maximum Drawdown Gate: </w:t>
      </w:r>
      <w:r>
        <w:rPr>
          <w:rFonts w:ascii="Calibri" w:hAnsi="Calibri"/>
          <w:b w:val="0"/>
          <w:i w:val="0"/>
          <w:color w:val="37474F"/>
          <w:sz w:val="21"/>
        </w:rPr>
        <w:t>The backtest maximum drawdown is -15.3% — meaning at its worst, the system lost this much from its peak before recovering. The deployment gate requires this to stay above -20%. The system passes comfortably.</w:t>
      </w:r>
    </w:p>
    <w:p>
      <w:pPr>
        <w:pStyle w:val="ListBullet"/>
        <w:spacing w:before="20" w:after="60"/>
        <w:ind w:left="283"/>
      </w:pPr>
      <w:r>
        <w:rPr>
          <w:rFonts w:ascii="Calibri" w:hAnsi="Calibri"/>
          <w:b/>
          <w:i w:val="0"/>
          <w:color w:val="0D47A1"/>
          <w:sz w:val="21"/>
        </w:rPr>
        <w:t xml:space="preserve">Relative Strength Filter: </w:t>
      </w:r>
      <w:r>
        <w:rPr>
          <w:rFonts w:ascii="Calibri" w:hAnsi="Calibri"/>
          <w:b w:val="0"/>
          <w:i w:val="0"/>
          <w:color w:val="37474F"/>
          <w:sz w:val="21"/>
        </w:rPr>
        <w:t>Stocks are only traded if they are keeping pace with (or outperforming) the Nifty index. A stock that is already underperforming the market by more than 3% is blocked even if all other conditions are met.</w:t>
      </w:r>
    </w:p>
    <w:p/>
    <w:p>
      <w:pPr>
        <w:spacing w:before="280" w:after="40"/>
        <w:jc w:val="left"/>
      </w:pPr>
      <w:r>
        <w:rPr>
          <w:rFonts w:ascii="Calibri Light" w:hAnsi="Calibri Light"/>
          <w:b/>
          <w:i w:val="0"/>
          <w:color w:val="00697A"/>
          <w:sz w:val="28"/>
        </w:rPr>
        <w:t xml:space="preserve">6. </w:t>
      </w:r>
      <w:r>
        <w:rPr>
          <w:rFonts w:ascii="Calibri Light" w:hAnsi="Calibri Light"/>
          <w:b/>
          <w:i w:val="0"/>
          <w:color w:val="0D47A1"/>
          <w:sz w:val="28"/>
        </w:rPr>
        <w:t>DEPLOYMENT QUALIFICATION GATES</w:t>
      </w:r>
    </w:p>
    <w:p>
      <w:pPr>
        <w:spacing w:before="0" w:after="120"/>
        <w:jc w:val="left"/>
      </w:pPr>
      <w:r>
        <w:rPr>
          <w:rFonts w:ascii="Calibri" w:hAnsi="Calibri"/>
          <w:b w:val="0"/>
          <w:i/>
          <w:color w:val="78909C"/>
          <w:sz w:val="20"/>
        </w:rPr>
        <w:t>All 6 institutional-grade gates must pass before any live capital is deployed</w:t>
      </w:r>
    </w:p>
    <w:p>
      <w:pPr>
        <w:spacing w:before="0" w:after="100"/>
        <w:jc w:val="both"/>
      </w:pPr>
      <w:r>
        <w:rPr>
          <w:rFonts w:ascii="Calibri" w:hAnsi="Calibri"/>
          <w:b w:val="0"/>
          <w:i w:val="0"/>
          <w:color w:val="37474F"/>
          <w:sz w:val="21"/>
        </w:rPr>
        <w:t>Before any algorithm is deployed with real money, it must pass a set of pre-defined quantitative gates. These are industry-standard thresholds used by professional quant funds. All 6 gates are currently satisfied.</w:t>
      </w:r>
    </w:p>
    <w:tbl>
      <w:tblPr>
        <w:tblStyle w:val="TableGrid"/>
        <w:tblW w:type="auto" w:w="0"/>
        <w:jc w:val="center"/>
        <w:tblLook w:firstColumn="1" w:firstRow="1" w:lastColumn="0" w:lastRow="0" w:noHBand="0" w:noVBand="1" w:val="04A0"/>
      </w:tblPr>
      <w:tblGrid>
        <w:gridCol w:w="1984"/>
        <w:gridCol w:w="1134"/>
        <w:gridCol w:w="1134"/>
        <w:gridCol w:w="850"/>
        <w:gridCol w:w="3515"/>
      </w:tblGrid>
      <w:tr>
        <w:tc>
          <w:tcPr>
            <w:tcW w:type="dxa" w:w="1949"/>
            <w:shd w:val="clear" w:color="auto" w:fill="1B5E20"/>
          </w:tcPr>
          <w:p>
            <w:pPr>
              <w:jc w:val="center"/>
            </w:pPr>
            <w:r>
              <w:rPr>
                <w:rFonts w:ascii="Calibri" w:hAnsi="Calibri"/>
                <w:b/>
                <w:i w:val="0"/>
                <w:color w:val="FFFFFF"/>
                <w:sz w:val="18"/>
              </w:rPr>
              <w:t>Gate / Metric</w:t>
            </w:r>
          </w:p>
        </w:tc>
        <w:tc>
          <w:tcPr>
            <w:tcW w:type="dxa" w:w="1949"/>
            <w:shd w:val="clear" w:color="auto" w:fill="1B5E20"/>
          </w:tcPr>
          <w:p>
            <w:pPr>
              <w:jc w:val="center"/>
            </w:pPr>
            <w:r>
              <w:rPr>
                <w:rFonts w:ascii="Calibri" w:hAnsi="Calibri"/>
                <w:b/>
                <w:i w:val="0"/>
                <w:color w:val="FFFFFF"/>
                <w:sz w:val="18"/>
              </w:rPr>
              <w:t>Actual Value</w:t>
            </w:r>
          </w:p>
        </w:tc>
        <w:tc>
          <w:tcPr>
            <w:tcW w:type="dxa" w:w="1949"/>
            <w:shd w:val="clear" w:color="auto" w:fill="1B5E20"/>
          </w:tcPr>
          <w:p>
            <w:pPr>
              <w:jc w:val="center"/>
            </w:pPr>
            <w:r>
              <w:rPr>
                <w:rFonts w:ascii="Calibri" w:hAnsi="Calibri"/>
                <w:b/>
                <w:i w:val="0"/>
                <w:color w:val="FFFFFF"/>
                <w:sz w:val="18"/>
              </w:rPr>
              <w:t>Threshold</w:t>
            </w:r>
          </w:p>
        </w:tc>
        <w:tc>
          <w:tcPr>
            <w:tcW w:type="dxa" w:w="1949"/>
            <w:shd w:val="clear" w:color="auto" w:fill="1B5E20"/>
          </w:tcPr>
          <w:p>
            <w:pPr>
              <w:jc w:val="center"/>
            </w:pPr>
            <w:r>
              <w:rPr>
                <w:rFonts w:ascii="Calibri" w:hAnsi="Calibri"/>
                <w:b/>
                <w:i w:val="0"/>
                <w:color w:val="FFFFFF"/>
                <w:sz w:val="18"/>
              </w:rPr>
              <w:t>Status</w:t>
            </w:r>
          </w:p>
        </w:tc>
        <w:tc>
          <w:tcPr>
            <w:tcW w:type="dxa" w:w="1949"/>
            <w:shd w:val="clear" w:color="auto" w:fill="1B5E20"/>
          </w:tcPr>
          <w:p>
            <w:pPr>
              <w:jc w:val="center"/>
            </w:pPr>
            <w:r>
              <w:rPr>
                <w:rFonts w:ascii="Calibri" w:hAnsi="Calibri"/>
                <w:b/>
                <w:i w:val="0"/>
                <w:color w:val="FFFFFF"/>
                <w:sz w:val="18"/>
              </w:rPr>
              <w:t>Explanation</w:t>
            </w:r>
          </w:p>
        </w:tc>
      </w:tr>
      <w:tr>
        <w:tc>
          <w:tcPr>
            <w:tcW w:type="dxa" w:w="1984"/>
            <w:shd w:val="clear" w:color="auto" w:fill="F1F8E9"/>
            <w:vAlign w:val="center"/>
          </w:tcPr>
          <w:p>
            <w:r>
              <w:rPr>
                <w:rFonts w:ascii="Calibri" w:hAnsi="Calibri"/>
                <w:b/>
                <w:i w:val="0"/>
                <w:color w:val="37474F"/>
                <w:sz w:val="19"/>
              </w:rPr>
              <w:t>Profit Factor</w:t>
            </w:r>
          </w:p>
        </w:tc>
        <w:tc>
          <w:tcPr>
            <w:tcW w:type="dxa" w:w="1134"/>
            <w:shd w:val="clear" w:color="auto" w:fill="F1F8E9"/>
            <w:vAlign w:val="center"/>
          </w:tcPr>
          <w:p>
            <w:pPr>
              <w:jc w:val="center"/>
            </w:pPr>
            <w:r>
              <w:rPr>
                <w:rFonts w:ascii="Calibri" w:hAnsi="Calibri"/>
                <w:b/>
                <w:i w:val="0"/>
                <w:color w:val="1B5E20"/>
                <w:sz w:val="19"/>
              </w:rPr>
              <w:t>1.45</w:t>
            </w:r>
          </w:p>
        </w:tc>
        <w:tc>
          <w:tcPr>
            <w:tcW w:type="dxa" w:w="1134"/>
            <w:shd w:val="clear" w:color="auto" w:fill="F1F8E9"/>
            <w:vAlign w:val="center"/>
          </w:tcPr>
          <w:p>
            <w:pPr>
              <w:jc w:val="center"/>
            </w:pPr>
            <w:r>
              <w:rPr>
                <w:rFonts w:ascii="Calibri" w:hAnsi="Calibri"/>
                <w:b w:val="0"/>
                <w:i w:val="0"/>
                <w:color w:val="37474F"/>
                <w:sz w:val="19"/>
              </w:rPr>
              <w:t>≥ 1.30</w:t>
            </w:r>
          </w:p>
        </w:tc>
        <w:tc>
          <w:tcPr>
            <w:tcW w:type="dxa" w:w="850"/>
            <w:shd w:val="clear" w:color="auto" w:fill="F1F8E9"/>
            <w:vAlign w:val="center"/>
          </w:tcPr>
          <w:p>
            <w:pPr>
              <w:jc w:val="center"/>
            </w:pPr>
            <w:r>
              <w:rPr>
                <w:rFonts w:ascii="Calibri" w:hAnsi="Calibri"/>
                <w:b/>
                <w:i w:val="0"/>
                <w:color w:val="1B5E20"/>
                <w:sz w:val="19"/>
              </w:rPr>
              <w:t>✓ PASS</w:t>
            </w:r>
          </w:p>
        </w:tc>
        <w:tc>
          <w:tcPr>
            <w:tcW w:type="dxa" w:w="3515"/>
            <w:shd w:val="clear" w:color="auto" w:fill="F1F8E9"/>
            <w:vAlign w:val="center"/>
          </w:tcPr>
          <w:p>
            <w:r>
              <w:rPr>
                <w:rFonts w:ascii="Calibri" w:hAnsi="Calibri"/>
                <w:b w:val="0"/>
                <w:i/>
                <w:color w:val="37474F"/>
                <w:sz w:val="18"/>
              </w:rPr>
              <w:t>Ratio of gross profit to gross loss. A PF of 1.45 means for every ₹1,00,000 of losses, the system made ₹1,45,000 — a net gain of ₹45,000.</w:t>
            </w:r>
          </w:p>
        </w:tc>
      </w:tr>
      <w:tr>
        <w:tc>
          <w:tcPr>
            <w:tcW w:type="dxa" w:w="1984"/>
            <w:shd w:val="clear" w:color="auto" w:fill="FFFFFF"/>
            <w:vAlign w:val="center"/>
          </w:tcPr>
          <w:p>
            <w:r>
              <w:rPr>
                <w:rFonts w:ascii="Calibri" w:hAnsi="Calibri"/>
                <w:b/>
                <w:i w:val="0"/>
                <w:color w:val="37474F"/>
                <w:sz w:val="19"/>
              </w:rPr>
              <w:t>Win Rate</w:t>
            </w:r>
          </w:p>
        </w:tc>
        <w:tc>
          <w:tcPr>
            <w:tcW w:type="dxa" w:w="1134"/>
            <w:shd w:val="clear" w:color="auto" w:fill="FFFFFF"/>
            <w:vAlign w:val="center"/>
          </w:tcPr>
          <w:p>
            <w:pPr>
              <w:jc w:val="center"/>
            </w:pPr>
            <w:r>
              <w:rPr>
                <w:rFonts w:ascii="Calibri" w:hAnsi="Calibri"/>
                <w:b/>
                <w:i w:val="0"/>
                <w:color w:val="1B5E20"/>
                <w:sz w:val="19"/>
              </w:rPr>
              <w:t>56.5%</w:t>
            </w:r>
          </w:p>
        </w:tc>
        <w:tc>
          <w:tcPr>
            <w:tcW w:type="dxa" w:w="1134"/>
            <w:shd w:val="clear" w:color="auto" w:fill="FFFFFF"/>
            <w:vAlign w:val="center"/>
          </w:tcPr>
          <w:p>
            <w:pPr>
              <w:jc w:val="center"/>
            </w:pPr>
            <w:r>
              <w:rPr>
                <w:rFonts w:ascii="Calibri" w:hAnsi="Calibri"/>
                <w:b w:val="0"/>
                <w:i w:val="0"/>
                <w:color w:val="37474F"/>
                <w:sz w:val="19"/>
              </w:rPr>
              <w:t>≥ 40.0%</w:t>
            </w:r>
          </w:p>
        </w:tc>
        <w:tc>
          <w:tcPr>
            <w:tcW w:type="dxa" w:w="850"/>
            <w:shd w:val="clear" w:color="auto" w:fill="FFFFFF"/>
            <w:vAlign w:val="center"/>
          </w:tcPr>
          <w:p>
            <w:pPr>
              <w:jc w:val="center"/>
            </w:pPr>
            <w:r>
              <w:rPr>
                <w:rFonts w:ascii="Calibri" w:hAnsi="Calibri"/>
                <w:b/>
                <w:i w:val="0"/>
                <w:color w:val="1B5E20"/>
                <w:sz w:val="19"/>
              </w:rPr>
              <w:t>✓ PASS</w:t>
            </w:r>
          </w:p>
        </w:tc>
        <w:tc>
          <w:tcPr>
            <w:tcW w:type="dxa" w:w="3515"/>
            <w:shd w:val="clear" w:color="auto" w:fill="FFFFFF"/>
            <w:vAlign w:val="center"/>
          </w:tcPr>
          <w:p>
            <w:r>
              <w:rPr>
                <w:rFonts w:ascii="Calibri" w:hAnsi="Calibri"/>
                <w:b w:val="0"/>
                <w:i/>
                <w:color w:val="37474F"/>
                <w:sz w:val="18"/>
              </w:rPr>
              <w:t>Percentage of trades that are profitable. At 56.5%, more than half of all trades end profitably, which is excellent for a trend-following strategy.</w:t>
            </w:r>
          </w:p>
        </w:tc>
      </w:tr>
      <w:tr>
        <w:tc>
          <w:tcPr>
            <w:tcW w:type="dxa" w:w="1984"/>
            <w:shd w:val="clear" w:color="auto" w:fill="F1F8E9"/>
            <w:vAlign w:val="center"/>
          </w:tcPr>
          <w:p>
            <w:r>
              <w:rPr>
                <w:rFonts w:ascii="Calibri" w:hAnsi="Calibri"/>
                <w:b/>
                <w:i w:val="0"/>
                <w:color w:val="37474F"/>
                <w:sz w:val="19"/>
              </w:rPr>
              <w:t>Sharpe Ratio (Annual)</w:t>
            </w:r>
          </w:p>
        </w:tc>
        <w:tc>
          <w:tcPr>
            <w:tcW w:type="dxa" w:w="1134"/>
            <w:shd w:val="clear" w:color="auto" w:fill="F1F8E9"/>
            <w:vAlign w:val="center"/>
          </w:tcPr>
          <w:p>
            <w:pPr>
              <w:jc w:val="center"/>
            </w:pPr>
            <w:r>
              <w:rPr>
                <w:rFonts w:ascii="Calibri" w:hAnsi="Calibri"/>
                <w:b/>
                <w:i w:val="0"/>
                <w:color w:val="1B5E20"/>
                <w:sz w:val="19"/>
              </w:rPr>
              <w:t>2.96</w:t>
            </w:r>
          </w:p>
        </w:tc>
        <w:tc>
          <w:tcPr>
            <w:tcW w:type="dxa" w:w="1134"/>
            <w:shd w:val="clear" w:color="auto" w:fill="F1F8E9"/>
            <w:vAlign w:val="center"/>
          </w:tcPr>
          <w:p>
            <w:pPr>
              <w:jc w:val="center"/>
            </w:pPr>
            <w:r>
              <w:rPr>
                <w:rFonts w:ascii="Calibri" w:hAnsi="Calibri"/>
                <w:b w:val="0"/>
                <w:i w:val="0"/>
                <w:color w:val="37474F"/>
                <w:sz w:val="19"/>
              </w:rPr>
              <w:t>≥ 1.00</w:t>
            </w:r>
          </w:p>
        </w:tc>
        <w:tc>
          <w:tcPr>
            <w:tcW w:type="dxa" w:w="850"/>
            <w:shd w:val="clear" w:color="auto" w:fill="F1F8E9"/>
            <w:vAlign w:val="center"/>
          </w:tcPr>
          <w:p>
            <w:pPr>
              <w:jc w:val="center"/>
            </w:pPr>
            <w:r>
              <w:rPr>
                <w:rFonts w:ascii="Calibri" w:hAnsi="Calibri"/>
                <w:b/>
                <w:i w:val="0"/>
                <w:color w:val="1B5E20"/>
                <w:sz w:val="19"/>
              </w:rPr>
              <w:t>✓ PASS</w:t>
            </w:r>
          </w:p>
        </w:tc>
        <w:tc>
          <w:tcPr>
            <w:tcW w:type="dxa" w:w="3515"/>
            <w:shd w:val="clear" w:color="auto" w:fill="F1F8E9"/>
            <w:vAlign w:val="center"/>
          </w:tcPr>
          <w:p>
            <w:r>
              <w:rPr>
                <w:rFonts w:ascii="Calibri" w:hAnsi="Calibri"/>
                <w:b w:val="0"/>
                <w:i/>
                <w:color w:val="37474F"/>
                <w:sz w:val="18"/>
              </w:rPr>
              <w:t>Measures return per unit of risk taken. A Sharpe of 2.96 is world-class — most hedge funds target 1.5–2.0. This means the returns are not coming from taking excessive risk.</w:t>
            </w:r>
          </w:p>
        </w:tc>
      </w:tr>
      <w:tr>
        <w:tc>
          <w:tcPr>
            <w:tcW w:type="dxa" w:w="1984"/>
            <w:shd w:val="clear" w:color="auto" w:fill="FFFFFF"/>
            <w:vAlign w:val="center"/>
          </w:tcPr>
          <w:p>
            <w:r>
              <w:rPr>
                <w:rFonts w:ascii="Calibri" w:hAnsi="Calibri"/>
                <w:b/>
                <w:i w:val="0"/>
                <w:color w:val="37474F"/>
                <w:sz w:val="19"/>
              </w:rPr>
              <w:t>Maximum Drawdown</w:t>
            </w:r>
          </w:p>
        </w:tc>
        <w:tc>
          <w:tcPr>
            <w:tcW w:type="dxa" w:w="1134"/>
            <w:shd w:val="clear" w:color="auto" w:fill="FFFFFF"/>
            <w:vAlign w:val="center"/>
          </w:tcPr>
          <w:p>
            <w:pPr>
              <w:jc w:val="center"/>
            </w:pPr>
            <w:r>
              <w:rPr>
                <w:rFonts w:ascii="Calibri" w:hAnsi="Calibri"/>
                <w:b/>
                <w:i w:val="0"/>
                <w:color w:val="1B5E20"/>
                <w:sz w:val="19"/>
              </w:rPr>
              <w:t>-15.3%</w:t>
            </w:r>
          </w:p>
        </w:tc>
        <w:tc>
          <w:tcPr>
            <w:tcW w:type="dxa" w:w="1134"/>
            <w:shd w:val="clear" w:color="auto" w:fill="FFFFFF"/>
            <w:vAlign w:val="center"/>
          </w:tcPr>
          <w:p>
            <w:pPr>
              <w:jc w:val="center"/>
            </w:pPr>
            <w:r>
              <w:rPr>
                <w:rFonts w:ascii="Calibri" w:hAnsi="Calibri"/>
                <w:b w:val="0"/>
                <w:i w:val="0"/>
                <w:color w:val="37474F"/>
                <w:sz w:val="19"/>
              </w:rPr>
              <w:t>≥ −20%</w:t>
            </w:r>
          </w:p>
        </w:tc>
        <w:tc>
          <w:tcPr>
            <w:tcW w:type="dxa" w:w="850"/>
            <w:shd w:val="clear" w:color="auto" w:fill="FFFFFF"/>
            <w:vAlign w:val="center"/>
          </w:tcPr>
          <w:p>
            <w:pPr>
              <w:jc w:val="center"/>
            </w:pPr>
            <w:r>
              <w:rPr>
                <w:rFonts w:ascii="Calibri" w:hAnsi="Calibri"/>
                <w:b/>
                <w:i w:val="0"/>
                <w:color w:val="1B5E20"/>
                <w:sz w:val="19"/>
              </w:rPr>
              <w:t>✓ PASS</w:t>
            </w:r>
          </w:p>
        </w:tc>
        <w:tc>
          <w:tcPr>
            <w:tcW w:type="dxa" w:w="3515"/>
            <w:shd w:val="clear" w:color="auto" w:fill="FFFFFF"/>
            <w:vAlign w:val="center"/>
          </w:tcPr>
          <w:p>
            <w:r>
              <w:rPr>
                <w:rFonts w:ascii="Calibri" w:hAnsi="Calibri"/>
                <w:b w:val="0"/>
                <w:i/>
                <w:color w:val="37474F"/>
                <w:sz w:val="18"/>
              </w:rPr>
              <w:t>The worst peak-to-trough loss experienced. At -15.3%, the system stayed within the acceptable drawdown envelope throughout the 4.5-year test period.</w:t>
            </w:r>
          </w:p>
        </w:tc>
      </w:tr>
      <w:tr>
        <w:tc>
          <w:tcPr>
            <w:tcW w:type="dxa" w:w="1984"/>
            <w:shd w:val="clear" w:color="auto" w:fill="F1F8E9"/>
            <w:vAlign w:val="center"/>
          </w:tcPr>
          <w:p>
            <w:r>
              <w:rPr>
                <w:rFonts w:ascii="Calibri" w:hAnsi="Calibri"/>
                <w:b/>
                <w:i w:val="0"/>
                <w:color w:val="37474F"/>
                <w:sz w:val="19"/>
              </w:rPr>
              <w:t>2022 Crash Year</w:t>
            </w:r>
          </w:p>
        </w:tc>
        <w:tc>
          <w:tcPr>
            <w:tcW w:type="dxa" w:w="1134"/>
            <w:shd w:val="clear" w:color="auto" w:fill="F1F8E9"/>
            <w:vAlign w:val="center"/>
          </w:tcPr>
          <w:p>
            <w:pPr>
              <w:jc w:val="center"/>
            </w:pPr>
            <w:r>
              <w:rPr>
                <w:rFonts w:ascii="Calibri" w:hAnsi="Calibri"/>
                <w:b/>
                <w:i w:val="0"/>
                <w:color w:val="1B5E20"/>
                <w:sz w:val="19"/>
              </w:rPr>
              <w:t>+₹2.94L (live)</w:t>
            </w:r>
          </w:p>
        </w:tc>
        <w:tc>
          <w:tcPr>
            <w:tcW w:type="dxa" w:w="1134"/>
            <w:shd w:val="clear" w:color="auto" w:fill="F1F8E9"/>
            <w:vAlign w:val="center"/>
          </w:tcPr>
          <w:p>
            <w:pPr>
              <w:jc w:val="center"/>
            </w:pPr>
            <w:r>
              <w:rPr>
                <w:rFonts w:ascii="Calibri" w:hAnsi="Calibri"/>
                <w:b w:val="0"/>
                <w:i w:val="0"/>
                <w:color w:val="37474F"/>
                <w:sz w:val="19"/>
              </w:rPr>
              <w:t>Positive</w:t>
            </w:r>
          </w:p>
        </w:tc>
        <w:tc>
          <w:tcPr>
            <w:tcW w:type="dxa" w:w="850"/>
            <w:shd w:val="clear" w:color="auto" w:fill="F1F8E9"/>
            <w:vAlign w:val="center"/>
          </w:tcPr>
          <w:p>
            <w:pPr>
              <w:jc w:val="center"/>
            </w:pPr>
            <w:r>
              <w:rPr>
                <w:rFonts w:ascii="Calibri" w:hAnsi="Calibri"/>
                <w:b/>
                <w:i w:val="0"/>
                <w:color w:val="1B5E20"/>
                <w:sz w:val="19"/>
              </w:rPr>
              <w:t>✓ PASS</w:t>
            </w:r>
          </w:p>
        </w:tc>
        <w:tc>
          <w:tcPr>
            <w:tcW w:type="dxa" w:w="3515"/>
            <w:shd w:val="clear" w:color="auto" w:fill="F1F8E9"/>
            <w:vAlign w:val="center"/>
          </w:tcPr>
          <w:p>
            <w:r>
              <w:rPr>
                <w:rFonts w:ascii="Calibri" w:hAnsi="Calibri"/>
                <w:b w:val="0"/>
                <w:i/>
                <w:color w:val="37474F"/>
                <w:sz w:val="18"/>
              </w:rPr>
              <w:t>A separate gate specifically for the 2022 global crash year (rate hikes + Ukraine war). The system remained profitable when most retail traders were in heavy loss.</w:t>
            </w:r>
          </w:p>
        </w:tc>
      </w:tr>
      <w:tr>
        <w:tc>
          <w:tcPr>
            <w:tcW w:type="dxa" w:w="1984"/>
            <w:shd w:val="clear" w:color="auto" w:fill="FFFFFF"/>
            <w:vAlign w:val="center"/>
          </w:tcPr>
          <w:p>
            <w:r>
              <w:rPr>
                <w:rFonts w:ascii="Calibri" w:hAnsi="Calibri"/>
                <w:b/>
                <w:i w:val="0"/>
                <w:color w:val="37474F"/>
                <w:sz w:val="19"/>
              </w:rPr>
              <w:t>CAGR on ₹20L Wallet</w:t>
            </w:r>
          </w:p>
        </w:tc>
        <w:tc>
          <w:tcPr>
            <w:tcW w:type="dxa" w:w="1134"/>
            <w:shd w:val="clear" w:color="auto" w:fill="FFFFFF"/>
            <w:vAlign w:val="center"/>
          </w:tcPr>
          <w:p>
            <w:pPr>
              <w:jc w:val="center"/>
            </w:pPr>
            <w:r>
              <w:rPr>
                <w:rFonts w:ascii="Calibri" w:hAnsi="Calibri"/>
                <w:b/>
                <w:i w:val="0"/>
                <w:color w:val="1B5E20"/>
                <w:sz w:val="19"/>
              </w:rPr>
              <w:t>16.9% p.a.</w:t>
            </w:r>
          </w:p>
        </w:tc>
        <w:tc>
          <w:tcPr>
            <w:tcW w:type="dxa" w:w="1134"/>
            <w:shd w:val="clear" w:color="auto" w:fill="FFFFFF"/>
            <w:vAlign w:val="center"/>
          </w:tcPr>
          <w:p>
            <w:pPr>
              <w:jc w:val="center"/>
            </w:pPr>
            <w:r>
              <w:rPr>
                <w:rFonts w:ascii="Calibri" w:hAnsi="Calibri"/>
                <w:b w:val="0"/>
                <w:i w:val="0"/>
                <w:color w:val="37474F"/>
                <w:sz w:val="19"/>
              </w:rPr>
              <w:t>≥ 7% (FD rate)</w:t>
            </w:r>
          </w:p>
        </w:tc>
        <w:tc>
          <w:tcPr>
            <w:tcW w:type="dxa" w:w="850"/>
            <w:shd w:val="clear" w:color="auto" w:fill="FFFFFF"/>
            <w:vAlign w:val="center"/>
          </w:tcPr>
          <w:p>
            <w:pPr>
              <w:jc w:val="center"/>
            </w:pPr>
            <w:r>
              <w:rPr>
                <w:rFonts w:ascii="Calibri" w:hAnsi="Calibri"/>
                <w:b/>
                <w:i w:val="0"/>
                <w:color w:val="1B5E20"/>
                <w:sz w:val="19"/>
              </w:rPr>
              <w:t>✓ PASS</w:t>
            </w:r>
          </w:p>
        </w:tc>
        <w:tc>
          <w:tcPr>
            <w:tcW w:type="dxa" w:w="3515"/>
            <w:shd w:val="clear" w:color="auto" w:fill="FFFFFF"/>
            <w:vAlign w:val="center"/>
          </w:tcPr>
          <w:p>
            <w:r>
              <w:rPr>
                <w:rFonts w:ascii="Calibri" w:hAnsi="Calibri"/>
                <w:b w:val="0"/>
                <w:i/>
                <w:color w:val="37474F"/>
                <w:sz w:val="18"/>
              </w:rPr>
              <w:t>The Compound Annual Growth Rate of the live wallet estimate. At 16.9% CAGR, the strategy delivers more than 2× the best fixed-deposit rate available in India.</w:t>
            </w:r>
          </w:p>
        </w:tc>
      </w:tr>
    </w:tbl>
    <w:p>
      <w:r>
        <w:br w:type="page"/>
      </w:r>
    </w:p>
    <w:p>
      <w:pPr>
        <w:spacing w:before="280" w:after="40"/>
        <w:jc w:val="left"/>
      </w:pPr>
      <w:r>
        <w:rPr>
          <w:rFonts w:ascii="Calibri Light" w:hAnsi="Calibri Light"/>
          <w:b/>
          <w:i w:val="0"/>
          <w:color w:val="00697A"/>
          <w:sz w:val="28"/>
        </w:rPr>
        <w:t xml:space="preserve">7. </w:t>
      </w:r>
      <w:r>
        <w:rPr>
          <w:rFonts w:ascii="Calibri Light" w:hAnsi="Calibri Light"/>
          <w:b/>
          <w:i w:val="0"/>
          <w:color w:val="0D47A1"/>
          <w:sz w:val="28"/>
        </w:rPr>
        <w:t>TRADE EXIT ANALYSIS</w:t>
      </w:r>
    </w:p>
    <w:p>
      <w:pPr>
        <w:spacing w:before="0" w:after="120"/>
        <w:jc w:val="left"/>
      </w:pPr>
      <w:r>
        <w:rPr>
          <w:rFonts w:ascii="Calibri" w:hAnsi="Calibri"/>
          <w:b w:val="0"/>
          <w:i/>
          <w:color w:val="78909C"/>
          <w:sz w:val="20"/>
        </w:rPr>
        <w:t>Understanding how and why trades close — a quality signal for strategy health</w:t>
      </w:r>
    </w:p>
    <w:p>
      <w:pPr>
        <w:spacing w:before="0" w:after="100"/>
        <w:jc w:val="both"/>
      </w:pPr>
      <w:r>
        <w:rPr>
          <w:rFonts w:ascii="Calibri" w:hAnsi="Calibri"/>
          <w:b w:val="0"/>
          <w:i w:val="0"/>
          <w:color w:val="37474F"/>
          <w:sz w:val="21"/>
        </w:rPr>
        <w:t>Every trade closes in one of three ways: Stop Loss hit (S), Target hit (T), or Time Exit (TM). The mix of these exit types reveals how the market is behaving and whether the strategy is working as designed.</w:t>
      </w:r>
    </w:p>
    <w:tbl>
      <w:tblPr>
        <w:tblStyle w:val="TableGrid"/>
        <w:tblW w:type="auto" w:w="0"/>
        <w:jc w:val="center"/>
        <w:tblLook w:firstColumn="1" w:firstRow="1" w:lastColumn="0" w:lastRow="0" w:noHBand="0" w:noVBand="1" w:val="04A0"/>
      </w:tblPr>
      <w:tblGrid>
        <w:gridCol w:w="737"/>
        <w:gridCol w:w="1247"/>
        <w:gridCol w:w="1247"/>
        <w:gridCol w:w="1417"/>
        <w:gridCol w:w="1247"/>
        <w:gridCol w:w="2835"/>
      </w:tblGrid>
      <w:tr>
        <w:tc>
          <w:tcPr>
            <w:tcW w:type="dxa" w:w="1624"/>
            <w:shd w:val="clear" w:color="auto" w:fill="4A148C"/>
          </w:tcPr>
          <w:p>
            <w:pPr>
              <w:jc w:val="center"/>
            </w:pPr>
            <w:r>
              <w:rPr>
                <w:rFonts w:ascii="Calibri" w:hAnsi="Calibri"/>
                <w:b/>
                <w:i w:val="0"/>
                <w:color w:val="FFFFFF"/>
                <w:sz w:val="18"/>
              </w:rPr>
              <w:t>Year</w:t>
            </w:r>
          </w:p>
        </w:tc>
        <w:tc>
          <w:tcPr>
            <w:tcW w:type="dxa" w:w="1624"/>
            <w:shd w:val="clear" w:color="auto" w:fill="4A148C"/>
          </w:tcPr>
          <w:p>
            <w:pPr>
              <w:jc w:val="center"/>
            </w:pPr>
            <w:r>
              <w:rPr>
                <w:rFonts w:ascii="Calibri" w:hAnsi="Calibri"/>
                <w:b/>
                <w:i w:val="0"/>
                <w:color w:val="FFFFFF"/>
                <w:sz w:val="18"/>
              </w:rPr>
              <w:t>Stop Hit (S)</w:t>
            </w:r>
          </w:p>
        </w:tc>
        <w:tc>
          <w:tcPr>
            <w:tcW w:type="dxa" w:w="1624"/>
            <w:shd w:val="clear" w:color="auto" w:fill="4A148C"/>
          </w:tcPr>
          <w:p>
            <w:pPr>
              <w:jc w:val="center"/>
            </w:pPr>
            <w:r>
              <w:rPr>
                <w:rFonts w:ascii="Calibri" w:hAnsi="Calibri"/>
                <w:b/>
                <w:i w:val="0"/>
                <w:color w:val="FFFFFF"/>
                <w:sz w:val="18"/>
              </w:rPr>
              <w:t>Target Hit (T)</w:t>
            </w:r>
          </w:p>
        </w:tc>
        <w:tc>
          <w:tcPr>
            <w:tcW w:type="dxa" w:w="1624"/>
            <w:shd w:val="clear" w:color="auto" w:fill="4A148C"/>
          </w:tcPr>
          <w:p>
            <w:pPr>
              <w:jc w:val="center"/>
            </w:pPr>
            <w:r>
              <w:rPr>
                <w:rFonts w:ascii="Calibri" w:hAnsi="Calibri"/>
                <w:b/>
                <w:i w:val="0"/>
                <w:color w:val="FFFFFF"/>
                <w:sz w:val="18"/>
              </w:rPr>
              <w:t>Time Exit (TM)</w:t>
            </w:r>
          </w:p>
        </w:tc>
        <w:tc>
          <w:tcPr>
            <w:tcW w:type="dxa" w:w="1624"/>
            <w:shd w:val="clear" w:color="auto" w:fill="4A148C"/>
          </w:tcPr>
          <w:p>
            <w:pPr>
              <w:jc w:val="center"/>
            </w:pPr>
            <w:r>
              <w:rPr>
                <w:rFonts w:ascii="Calibri" w:hAnsi="Calibri"/>
                <w:b/>
                <w:i w:val="0"/>
                <w:color w:val="FFFFFF"/>
                <w:sz w:val="18"/>
              </w:rPr>
              <w:t>Target Hit Rate</w:t>
            </w:r>
          </w:p>
        </w:tc>
        <w:tc>
          <w:tcPr>
            <w:tcW w:type="dxa" w:w="1624"/>
            <w:shd w:val="clear" w:color="auto" w:fill="4A148C"/>
          </w:tcPr>
          <w:p>
            <w:pPr>
              <w:jc w:val="center"/>
            </w:pPr>
            <w:r>
              <w:rPr>
                <w:rFonts w:ascii="Calibri" w:hAnsi="Calibri"/>
                <w:b/>
                <w:i w:val="0"/>
                <w:color w:val="FFFFFF"/>
                <w:sz w:val="18"/>
              </w:rPr>
              <w:t>Commentary</w:t>
            </w:r>
          </w:p>
        </w:tc>
      </w:tr>
      <w:tr>
        <w:tc>
          <w:tcPr>
            <w:tcW w:type="dxa" w:w="737"/>
            <w:shd w:val="clear" w:color="auto" w:fill="F3E5F5"/>
            <w:vAlign w:val="center"/>
          </w:tcPr>
          <w:p>
            <w:pPr>
              <w:jc w:val="center"/>
            </w:pPr>
            <w:r>
              <w:rPr>
                <w:rFonts w:ascii="Calibri" w:hAnsi="Calibri"/>
                <w:b/>
                <w:i w:val="0"/>
                <w:color w:val="37474F"/>
                <w:sz w:val="18"/>
              </w:rPr>
              <w:t>2022</w:t>
            </w:r>
          </w:p>
        </w:tc>
        <w:tc>
          <w:tcPr>
            <w:tcW w:type="dxa" w:w="1247"/>
            <w:shd w:val="clear" w:color="auto" w:fill="F3E5F5"/>
            <w:vAlign w:val="center"/>
          </w:tcPr>
          <w:p>
            <w:pPr>
              <w:jc w:val="center"/>
            </w:pPr>
            <w:r>
              <w:rPr>
                <w:rFonts w:ascii="Calibri" w:hAnsi="Calibri"/>
                <w:b w:val="0"/>
                <w:i w:val="0"/>
                <w:color w:val="37474F"/>
                <w:sz w:val="18"/>
              </w:rPr>
              <w:t>43</w:t>
            </w:r>
          </w:p>
        </w:tc>
        <w:tc>
          <w:tcPr>
            <w:tcW w:type="dxa" w:w="1247"/>
            <w:shd w:val="clear" w:color="auto" w:fill="F3E5F5"/>
            <w:vAlign w:val="center"/>
          </w:tcPr>
          <w:p>
            <w:pPr>
              <w:jc w:val="center"/>
            </w:pPr>
            <w:r>
              <w:rPr>
                <w:rFonts w:ascii="Calibri" w:hAnsi="Calibri"/>
                <w:b w:val="0"/>
                <w:i w:val="0"/>
                <w:color w:val="37474F"/>
                <w:sz w:val="18"/>
              </w:rPr>
              <w:t>14</w:t>
            </w:r>
          </w:p>
        </w:tc>
        <w:tc>
          <w:tcPr>
            <w:tcW w:type="dxa" w:w="1417"/>
            <w:shd w:val="clear" w:color="auto" w:fill="F3E5F5"/>
            <w:vAlign w:val="center"/>
          </w:tcPr>
          <w:p>
            <w:pPr>
              <w:jc w:val="center"/>
            </w:pPr>
            <w:r>
              <w:rPr>
                <w:rFonts w:ascii="Calibri" w:hAnsi="Calibri"/>
                <w:b w:val="0"/>
                <w:i w:val="0"/>
                <w:color w:val="37474F"/>
                <w:sz w:val="18"/>
              </w:rPr>
              <w:t>67</w:t>
            </w:r>
          </w:p>
        </w:tc>
        <w:tc>
          <w:tcPr>
            <w:tcW w:type="dxa" w:w="1247"/>
            <w:shd w:val="clear" w:color="auto" w:fill="F3E5F5"/>
            <w:vAlign w:val="center"/>
          </w:tcPr>
          <w:p>
            <w:pPr>
              <w:jc w:val="center"/>
            </w:pPr>
            <w:r>
              <w:rPr>
                <w:rFonts w:ascii="Calibri" w:hAnsi="Calibri"/>
                <w:b w:val="0"/>
                <w:i w:val="0"/>
                <w:color w:val="37474F"/>
                <w:sz w:val="18"/>
              </w:rPr>
              <w:t>11.3%</w:t>
            </w:r>
          </w:p>
        </w:tc>
        <w:tc>
          <w:tcPr>
            <w:tcW w:type="dxa" w:w="2835"/>
            <w:shd w:val="clear" w:color="auto" w:fill="F3E5F5"/>
            <w:vAlign w:val="center"/>
          </w:tcPr>
          <w:p>
            <w:pPr>
              <w:jc w:val="left"/>
            </w:pPr>
            <w:r>
              <w:rPr>
                <w:rFonts w:ascii="Calibri" w:hAnsi="Calibri"/>
                <w:b w:val="0"/>
                <w:i w:val="0"/>
                <w:color w:val="37474F"/>
                <w:sz w:val="18"/>
              </w:rPr>
              <w:t>Good target-hit rate for a volatile year; time exits show disciplined capital recycling</w:t>
            </w:r>
          </w:p>
        </w:tc>
      </w:tr>
      <w:tr>
        <w:tc>
          <w:tcPr>
            <w:tcW w:type="dxa" w:w="737"/>
            <w:shd w:val="clear" w:color="auto" w:fill="FFFFFF"/>
            <w:vAlign w:val="center"/>
          </w:tcPr>
          <w:p>
            <w:pPr>
              <w:jc w:val="center"/>
            </w:pPr>
            <w:r>
              <w:rPr>
                <w:rFonts w:ascii="Calibri" w:hAnsi="Calibri"/>
                <w:b/>
                <w:i w:val="0"/>
                <w:color w:val="37474F"/>
                <w:sz w:val="18"/>
              </w:rPr>
              <w:t>2023</w:t>
            </w:r>
          </w:p>
        </w:tc>
        <w:tc>
          <w:tcPr>
            <w:tcW w:type="dxa" w:w="1247"/>
            <w:shd w:val="clear" w:color="auto" w:fill="FFFFFF"/>
            <w:vAlign w:val="center"/>
          </w:tcPr>
          <w:p>
            <w:pPr>
              <w:jc w:val="center"/>
            </w:pPr>
            <w:r>
              <w:rPr>
                <w:rFonts w:ascii="Calibri" w:hAnsi="Calibri"/>
                <w:b w:val="0"/>
                <w:i w:val="0"/>
                <w:color w:val="37474F"/>
                <w:sz w:val="18"/>
              </w:rPr>
              <w:t>94</w:t>
            </w:r>
          </w:p>
        </w:tc>
        <w:tc>
          <w:tcPr>
            <w:tcW w:type="dxa" w:w="1247"/>
            <w:shd w:val="clear" w:color="auto" w:fill="FFFFFF"/>
            <w:vAlign w:val="center"/>
          </w:tcPr>
          <w:p>
            <w:pPr>
              <w:jc w:val="center"/>
            </w:pPr>
            <w:r>
              <w:rPr>
                <w:rFonts w:ascii="Calibri" w:hAnsi="Calibri"/>
                <w:b w:val="0"/>
                <w:i w:val="0"/>
                <w:color w:val="37474F"/>
                <w:sz w:val="18"/>
              </w:rPr>
              <w:t>49</w:t>
            </w:r>
          </w:p>
        </w:tc>
        <w:tc>
          <w:tcPr>
            <w:tcW w:type="dxa" w:w="1417"/>
            <w:shd w:val="clear" w:color="auto" w:fill="FFFFFF"/>
            <w:vAlign w:val="center"/>
          </w:tcPr>
          <w:p>
            <w:pPr>
              <w:jc w:val="center"/>
            </w:pPr>
            <w:r>
              <w:rPr>
                <w:rFonts w:ascii="Calibri" w:hAnsi="Calibri"/>
                <w:b w:val="0"/>
                <w:i w:val="0"/>
                <w:color w:val="37474F"/>
                <w:sz w:val="18"/>
              </w:rPr>
              <w:t>155</w:t>
            </w:r>
          </w:p>
        </w:tc>
        <w:tc>
          <w:tcPr>
            <w:tcW w:type="dxa" w:w="1247"/>
            <w:shd w:val="clear" w:color="auto" w:fill="FFFFFF"/>
            <w:vAlign w:val="center"/>
          </w:tcPr>
          <w:p>
            <w:pPr>
              <w:jc w:val="center"/>
            </w:pPr>
            <w:r>
              <w:rPr>
                <w:rFonts w:ascii="Calibri" w:hAnsi="Calibri"/>
                <w:b w:val="0"/>
                <w:i w:val="0"/>
                <w:color w:val="37474F"/>
                <w:sz w:val="18"/>
              </w:rPr>
              <w:t>16.4%</w:t>
            </w:r>
          </w:p>
        </w:tc>
        <w:tc>
          <w:tcPr>
            <w:tcW w:type="dxa" w:w="2835"/>
            <w:shd w:val="clear" w:color="auto" w:fill="FFFFFF"/>
            <w:vAlign w:val="center"/>
          </w:tcPr>
          <w:p>
            <w:pPr>
              <w:jc w:val="left"/>
            </w:pPr>
            <w:r>
              <w:rPr>
                <w:rFonts w:ascii="Calibri" w:hAnsi="Calibri"/>
                <w:b w:val="0"/>
                <w:i w:val="0"/>
                <w:color w:val="37474F"/>
                <w:sz w:val="18"/>
              </w:rPr>
              <w:t>Best year — highest target-hit rate (49 targets = 16.4%); strong trend follow-through</w:t>
            </w:r>
          </w:p>
        </w:tc>
      </w:tr>
      <w:tr>
        <w:tc>
          <w:tcPr>
            <w:tcW w:type="dxa" w:w="737"/>
            <w:shd w:val="clear" w:color="auto" w:fill="F3E5F5"/>
            <w:vAlign w:val="center"/>
          </w:tcPr>
          <w:p>
            <w:pPr>
              <w:jc w:val="center"/>
            </w:pPr>
            <w:r>
              <w:rPr>
                <w:rFonts w:ascii="Calibri" w:hAnsi="Calibri"/>
                <w:b/>
                <w:i w:val="0"/>
                <w:color w:val="37474F"/>
                <w:sz w:val="18"/>
              </w:rPr>
              <w:t>2024</w:t>
            </w:r>
          </w:p>
        </w:tc>
        <w:tc>
          <w:tcPr>
            <w:tcW w:type="dxa" w:w="1247"/>
            <w:shd w:val="clear" w:color="auto" w:fill="F3E5F5"/>
            <w:vAlign w:val="center"/>
          </w:tcPr>
          <w:p>
            <w:pPr>
              <w:jc w:val="center"/>
            </w:pPr>
            <w:r>
              <w:rPr>
                <w:rFonts w:ascii="Calibri" w:hAnsi="Calibri"/>
                <w:b w:val="0"/>
                <w:i w:val="0"/>
                <w:color w:val="37474F"/>
                <w:sz w:val="18"/>
              </w:rPr>
              <w:t>115</w:t>
            </w:r>
          </w:p>
        </w:tc>
        <w:tc>
          <w:tcPr>
            <w:tcW w:type="dxa" w:w="1247"/>
            <w:shd w:val="clear" w:color="auto" w:fill="F3E5F5"/>
            <w:vAlign w:val="center"/>
          </w:tcPr>
          <w:p>
            <w:pPr>
              <w:jc w:val="center"/>
            </w:pPr>
            <w:r>
              <w:rPr>
                <w:rFonts w:ascii="Calibri" w:hAnsi="Calibri"/>
                <w:b w:val="0"/>
                <w:i w:val="0"/>
                <w:color w:val="37474F"/>
                <w:sz w:val="18"/>
              </w:rPr>
              <w:t>36</w:t>
            </w:r>
          </w:p>
        </w:tc>
        <w:tc>
          <w:tcPr>
            <w:tcW w:type="dxa" w:w="1417"/>
            <w:shd w:val="clear" w:color="auto" w:fill="F3E5F5"/>
            <w:vAlign w:val="center"/>
          </w:tcPr>
          <w:p>
            <w:pPr>
              <w:jc w:val="center"/>
            </w:pPr>
            <w:r>
              <w:rPr>
                <w:rFonts w:ascii="Calibri" w:hAnsi="Calibri"/>
                <w:b w:val="0"/>
                <w:i w:val="0"/>
                <w:color w:val="37474F"/>
                <w:sz w:val="18"/>
              </w:rPr>
              <w:t>161</w:t>
            </w:r>
          </w:p>
        </w:tc>
        <w:tc>
          <w:tcPr>
            <w:tcW w:type="dxa" w:w="1247"/>
            <w:shd w:val="clear" w:color="auto" w:fill="F3E5F5"/>
            <w:vAlign w:val="center"/>
          </w:tcPr>
          <w:p>
            <w:pPr>
              <w:jc w:val="center"/>
            </w:pPr>
            <w:r>
              <w:rPr>
                <w:rFonts w:ascii="Calibri" w:hAnsi="Calibri"/>
                <w:b w:val="0"/>
                <w:i w:val="0"/>
                <w:color w:val="37474F"/>
                <w:sz w:val="18"/>
              </w:rPr>
              <w:t>11.5%</w:t>
            </w:r>
          </w:p>
        </w:tc>
        <w:tc>
          <w:tcPr>
            <w:tcW w:type="dxa" w:w="2835"/>
            <w:shd w:val="clear" w:color="auto" w:fill="F3E5F5"/>
            <w:vAlign w:val="center"/>
          </w:tcPr>
          <w:p>
            <w:pPr>
              <w:jc w:val="left"/>
            </w:pPr>
            <w:r>
              <w:rPr>
                <w:rFonts w:ascii="Calibri" w:hAnsi="Calibri"/>
                <w:b w:val="0"/>
                <w:i w:val="0"/>
                <w:color w:val="37474F"/>
                <w:sz w:val="18"/>
              </w:rPr>
              <w:t>More time exits as market became choppier in H2 2024; still positive overall</w:t>
            </w:r>
          </w:p>
        </w:tc>
      </w:tr>
      <w:tr>
        <w:tc>
          <w:tcPr>
            <w:tcW w:type="dxa" w:w="737"/>
            <w:shd w:val="clear" w:color="auto" w:fill="FFFFFF"/>
            <w:vAlign w:val="center"/>
          </w:tcPr>
          <w:p>
            <w:pPr>
              <w:jc w:val="center"/>
            </w:pPr>
            <w:r>
              <w:rPr>
                <w:rFonts w:ascii="Calibri" w:hAnsi="Calibri"/>
                <w:b/>
                <w:i w:val="0"/>
                <w:color w:val="37474F"/>
                <w:sz w:val="18"/>
              </w:rPr>
              <w:t>2025</w:t>
            </w:r>
          </w:p>
        </w:tc>
        <w:tc>
          <w:tcPr>
            <w:tcW w:type="dxa" w:w="1247"/>
            <w:shd w:val="clear" w:color="auto" w:fill="FFFFFF"/>
            <w:vAlign w:val="center"/>
          </w:tcPr>
          <w:p>
            <w:pPr>
              <w:jc w:val="center"/>
            </w:pPr>
            <w:r>
              <w:rPr>
                <w:rFonts w:ascii="Calibri" w:hAnsi="Calibri"/>
                <w:b w:val="0"/>
                <w:i w:val="0"/>
                <w:color w:val="37474F"/>
                <w:sz w:val="18"/>
              </w:rPr>
              <w:t>45</w:t>
            </w:r>
          </w:p>
        </w:tc>
        <w:tc>
          <w:tcPr>
            <w:tcW w:type="dxa" w:w="1247"/>
            <w:shd w:val="clear" w:color="auto" w:fill="FFFFFF"/>
            <w:vAlign w:val="center"/>
          </w:tcPr>
          <w:p>
            <w:pPr>
              <w:jc w:val="center"/>
            </w:pPr>
            <w:r>
              <w:rPr>
                <w:rFonts w:ascii="Calibri" w:hAnsi="Calibri"/>
                <w:b w:val="0"/>
                <w:i w:val="0"/>
                <w:color w:val="37474F"/>
                <w:sz w:val="18"/>
              </w:rPr>
              <w:t>11</w:t>
            </w:r>
          </w:p>
        </w:tc>
        <w:tc>
          <w:tcPr>
            <w:tcW w:type="dxa" w:w="1417"/>
            <w:shd w:val="clear" w:color="auto" w:fill="FFFFFF"/>
            <w:vAlign w:val="center"/>
          </w:tcPr>
          <w:p>
            <w:pPr>
              <w:jc w:val="center"/>
            </w:pPr>
            <w:r>
              <w:rPr>
                <w:rFonts w:ascii="Calibri" w:hAnsi="Calibri"/>
                <w:b w:val="0"/>
                <w:i w:val="0"/>
                <w:color w:val="37474F"/>
                <w:sz w:val="18"/>
              </w:rPr>
              <w:t>67</w:t>
            </w:r>
          </w:p>
        </w:tc>
        <w:tc>
          <w:tcPr>
            <w:tcW w:type="dxa" w:w="1247"/>
            <w:shd w:val="clear" w:color="auto" w:fill="FFFFFF"/>
            <w:vAlign w:val="center"/>
          </w:tcPr>
          <w:p>
            <w:pPr>
              <w:jc w:val="center"/>
            </w:pPr>
            <w:r>
              <w:rPr>
                <w:rFonts w:ascii="Calibri" w:hAnsi="Calibri"/>
                <w:b w:val="0"/>
                <w:i w:val="0"/>
                <w:color w:val="37474F"/>
                <w:sz w:val="18"/>
              </w:rPr>
              <w:t>8.9%</w:t>
            </w:r>
          </w:p>
        </w:tc>
        <w:tc>
          <w:tcPr>
            <w:tcW w:type="dxa" w:w="2835"/>
            <w:shd w:val="clear" w:color="auto" w:fill="FFFFFF"/>
            <w:vAlign w:val="center"/>
          </w:tcPr>
          <w:p>
            <w:pPr>
              <w:jc w:val="left"/>
            </w:pPr>
            <w:r>
              <w:rPr>
                <w:rFonts w:ascii="Calibri" w:hAnsi="Calibri"/>
                <w:b w:val="0"/>
                <w:i w:val="0"/>
                <w:color w:val="37474F"/>
                <w:sz w:val="18"/>
              </w:rPr>
              <w:t>Regime engine limited trades to 123; low target hits reflect narrow, selective market</w:t>
            </w:r>
          </w:p>
        </w:tc>
      </w:tr>
      <w:tr>
        <w:tc>
          <w:tcPr>
            <w:tcW w:type="dxa" w:w="737"/>
            <w:shd w:val="clear" w:color="auto" w:fill="F3E5F5"/>
            <w:vAlign w:val="center"/>
          </w:tcPr>
          <w:p>
            <w:pPr>
              <w:jc w:val="center"/>
            </w:pPr>
            <w:r>
              <w:rPr>
                <w:rFonts w:ascii="Calibri" w:hAnsi="Calibri"/>
                <w:b/>
                <w:i w:val="0"/>
                <w:color w:val="37474F"/>
                <w:sz w:val="18"/>
              </w:rPr>
              <w:t>2026</w:t>
            </w:r>
          </w:p>
        </w:tc>
        <w:tc>
          <w:tcPr>
            <w:tcW w:type="dxa" w:w="1247"/>
            <w:shd w:val="clear" w:color="auto" w:fill="F3E5F5"/>
            <w:vAlign w:val="center"/>
          </w:tcPr>
          <w:p>
            <w:pPr>
              <w:jc w:val="center"/>
            </w:pPr>
            <w:r>
              <w:rPr>
                <w:rFonts w:ascii="Calibri" w:hAnsi="Calibri"/>
                <w:b w:val="0"/>
                <w:i w:val="0"/>
                <w:color w:val="37474F"/>
                <w:sz w:val="18"/>
              </w:rPr>
              <w:t>6</w:t>
            </w:r>
          </w:p>
        </w:tc>
        <w:tc>
          <w:tcPr>
            <w:tcW w:type="dxa" w:w="1247"/>
            <w:shd w:val="clear" w:color="auto" w:fill="F3E5F5"/>
            <w:vAlign w:val="center"/>
          </w:tcPr>
          <w:p>
            <w:pPr>
              <w:jc w:val="center"/>
            </w:pPr>
            <w:r>
              <w:rPr>
                <w:rFonts w:ascii="Calibri" w:hAnsi="Calibri"/>
                <w:b w:val="0"/>
                <w:i w:val="0"/>
                <w:color w:val="37474F"/>
                <w:sz w:val="18"/>
              </w:rPr>
              <w:t>2</w:t>
            </w:r>
          </w:p>
        </w:tc>
        <w:tc>
          <w:tcPr>
            <w:tcW w:type="dxa" w:w="1417"/>
            <w:shd w:val="clear" w:color="auto" w:fill="F3E5F5"/>
            <w:vAlign w:val="center"/>
          </w:tcPr>
          <w:p>
            <w:pPr>
              <w:jc w:val="center"/>
            </w:pPr>
            <w:r>
              <w:rPr>
                <w:rFonts w:ascii="Calibri" w:hAnsi="Calibri"/>
                <w:b w:val="0"/>
                <w:i w:val="0"/>
                <w:color w:val="37474F"/>
                <w:sz w:val="18"/>
              </w:rPr>
              <w:t>4</w:t>
            </w:r>
          </w:p>
        </w:tc>
        <w:tc>
          <w:tcPr>
            <w:tcW w:type="dxa" w:w="1247"/>
            <w:shd w:val="clear" w:color="auto" w:fill="F3E5F5"/>
            <w:vAlign w:val="center"/>
          </w:tcPr>
          <w:p>
            <w:pPr>
              <w:jc w:val="center"/>
            </w:pPr>
            <w:r>
              <w:rPr>
                <w:rFonts w:ascii="Calibri" w:hAnsi="Calibri"/>
                <w:b w:val="0"/>
                <w:i w:val="0"/>
                <w:color w:val="37474F"/>
                <w:sz w:val="18"/>
              </w:rPr>
              <w:t>16.7%</w:t>
            </w:r>
          </w:p>
        </w:tc>
        <w:tc>
          <w:tcPr>
            <w:tcW w:type="dxa" w:w="2835"/>
            <w:shd w:val="clear" w:color="auto" w:fill="F3E5F5"/>
            <w:vAlign w:val="center"/>
          </w:tcPr>
          <w:p>
            <w:pPr>
              <w:jc w:val="left"/>
            </w:pPr>
            <w:r>
              <w:rPr>
                <w:rFonts w:ascii="Calibri" w:hAnsi="Calibri"/>
                <w:b w:val="0"/>
                <w:i w:val="0"/>
                <w:color w:val="37474F"/>
                <w:sz w:val="18"/>
              </w:rPr>
              <w:t>Only 2 targets hit in 12 trades — early bear market; regime engine correctly throttling</w:t>
            </w:r>
          </w:p>
        </w:tc>
      </w:tr>
    </w:tbl>
    <w:p/>
    <w:p>
      <w:pPr>
        <w:spacing w:before="0" w:after="100"/>
        <w:jc w:val="both"/>
      </w:pPr>
      <w:r>
        <w:rPr>
          <w:rFonts w:ascii="Calibri" w:hAnsi="Calibri"/>
          <w:b w:val="0"/>
          <w:i w:val="0"/>
          <w:color w:val="37474F"/>
          <w:sz w:val="21"/>
        </w:rPr>
        <w:t>A healthy stop-to-target ratio and consistent time exits indicate the strategy is behaving exactly as designed — losses are cut quickly, profits are run to targets, and stagnant positions are recycled efficiently.</w:t>
      </w:r>
    </w:p>
    <w:p>
      <w:r>
        <w:br w:type="page"/>
      </w:r>
    </w:p>
    <w:p>
      <w:pPr>
        <w:spacing w:before="280" w:after="40"/>
        <w:jc w:val="left"/>
      </w:pPr>
      <w:r>
        <w:rPr>
          <w:rFonts w:ascii="Calibri Light" w:hAnsi="Calibri Light"/>
          <w:b/>
          <w:i w:val="0"/>
          <w:color w:val="00697A"/>
          <w:sz w:val="28"/>
        </w:rPr>
        <w:t xml:space="preserve">8. </w:t>
      </w:r>
      <w:r>
        <w:rPr>
          <w:rFonts w:ascii="Calibri Light" w:hAnsi="Calibri Light"/>
          <w:b/>
          <w:i w:val="0"/>
          <w:color w:val="0D47A1"/>
          <w:sz w:val="28"/>
        </w:rPr>
        <w:t>STRATEGY DEVELOPMENT HISTORY</w:t>
      </w:r>
    </w:p>
    <w:p>
      <w:pPr>
        <w:spacing w:before="0" w:after="120"/>
        <w:jc w:val="left"/>
      </w:pPr>
      <w:r>
        <w:rPr>
          <w:rFonts w:ascii="Calibri" w:hAnsi="Calibri"/>
          <w:b w:val="0"/>
          <w:i/>
          <w:color w:val="78909C"/>
          <w:sz w:val="20"/>
        </w:rPr>
        <w:t>How Phase 9 was reached — a record of research-driven improvements</w:t>
      </w:r>
    </w:p>
    <w:p>
      <w:pPr>
        <w:spacing w:before="0" w:after="100"/>
        <w:jc w:val="both"/>
      </w:pPr>
      <w:r>
        <w:rPr>
          <w:rFonts w:ascii="Calibri" w:hAnsi="Calibri"/>
          <w:b w:val="0"/>
          <w:i w:val="0"/>
          <w:color w:val="37474F"/>
          <w:sz w:val="21"/>
        </w:rPr>
        <w:t>The final Phase 9 configuration was not arrived at arbitrarily. Each filter was added after rigorous research and backtesting, informed by industry sources including Zerodha Varsity, Groww Academy, and Upstox UpLearn (India's leading retail investor education platforms). Below is a summary of the key phases and their impact.</w:t>
      </w:r>
    </w:p>
    <w:p>
      <w:pPr>
        <w:spacing w:before="120" w:after="40"/>
        <w:ind w:left="170"/>
        <w:jc w:val="left"/>
      </w:pPr>
      <w:r>
        <w:rPr>
          <w:rFonts w:ascii="Calibri" w:hAnsi="Calibri"/>
          <w:b/>
          <w:i w:val="0"/>
          <w:color w:val="0D47A1"/>
          <w:sz w:val="21"/>
        </w:rPr>
        <w:t xml:space="preserve">Phase 1–4: </w:t>
      </w:r>
      <w:r>
        <w:rPr>
          <w:rFonts w:ascii="Calibri" w:hAnsi="Calibri"/>
          <w:b/>
          <w:i w:val="0"/>
          <w:color w:val="00697A"/>
          <w:sz w:val="21"/>
        </w:rPr>
        <w:t>Baseline PULLBACK_LONG</w:t>
      </w:r>
    </w:p>
    <w:p>
      <w:pPr>
        <w:spacing w:before="0" w:after="100"/>
        <w:ind w:left="283"/>
        <w:jc w:val="both"/>
      </w:pPr>
      <w:r>
        <w:rPr>
          <w:rFonts w:ascii="Calibri" w:hAnsi="Calibri"/>
          <w:b w:val="0"/>
          <w:i w:val="0"/>
          <w:color w:val="37474F"/>
          <w:sz w:val="21"/>
        </w:rPr>
        <w:t>Core strategy: EMA20 pullback + bounce + volume confirmation. Win Rate: ~52%, PF: 1.15. Profitable but thin edge.</w:t>
      </w:r>
    </w:p>
    <w:p>
      <w:pPr>
        <w:spacing w:before="120" w:after="40"/>
        <w:ind w:left="170"/>
        <w:jc w:val="left"/>
      </w:pPr>
      <w:r>
        <w:rPr>
          <w:rFonts w:ascii="Calibri" w:hAnsi="Calibri"/>
          <w:b/>
          <w:i w:val="0"/>
          <w:color w:val="0D47A1"/>
          <w:sz w:val="21"/>
        </w:rPr>
        <w:t xml:space="preserve">Phase 5: </w:t>
      </w:r>
      <w:r>
        <w:rPr>
          <w:rFonts w:ascii="Calibri" w:hAnsi="Calibri"/>
          <w:b/>
          <w:i w:val="0"/>
          <w:color w:val="00697A"/>
          <w:sz w:val="21"/>
        </w:rPr>
        <w:t>Pullback Quality Filters</w:t>
      </w:r>
    </w:p>
    <w:p>
      <w:pPr>
        <w:spacing w:before="0" w:after="100"/>
        <w:ind w:left="283"/>
        <w:jc w:val="both"/>
      </w:pPr>
      <w:r>
        <w:rPr>
          <w:rFonts w:ascii="Calibri" w:hAnsi="Calibri"/>
          <w:b w:val="0"/>
          <w:i w:val="0"/>
          <w:color w:val="37474F"/>
          <w:sz w:val="21"/>
        </w:rPr>
        <w:t>Added shallow touch requirement (within 3% of EMA20) + quiet pullback (no panic-sell volume). Eliminated low-conviction setups.</w:t>
      </w:r>
    </w:p>
    <w:p>
      <w:pPr>
        <w:spacing w:before="120" w:after="40"/>
        <w:ind w:left="170"/>
        <w:jc w:val="left"/>
      </w:pPr>
      <w:r>
        <w:rPr>
          <w:rFonts w:ascii="Calibri" w:hAnsi="Calibri"/>
          <w:b/>
          <w:i w:val="0"/>
          <w:color w:val="0D47A1"/>
          <w:sz w:val="21"/>
        </w:rPr>
        <w:t xml:space="preserve">Phase 6: </w:t>
      </w:r>
      <w:r>
        <w:rPr>
          <w:rFonts w:ascii="Calibri" w:hAnsi="Calibri"/>
          <w:b/>
          <w:i w:val="0"/>
          <w:color w:val="00697A"/>
          <w:sz w:val="21"/>
        </w:rPr>
        <w:t>Multi-Timeframe Trend Alignment</w:t>
      </w:r>
    </w:p>
    <w:p>
      <w:pPr>
        <w:spacing w:before="0" w:after="100"/>
        <w:ind w:left="283"/>
        <w:jc w:val="both"/>
      </w:pPr>
      <w:r>
        <w:rPr>
          <w:rFonts w:ascii="Calibri" w:hAnsi="Calibri"/>
          <w:b w:val="0"/>
          <w:i w:val="0"/>
          <w:color w:val="37474F"/>
          <w:sz w:val="21"/>
        </w:rPr>
        <w:t>Added EMA100 weekly trend proxy + EMA spread (EMA50 must be 1%+ above EMA200). Blocks entries in long-term downtrends.</w:t>
      </w:r>
    </w:p>
    <w:p>
      <w:pPr>
        <w:spacing w:before="120" w:after="40"/>
        <w:ind w:left="170"/>
        <w:jc w:val="left"/>
      </w:pPr>
      <w:r>
        <w:rPr>
          <w:rFonts w:ascii="Calibri" w:hAnsi="Calibri"/>
          <w:b/>
          <w:i w:val="0"/>
          <w:color w:val="0D47A1"/>
          <w:sz w:val="21"/>
        </w:rPr>
        <w:t xml:space="preserve">Phase 7: </w:t>
      </w:r>
      <w:r>
        <w:rPr>
          <w:rFonts w:ascii="Calibri" w:hAnsi="Calibri"/>
          <w:b/>
          <w:i w:val="0"/>
          <w:color w:val="00697A"/>
          <w:sz w:val="21"/>
        </w:rPr>
        <w:t>5-State Market Regime Engine</w:t>
      </w:r>
    </w:p>
    <w:p>
      <w:pPr>
        <w:spacing w:before="0" w:after="100"/>
        <w:ind w:left="283"/>
        <w:jc w:val="both"/>
      </w:pPr>
      <w:r>
        <w:rPr>
          <w:rFonts w:ascii="Calibri" w:hAnsi="Calibri"/>
          <w:b w:val="0"/>
          <w:i w:val="0"/>
          <w:color w:val="37474F"/>
          <w:sz w:val="21"/>
        </w:rPr>
        <w:t>Replaced single binary Nifty gate with a 5-signal composite engine. 5 states: STRONG_BULL, MODERATE_BULL, SIDEWAYS, WEAK_BEAR, STRONG_BEAR. SIDEWAYS and BEAR states block all entries.</w:t>
      </w:r>
    </w:p>
    <w:p>
      <w:pPr>
        <w:spacing w:before="120" w:after="40"/>
        <w:ind w:left="170"/>
        <w:jc w:val="left"/>
      </w:pPr>
      <w:r>
        <w:rPr>
          <w:rFonts w:ascii="Calibri" w:hAnsi="Calibri"/>
          <w:b/>
          <w:i w:val="0"/>
          <w:color w:val="0D47A1"/>
          <w:sz w:val="21"/>
        </w:rPr>
        <w:t xml:space="preserve">Phase 8: </w:t>
      </w:r>
      <w:r>
        <w:rPr>
          <w:rFonts w:ascii="Calibri" w:hAnsi="Calibri"/>
          <w:b/>
          <w:i w:val="0"/>
          <w:color w:val="00697A"/>
          <w:sz w:val="21"/>
        </w:rPr>
        <w:t>EMA200 Absolute Bear Gate</w:t>
      </w:r>
    </w:p>
    <w:p>
      <w:pPr>
        <w:spacing w:before="0" w:after="100"/>
        <w:ind w:left="283"/>
        <w:jc w:val="both"/>
      </w:pPr>
      <w:r>
        <w:rPr>
          <w:rFonts w:ascii="Calibri" w:hAnsi="Calibri"/>
          <w:b w:val="0"/>
          <w:i w:val="0"/>
          <w:color w:val="37474F"/>
          <w:sz w:val="21"/>
        </w:rPr>
        <w:t>If Nifty closes below its 200-day EMA, all entries blocked unconditionally. This rule alone prevented significant losses during the Sep 2024–Sep 2025 bear cycle (13 months below EMA200).</w:t>
      </w:r>
    </w:p>
    <w:p>
      <w:pPr>
        <w:spacing w:before="120" w:after="40"/>
        <w:ind w:left="170"/>
        <w:jc w:val="left"/>
      </w:pPr>
      <w:r>
        <w:rPr>
          <w:rFonts w:ascii="Calibri" w:hAnsi="Calibri"/>
          <w:b/>
          <w:i w:val="0"/>
          <w:color w:val="0D47A1"/>
          <w:sz w:val="21"/>
        </w:rPr>
        <w:t xml:space="preserve">Phase 9 (Final): </w:t>
      </w:r>
      <w:r>
        <w:rPr>
          <w:rFonts w:ascii="Calibri" w:hAnsi="Calibri"/>
          <w:b/>
          <w:i w:val="0"/>
          <w:color w:val="00697A"/>
          <w:sz w:val="21"/>
        </w:rPr>
        <w:t>Relative Strength + EMA20 Slope Filters</w:t>
      </w:r>
    </w:p>
    <w:p>
      <w:pPr>
        <w:spacing w:before="0" w:after="100"/>
        <w:ind w:left="283"/>
        <w:jc w:val="both"/>
      </w:pPr>
      <w:r>
        <w:rPr>
          <w:rFonts w:ascii="Calibri" w:hAnsi="Calibri"/>
          <w:b w:val="0"/>
          <w:i w:val="0"/>
          <w:color w:val="37474F"/>
          <w:sz w:val="21"/>
        </w:rPr>
        <w:t>RS filter: stock must not underperform Nifty by more than 3%. Slope filter: EMA20 today must be higher than 5 bars ago (accelerating trend only). Turned 2025 from -loss to +₹33K.</w:t>
      </w:r>
    </w:p>
    <w:p>
      <w:r>
        <w:br w:type="page"/>
      </w:r>
    </w:p>
    <w:p>
      <w:pPr>
        <w:spacing w:before="280" w:after="40"/>
        <w:jc w:val="left"/>
      </w:pPr>
      <w:r>
        <w:rPr>
          <w:rFonts w:ascii="Calibri Light" w:hAnsi="Calibri Light"/>
          <w:b/>
          <w:i w:val="0"/>
          <w:color w:val="00697A"/>
          <w:sz w:val="28"/>
        </w:rPr>
        <w:t xml:space="preserve">9. </w:t>
      </w:r>
      <w:r>
        <w:rPr>
          <w:rFonts w:ascii="Calibri Light" w:hAnsi="Calibri Light"/>
          <w:b/>
          <w:i w:val="0"/>
          <w:color w:val="0D47A1"/>
          <w:sz w:val="28"/>
        </w:rPr>
        <w:t>4.5-YEAR SUMMARY &amp; OUTLOOK</w:t>
      </w:r>
    </w:p>
    <w:p>
      <w:pPr>
        <w:spacing w:before="80" w:after="80"/>
        <w:jc w:val="left"/>
      </w:pPr>
      <w:r>
        <w:rPr>
          <w:rFonts w:ascii="Calibri" w:hAnsi="Calibri"/>
          <w:b/>
          <w:i w:val="0"/>
          <w:color w:val="0D47A1"/>
          <w:sz w:val="22"/>
        </w:rPr>
        <w:t>Portfolio Snapshot — ₹20L Wallet, January 2022 to June 2026</w:t>
      </w:r>
    </w:p>
    <w:tbl>
      <w:tblPr>
        <w:tblStyle w:val="TableGrid"/>
        <w:tblW w:type="auto" w:w="0"/>
        <w:jc w:val="center"/>
        <w:tblLook w:firstColumn="1" w:firstRow="1" w:lastColumn="0" w:lastRow="0" w:noHBand="0" w:noVBand="1" w:val="04A0"/>
      </w:tblPr>
      <w:tblGrid>
        <w:gridCol w:w="4535"/>
        <w:gridCol w:w="2835"/>
      </w:tblGrid>
      <w:tr>
        <w:tc>
          <w:tcPr>
            <w:tcW w:type="dxa" w:w="4873"/>
            <w:shd w:val="clear" w:color="auto" w:fill="E3F2FD"/>
          </w:tcPr>
          <w:p>
            <w:r>
              <w:rPr>
                <w:rFonts w:ascii="Calibri" w:hAnsi="Calibri"/>
                <w:b/>
                <w:i w:val="0"/>
                <w:color w:val="37474F"/>
                <w:sz w:val="21"/>
              </w:rPr>
              <w:t>Starting capital (January 2022)</w:t>
            </w:r>
          </w:p>
        </w:tc>
        <w:tc>
          <w:tcPr>
            <w:tcW w:type="dxa" w:w="4873"/>
            <w:shd w:val="clear" w:color="auto" w:fill="E3F2FD"/>
          </w:tcPr>
          <w:p>
            <w:pPr>
              <w:jc w:val="center"/>
            </w:pPr>
            <w:r>
              <w:rPr>
                <w:rFonts w:ascii="Calibri" w:hAnsi="Calibri"/>
                <w:b w:val="0"/>
                <w:i w:val="0"/>
                <w:color w:val="37474F"/>
                <w:sz w:val="21"/>
              </w:rPr>
              <w:t>₹20,00,000</w:t>
            </w:r>
          </w:p>
        </w:tc>
      </w:tr>
      <w:tr>
        <w:tc>
          <w:tcPr>
            <w:tcW w:type="dxa" w:w="4873"/>
            <w:shd w:val="clear" w:color="auto" w:fill="FFFFFF"/>
          </w:tcPr>
          <w:p>
            <w:r>
              <w:rPr>
                <w:rFonts w:ascii="Calibri" w:hAnsi="Calibri"/>
                <w:b/>
                <w:i w:val="0"/>
                <w:color w:val="37474F"/>
                <w:sz w:val="21"/>
              </w:rPr>
              <w:t>Estimated ending capital (June 2026)</w:t>
            </w:r>
          </w:p>
        </w:tc>
        <w:tc>
          <w:tcPr>
            <w:tcW w:type="dxa" w:w="4873"/>
            <w:shd w:val="clear" w:color="auto" w:fill="FFFFFF"/>
          </w:tcPr>
          <w:p>
            <w:pPr>
              <w:jc w:val="center"/>
            </w:pPr>
            <w:r>
              <w:rPr>
                <w:rFonts w:ascii="Calibri" w:hAnsi="Calibri"/>
                <w:b/>
                <w:i w:val="0"/>
                <w:color w:val="1B5E20"/>
                <w:sz w:val="21"/>
              </w:rPr>
              <w:t>₹40.3L</w:t>
            </w:r>
          </w:p>
        </w:tc>
      </w:tr>
      <w:tr>
        <w:tc>
          <w:tcPr>
            <w:tcW w:type="dxa" w:w="4873"/>
            <w:shd w:val="clear" w:color="auto" w:fill="E3F2FD"/>
          </w:tcPr>
          <w:p>
            <w:r>
              <w:rPr>
                <w:rFonts w:ascii="Calibri" w:hAnsi="Calibri"/>
                <w:b w:val="0"/>
                <w:i w:val="0"/>
                <w:color w:val="37474F"/>
                <w:sz w:val="21"/>
              </w:rPr>
              <w:t>Total net profit (live est.)</w:t>
            </w:r>
          </w:p>
        </w:tc>
        <w:tc>
          <w:tcPr>
            <w:tcW w:type="dxa" w:w="4873"/>
            <w:shd w:val="clear" w:color="auto" w:fill="E3F2FD"/>
          </w:tcPr>
          <w:p>
            <w:pPr>
              <w:jc w:val="center"/>
            </w:pPr>
            <w:r>
              <w:rPr>
                <w:rFonts w:ascii="Calibri" w:hAnsi="Calibri"/>
                <w:b/>
                <w:i w:val="0"/>
                <w:color w:val="1B5E20"/>
                <w:sz w:val="21"/>
              </w:rPr>
              <w:t>+₹20.3L</w:t>
            </w:r>
          </w:p>
        </w:tc>
      </w:tr>
      <w:tr>
        <w:tc>
          <w:tcPr>
            <w:tcW w:type="dxa" w:w="4873"/>
            <w:shd w:val="clear" w:color="auto" w:fill="FFFFFF"/>
          </w:tcPr>
          <w:p>
            <w:r>
              <w:rPr>
                <w:rFonts w:ascii="Calibri" w:hAnsi="Calibri"/>
                <w:b w:val="0"/>
                <w:i w:val="0"/>
                <w:color w:val="37474F"/>
                <w:sz w:val="21"/>
              </w:rPr>
              <w:t>Cumulative return</w:t>
            </w:r>
          </w:p>
        </w:tc>
        <w:tc>
          <w:tcPr>
            <w:tcW w:type="dxa" w:w="4873"/>
            <w:shd w:val="clear" w:color="auto" w:fill="FFFFFF"/>
          </w:tcPr>
          <w:p>
            <w:pPr>
              <w:jc w:val="center"/>
            </w:pPr>
            <w:r>
              <w:rPr>
                <w:rFonts w:ascii="Calibri" w:hAnsi="Calibri"/>
                <w:b/>
                <w:i w:val="0"/>
                <w:color w:val="1B5E20"/>
                <w:sz w:val="21"/>
              </w:rPr>
              <w:t>+101.7%</w:t>
            </w:r>
          </w:p>
        </w:tc>
      </w:tr>
      <w:tr>
        <w:tc>
          <w:tcPr>
            <w:tcW w:type="dxa" w:w="4873"/>
            <w:shd w:val="clear" w:color="auto" w:fill="E3F2FD"/>
          </w:tcPr>
          <w:p>
            <w:r>
              <w:rPr>
                <w:rFonts w:ascii="Calibri" w:hAnsi="Calibri"/>
                <w:b w:val="0"/>
                <w:i w:val="0"/>
                <w:color w:val="37474F"/>
                <w:sz w:val="21"/>
              </w:rPr>
              <w:t>Approx CAGR</w:t>
            </w:r>
          </w:p>
        </w:tc>
        <w:tc>
          <w:tcPr>
            <w:tcW w:type="dxa" w:w="4873"/>
            <w:shd w:val="clear" w:color="auto" w:fill="E3F2FD"/>
          </w:tcPr>
          <w:p>
            <w:pPr>
              <w:jc w:val="center"/>
            </w:pPr>
            <w:r>
              <w:rPr>
                <w:rFonts w:ascii="Calibri" w:hAnsi="Calibri"/>
                <w:b/>
                <w:i w:val="0"/>
                <w:color w:val="1B5E20"/>
                <w:sz w:val="21"/>
              </w:rPr>
              <w:t>+16.9% per year</w:t>
            </w:r>
          </w:p>
        </w:tc>
      </w:tr>
      <w:tr>
        <w:tc>
          <w:tcPr>
            <w:tcW w:type="dxa" w:w="4873"/>
            <w:shd w:val="clear" w:color="auto" w:fill="FFFFFF"/>
          </w:tcPr>
          <w:p>
            <w:r>
              <w:rPr>
                <w:rFonts w:ascii="Calibri" w:hAnsi="Calibri"/>
                <w:b w:val="0"/>
                <w:i w:val="0"/>
                <w:color w:val="37474F"/>
                <w:sz w:val="21"/>
              </w:rPr>
              <w:t>Average annual profit (live est.)</w:t>
            </w:r>
          </w:p>
        </w:tc>
        <w:tc>
          <w:tcPr>
            <w:tcW w:type="dxa" w:w="4873"/>
            <w:shd w:val="clear" w:color="auto" w:fill="FFFFFF"/>
          </w:tcPr>
          <w:p>
            <w:pPr>
              <w:jc w:val="center"/>
            </w:pPr>
            <w:r>
              <w:rPr>
                <w:rFonts w:ascii="Calibri" w:hAnsi="Calibri"/>
                <w:b w:val="0"/>
                <w:i w:val="0"/>
                <w:color w:val="37474F"/>
                <w:sz w:val="21"/>
              </w:rPr>
              <w:t>+₹4.52L per year</w:t>
            </w:r>
          </w:p>
        </w:tc>
      </w:tr>
      <w:tr>
        <w:tc>
          <w:tcPr>
            <w:tcW w:type="dxa" w:w="4873"/>
            <w:shd w:val="clear" w:color="auto" w:fill="E3F2FD"/>
          </w:tcPr>
          <w:p>
            <w:r>
              <w:rPr>
                <w:rFonts w:ascii="Calibri" w:hAnsi="Calibri"/>
                <w:b w:val="0"/>
                <w:i w:val="0"/>
                <w:color w:val="37474F"/>
                <w:sz w:val="21"/>
              </w:rPr>
              <w:t>Nifty 50 CAGR over same period</w:t>
            </w:r>
          </w:p>
        </w:tc>
        <w:tc>
          <w:tcPr>
            <w:tcW w:type="dxa" w:w="4873"/>
            <w:shd w:val="clear" w:color="auto" w:fill="E3F2FD"/>
          </w:tcPr>
          <w:p>
            <w:pPr>
              <w:jc w:val="center"/>
            </w:pPr>
            <w:r>
              <w:rPr>
                <w:rFonts w:ascii="Calibri" w:hAnsi="Calibri"/>
                <w:b w:val="0"/>
                <w:i w:val="0"/>
                <w:color w:val="37474F"/>
                <w:sz w:val="21"/>
              </w:rPr>
              <w:t>~+9.5% per year (estimate)</w:t>
            </w:r>
          </w:p>
        </w:tc>
      </w:tr>
      <w:tr>
        <w:tc>
          <w:tcPr>
            <w:tcW w:type="dxa" w:w="4873"/>
            <w:shd w:val="clear" w:color="auto" w:fill="FFFFFF"/>
          </w:tcPr>
          <w:p>
            <w:r>
              <w:rPr>
                <w:rFonts w:ascii="Calibri" w:hAnsi="Calibri"/>
                <w:b w:val="0"/>
                <w:i w:val="0"/>
                <w:color w:val="37474F"/>
                <w:sz w:val="21"/>
              </w:rPr>
              <w:t>Alpha generated vs Nifty</w:t>
            </w:r>
          </w:p>
        </w:tc>
        <w:tc>
          <w:tcPr>
            <w:tcW w:type="dxa" w:w="4873"/>
            <w:shd w:val="clear" w:color="auto" w:fill="FFFFFF"/>
          </w:tcPr>
          <w:p>
            <w:pPr>
              <w:jc w:val="center"/>
            </w:pPr>
            <w:r>
              <w:rPr>
                <w:rFonts w:ascii="Calibri" w:hAnsi="Calibri"/>
                <w:b w:val="0"/>
                <w:i w:val="0"/>
                <w:color w:val="37474F"/>
                <w:sz w:val="21"/>
              </w:rPr>
              <w:t>~7.4% per year above benchmark</w:t>
            </w:r>
          </w:p>
        </w:tc>
      </w:tr>
    </w:tbl>
    <w:p/>
    <w:p>
      <w:pPr>
        <w:spacing w:before="280" w:after="40"/>
        <w:jc w:val="left"/>
      </w:pPr>
      <w:r>
        <w:rPr>
          <w:rFonts w:ascii="Calibri Light" w:hAnsi="Calibri Light"/>
          <w:b/>
          <w:i w:val="0"/>
          <w:color w:val="00697A"/>
          <w:sz w:val="28"/>
        </w:rPr>
        <w:t xml:space="preserve">10. </w:t>
      </w:r>
      <w:r>
        <w:rPr>
          <w:rFonts w:ascii="Calibri Light" w:hAnsi="Calibri Light"/>
          <w:b/>
          <w:i w:val="0"/>
          <w:color w:val="0D47A1"/>
          <w:sz w:val="28"/>
        </w:rPr>
        <w:t>KNOWN LIMITATIONS &amp; FUTURE WORK</w:t>
      </w:r>
    </w:p>
    <w:p>
      <w:pPr>
        <w:spacing w:before="0" w:after="120"/>
        <w:jc w:val="left"/>
      </w:pPr>
      <w:r>
        <w:rPr>
          <w:rFonts w:ascii="Calibri" w:hAnsi="Calibri"/>
          <w:b w:val="0"/>
          <w:i/>
          <w:color w:val="78909C"/>
          <w:sz w:val="20"/>
        </w:rPr>
        <w:t>Honest assessment of where the strategy has gaps</w:t>
      </w:r>
    </w:p>
    <w:p>
      <w:pPr>
        <w:pStyle w:val="ListBullet"/>
        <w:spacing w:before="20" w:after="60"/>
        <w:ind w:left="283"/>
      </w:pPr>
      <w:r>
        <w:rPr>
          <w:rFonts w:ascii="Calibri" w:hAnsi="Calibri"/>
          <w:b/>
          <w:i w:val="0"/>
          <w:color w:val="0D47A1"/>
          <w:sz w:val="21"/>
        </w:rPr>
        <w:t xml:space="preserve">2025 Underperformance vs Nifty: </w:t>
      </w:r>
      <w:r>
        <w:rPr>
          <w:rFonts w:ascii="Calibri" w:hAnsi="Calibri"/>
          <w:b w:val="0"/>
          <w:i w:val="0"/>
          <w:color w:val="37474F"/>
          <w:sz w:val="21"/>
        </w:rPr>
        <w:t>In 2025, the system made +2.2% while Nifty returned +11.2%. The gap is not a strategy failure — it reflects the 'narrow bull' market where 75% of stocks underperformed the index (only PSU banks drove Nifty). A correctly risk-managed strategy will underperform in narrow bull markets. The alternative would have been to chase low-quality setups and suffer heavy drawdown.</w:t>
      </w:r>
    </w:p>
    <w:p>
      <w:pPr>
        <w:pStyle w:val="ListBullet"/>
        <w:spacing w:before="20" w:after="60"/>
        <w:ind w:left="283"/>
      </w:pPr>
      <w:r>
        <w:rPr>
          <w:rFonts w:ascii="Calibri" w:hAnsi="Calibri"/>
          <w:b/>
          <w:i w:val="0"/>
          <w:color w:val="0D47A1"/>
          <w:sz w:val="21"/>
        </w:rPr>
        <w:t xml:space="preserve">BREAKOUT_LONG Strategy (Planned): </w:t>
      </w:r>
      <w:r>
        <w:rPr>
          <w:rFonts w:ascii="Calibri" w:hAnsi="Calibri"/>
          <w:b w:val="0"/>
          <w:i w:val="0"/>
          <w:color w:val="37474F"/>
          <w:sz w:val="21"/>
        </w:rPr>
        <w:t>A BREAKOUT_LONG strategy (buying 52-week highs with momentum) was tested but found to have excess drawdown (-21% to -32%) in the current 495-stock universe. Root cause: mid/small cap fake breakouts. This will be re-implemented with a restricted Nifty 100 universe in a future phase — potentially adding another +5-10% CAGR.</w:t>
      </w:r>
    </w:p>
    <w:p>
      <w:pPr>
        <w:pStyle w:val="ListBullet"/>
        <w:spacing w:before="20" w:after="60"/>
        <w:ind w:left="283"/>
      </w:pPr>
      <w:r>
        <w:rPr>
          <w:rFonts w:ascii="Calibri" w:hAnsi="Calibri"/>
          <w:b/>
          <w:i w:val="0"/>
          <w:color w:val="0D47A1"/>
          <w:sz w:val="21"/>
        </w:rPr>
        <w:t xml:space="preserve">2024 Thin Edge (PF=1.17): </w:t>
      </w:r>
      <w:r>
        <w:rPr>
          <w:rFonts w:ascii="Calibri" w:hAnsi="Calibri"/>
          <w:b w:val="0"/>
          <w:i w:val="0"/>
          <w:color w:val="37474F"/>
          <w:sz w:val="21"/>
        </w:rPr>
        <w:t>The 2024 profit factor is only 1.17 — above the 1.30 gate only in aggregate, not this year. This is an area for ongoing research. Initial analysis suggests the choppy second half of 2024 (Nifty correction) is the primary cause — the regime engine correctly limited exposure.</w:t>
      </w:r>
    </w:p>
    <w:p>
      <w:pPr>
        <w:pStyle w:val="ListBullet"/>
        <w:spacing w:before="20" w:after="60"/>
        <w:ind w:left="283"/>
      </w:pPr>
      <w:r>
        <w:rPr>
          <w:rFonts w:ascii="Calibri" w:hAnsi="Calibri"/>
          <w:b/>
          <w:i w:val="0"/>
          <w:color w:val="0D47A1"/>
          <w:sz w:val="21"/>
        </w:rPr>
        <w:t xml:space="preserve">Scalability: </w:t>
      </w:r>
      <w:r>
        <w:rPr>
          <w:rFonts w:ascii="Calibri" w:hAnsi="Calibri"/>
          <w:b w:val="0"/>
          <w:i w:val="0"/>
          <w:color w:val="37474F"/>
          <w:sz w:val="21"/>
        </w:rPr>
        <w:t>The strategy was backtested with ₹5L notional per trade across 495 stocks. In live trading with ₹20L and 1% risk/trade (₹20K per position), position sizes are relatively small and will have minimal market impact. Scalability becomes a consideration above ₹2–3 crore wallet size.</w:t>
      </w:r>
    </w:p>
    <w:p/>
    <w:p>
      <w:pPr>
        <w:spacing w:before="240" w:after="40"/>
        <w:jc w:val="left"/>
      </w:pPr>
      <w:r>
        <w:rPr>
          <w:rFonts w:ascii="Calibri" w:hAnsi="Calibri"/>
          <w:b/>
          <w:i w:val="0"/>
          <w:color w:val="78909C"/>
          <w:sz w:val="18"/>
        </w:rPr>
        <w:t>DISCLAIMER</w:t>
      </w:r>
    </w:p>
    <w:p>
      <w:pPr>
        <w:spacing w:before="0" w:after="0"/>
        <w:ind w:left="113"/>
        <w:jc w:val="both"/>
      </w:pPr>
      <w:r>
        <w:rPr>
          <w:rFonts w:ascii="Calibri" w:hAnsi="Calibri"/>
          <w:b w:val="0"/>
          <w:i/>
          <w:color w:val="78909C"/>
          <w:sz w:val="17"/>
        </w:rPr>
        <w:t>Past backtest performance is not a guarantee of future results. All figures labelled 'Live Estimate' are projections based on backtested data scaled to a ₹20L wallet using a 1.31× scale factor. Actual live trading results will differ due to slippage, transaction costs, data gaps, and market microstructure effects not captured in backtesting. This report is prepared for internal management review only and does not constitute financial advice.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