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5359D" w14:textId="484684BF" w:rsidR="00216FB7" w:rsidRDefault="00000000">
      <w:pPr>
        <w:pStyle w:val="Title"/>
      </w:pPr>
      <w:r>
        <w:rPr>
          <w:spacing w:val="-1"/>
        </w:rPr>
        <w:t>COMPREHENSIVE</w:t>
      </w:r>
      <w:r>
        <w:rPr>
          <w:spacing w:val="-3"/>
        </w:rPr>
        <w:t xml:space="preserve"> </w:t>
      </w:r>
      <w:r>
        <w:t>REVIEW</w:t>
      </w:r>
      <w:r>
        <w:rPr>
          <w:spacing w:val="-7"/>
        </w:rPr>
        <w:t xml:space="preserve"> </w:t>
      </w:r>
      <w:r>
        <w:t>ON</w:t>
      </w:r>
      <w:r>
        <w:rPr>
          <w:spacing w:val="-2"/>
        </w:rPr>
        <w:t xml:space="preserve"> </w:t>
      </w:r>
      <w:r w:rsidR="00C861C5" w:rsidRPr="00C861C5">
        <w:rPr>
          <w:spacing w:val="-2"/>
        </w:rPr>
        <w:t>DETECTION OF CORD INJURIES</w:t>
      </w:r>
    </w:p>
    <w:p w14:paraId="0EE69969" w14:textId="36028BEA" w:rsidR="00216FB7" w:rsidRDefault="00C861C5">
      <w:pPr>
        <w:spacing w:before="4"/>
        <w:ind w:left="912" w:right="1177"/>
        <w:jc w:val="center"/>
        <w:rPr>
          <w:sz w:val="18"/>
        </w:rPr>
      </w:pPr>
      <w:r>
        <w:rPr>
          <w:sz w:val="18"/>
        </w:rPr>
        <w:t>Bhuvan U Kadlas</w:t>
      </w:r>
      <w:r w:rsidR="00E009FA">
        <w:rPr>
          <w:sz w:val="18"/>
          <w:vertAlign w:val="superscript"/>
        </w:rPr>
        <w:t>a</w:t>
      </w:r>
      <w:r>
        <w:rPr>
          <w:sz w:val="18"/>
        </w:rPr>
        <w:t>,</w:t>
      </w:r>
      <w:r w:rsidRPr="00C861C5">
        <w:t xml:space="preserve"> </w:t>
      </w:r>
      <w:r w:rsidRPr="00C861C5">
        <w:rPr>
          <w:sz w:val="18"/>
        </w:rPr>
        <w:t>Dheemanth Gowda S N</w:t>
      </w:r>
      <w:r>
        <w:rPr>
          <w:spacing w:val="-5"/>
          <w:sz w:val="18"/>
        </w:rPr>
        <w:t xml:space="preserve"> </w:t>
      </w:r>
      <w:r w:rsidR="00E009FA">
        <w:rPr>
          <w:sz w:val="18"/>
          <w:vertAlign w:val="superscript"/>
        </w:rPr>
        <w:t>b</w:t>
      </w:r>
      <w:r>
        <w:rPr>
          <w:sz w:val="18"/>
        </w:rPr>
        <w:t>,</w:t>
      </w:r>
      <w:r w:rsidRPr="00C861C5">
        <w:t xml:space="preserve"> </w:t>
      </w:r>
      <w:r w:rsidRPr="00C861C5">
        <w:rPr>
          <w:sz w:val="18"/>
        </w:rPr>
        <w:t>D.S Yashwanth</w:t>
      </w:r>
      <w:r>
        <w:rPr>
          <w:spacing w:val="-4"/>
          <w:sz w:val="18"/>
        </w:rPr>
        <w:t xml:space="preserve"> </w:t>
      </w:r>
      <w:r w:rsidR="00E009FA">
        <w:rPr>
          <w:sz w:val="18"/>
          <w:vertAlign w:val="superscript"/>
        </w:rPr>
        <w:t>c</w:t>
      </w:r>
      <w:r>
        <w:rPr>
          <w:sz w:val="18"/>
        </w:rPr>
        <w:t>,</w:t>
      </w:r>
      <w:r>
        <w:rPr>
          <w:spacing w:val="-4"/>
          <w:sz w:val="18"/>
        </w:rPr>
        <w:t xml:space="preserve"> </w:t>
      </w:r>
      <w:r w:rsidR="00931129" w:rsidRPr="00931129">
        <w:rPr>
          <w:spacing w:val="-4"/>
          <w:sz w:val="18"/>
        </w:rPr>
        <w:t xml:space="preserve">Abhishek L </w:t>
      </w:r>
      <w:r w:rsidR="00E009FA">
        <w:rPr>
          <w:sz w:val="18"/>
          <w:vertAlign w:val="superscript"/>
        </w:rPr>
        <w:t>d</w:t>
      </w:r>
      <w:r>
        <w:rPr>
          <w:sz w:val="18"/>
        </w:rPr>
        <w:t>,</w:t>
      </w:r>
      <w:r>
        <w:rPr>
          <w:spacing w:val="-7"/>
          <w:sz w:val="18"/>
        </w:rPr>
        <w:t xml:space="preserve"> </w:t>
      </w:r>
      <w:r>
        <w:rPr>
          <w:sz w:val="18"/>
        </w:rPr>
        <w:t>H.T.</w:t>
      </w:r>
      <w:r>
        <w:rPr>
          <w:spacing w:val="-4"/>
          <w:sz w:val="18"/>
        </w:rPr>
        <w:t xml:space="preserve"> </w:t>
      </w:r>
      <w:r>
        <w:rPr>
          <w:sz w:val="18"/>
        </w:rPr>
        <w:t>Chethana</w:t>
      </w:r>
      <w:r>
        <w:rPr>
          <w:spacing w:val="-4"/>
          <w:sz w:val="18"/>
        </w:rPr>
        <w:t xml:space="preserve"> </w:t>
      </w:r>
      <w:r w:rsidR="00E009FA">
        <w:rPr>
          <w:sz w:val="18"/>
          <w:vertAlign w:val="superscript"/>
        </w:rPr>
        <w:t>e</w:t>
      </w:r>
    </w:p>
    <w:p w14:paraId="3F980EA9" w14:textId="45F002B6" w:rsidR="00216FB7" w:rsidRDefault="00E009FA">
      <w:pPr>
        <w:spacing w:before="163"/>
        <w:ind w:left="912" w:right="1187"/>
        <w:jc w:val="center"/>
        <w:rPr>
          <w:sz w:val="18"/>
        </w:rPr>
      </w:pPr>
      <w:r>
        <w:rPr>
          <w:position w:val="6"/>
          <w:sz w:val="12"/>
        </w:rPr>
        <w:t>A,b,c,d</w:t>
      </w:r>
      <w:r>
        <w:rPr>
          <w:spacing w:val="12"/>
          <w:position w:val="6"/>
          <w:sz w:val="12"/>
        </w:rPr>
        <w:t xml:space="preserve"> </w:t>
      </w:r>
      <w:r>
        <w:rPr>
          <w:sz w:val="18"/>
        </w:rPr>
        <w:t>B.E</w:t>
      </w:r>
      <w:r>
        <w:rPr>
          <w:spacing w:val="-4"/>
          <w:sz w:val="18"/>
        </w:rPr>
        <w:t xml:space="preserve"> </w:t>
      </w:r>
      <w:r>
        <w:rPr>
          <w:sz w:val="18"/>
        </w:rPr>
        <w:t>Students,</w:t>
      </w:r>
      <w:r>
        <w:rPr>
          <w:spacing w:val="-2"/>
          <w:sz w:val="18"/>
        </w:rPr>
        <w:t xml:space="preserve"> </w:t>
      </w:r>
      <w:r>
        <w:rPr>
          <w:sz w:val="18"/>
        </w:rPr>
        <w:t>Department</w:t>
      </w:r>
      <w:r>
        <w:rPr>
          <w:spacing w:val="-3"/>
          <w:sz w:val="18"/>
        </w:rPr>
        <w:t xml:space="preserve"> </w:t>
      </w:r>
      <w:r>
        <w:rPr>
          <w:sz w:val="18"/>
        </w:rPr>
        <w:t>of</w:t>
      </w:r>
      <w:r>
        <w:rPr>
          <w:spacing w:val="-3"/>
          <w:sz w:val="18"/>
        </w:rPr>
        <w:t xml:space="preserve"> </w:t>
      </w:r>
      <w:r>
        <w:rPr>
          <w:sz w:val="18"/>
        </w:rPr>
        <w:t>Computer</w:t>
      </w:r>
      <w:r>
        <w:rPr>
          <w:spacing w:val="-3"/>
          <w:sz w:val="18"/>
        </w:rPr>
        <w:t xml:space="preserve"> </w:t>
      </w:r>
      <w:r>
        <w:rPr>
          <w:sz w:val="18"/>
        </w:rPr>
        <w:t>Science</w:t>
      </w:r>
      <w:r>
        <w:rPr>
          <w:spacing w:val="-3"/>
          <w:sz w:val="18"/>
        </w:rPr>
        <w:t xml:space="preserve"> </w:t>
      </w:r>
      <w:r>
        <w:rPr>
          <w:sz w:val="18"/>
        </w:rPr>
        <w:t>and</w:t>
      </w:r>
      <w:r>
        <w:rPr>
          <w:spacing w:val="-3"/>
          <w:sz w:val="18"/>
        </w:rPr>
        <w:t xml:space="preserve"> </w:t>
      </w:r>
      <w:r>
        <w:rPr>
          <w:sz w:val="18"/>
        </w:rPr>
        <w:t>Engineering,</w:t>
      </w:r>
      <w:r>
        <w:rPr>
          <w:spacing w:val="-6"/>
          <w:sz w:val="18"/>
        </w:rPr>
        <w:t xml:space="preserve"> </w:t>
      </w:r>
      <w:r>
        <w:rPr>
          <w:sz w:val="18"/>
        </w:rPr>
        <w:t>Vidyavardhaka</w:t>
      </w:r>
      <w:r>
        <w:rPr>
          <w:spacing w:val="-2"/>
          <w:sz w:val="18"/>
        </w:rPr>
        <w:t xml:space="preserve"> </w:t>
      </w:r>
      <w:r>
        <w:rPr>
          <w:sz w:val="18"/>
        </w:rPr>
        <w:t>College</w:t>
      </w:r>
      <w:r>
        <w:rPr>
          <w:spacing w:val="-3"/>
          <w:sz w:val="18"/>
        </w:rPr>
        <w:t xml:space="preserve"> </w:t>
      </w:r>
      <w:r>
        <w:rPr>
          <w:sz w:val="18"/>
        </w:rPr>
        <w:t>of</w:t>
      </w:r>
      <w:r>
        <w:rPr>
          <w:spacing w:val="-4"/>
          <w:sz w:val="18"/>
        </w:rPr>
        <w:t xml:space="preserve"> </w:t>
      </w:r>
      <w:r>
        <w:rPr>
          <w:sz w:val="18"/>
        </w:rPr>
        <w:t>Engineering,</w:t>
      </w:r>
      <w:r>
        <w:rPr>
          <w:spacing w:val="-3"/>
          <w:sz w:val="18"/>
        </w:rPr>
        <w:t xml:space="preserve"> </w:t>
      </w:r>
      <w:r>
        <w:rPr>
          <w:sz w:val="18"/>
        </w:rPr>
        <w:t>Mysore,</w:t>
      </w:r>
      <w:r>
        <w:rPr>
          <w:spacing w:val="-4"/>
          <w:sz w:val="18"/>
        </w:rPr>
        <w:t xml:space="preserve"> </w:t>
      </w:r>
      <w:r>
        <w:rPr>
          <w:sz w:val="18"/>
        </w:rPr>
        <w:t>India</w:t>
      </w:r>
    </w:p>
    <w:p w14:paraId="4777481B" w14:textId="0459140E" w:rsidR="00216FB7" w:rsidRDefault="00E009FA">
      <w:pPr>
        <w:spacing w:before="157"/>
        <w:ind w:left="889" w:right="1205"/>
        <w:jc w:val="center"/>
        <w:rPr>
          <w:sz w:val="18"/>
        </w:rPr>
      </w:pPr>
      <w:r>
        <w:rPr>
          <w:position w:val="6"/>
          <w:sz w:val="12"/>
        </w:rPr>
        <w:t xml:space="preserve">e </w:t>
      </w:r>
      <w:r>
        <w:rPr>
          <w:sz w:val="18"/>
        </w:rPr>
        <w:t>Associate</w:t>
      </w:r>
      <w:r>
        <w:rPr>
          <w:spacing w:val="-6"/>
          <w:sz w:val="18"/>
        </w:rPr>
        <w:t xml:space="preserve"> </w:t>
      </w:r>
      <w:r>
        <w:rPr>
          <w:sz w:val="18"/>
        </w:rPr>
        <w:t>Professor,</w:t>
      </w:r>
      <w:r>
        <w:rPr>
          <w:spacing w:val="-5"/>
          <w:sz w:val="18"/>
        </w:rPr>
        <w:t xml:space="preserve"> </w:t>
      </w:r>
      <w:r>
        <w:rPr>
          <w:sz w:val="18"/>
        </w:rPr>
        <w:t>Department</w:t>
      </w:r>
      <w:r>
        <w:rPr>
          <w:spacing w:val="-6"/>
          <w:sz w:val="18"/>
        </w:rPr>
        <w:t xml:space="preserve"> </w:t>
      </w:r>
      <w:r>
        <w:rPr>
          <w:sz w:val="18"/>
        </w:rPr>
        <w:t>of</w:t>
      </w:r>
      <w:r>
        <w:rPr>
          <w:spacing w:val="-4"/>
          <w:sz w:val="18"/>
        </w:rPr>
        <w:t xml:space="preserve"> </w:t>
      </w:r>
      <w:r>
        <w:rPr>
          <w:sz w:val="18"/>
        </w:rPr>
        <w:t>Computer</w:t>
      </w:r>
      <w:r>
        <w:rPr>
          <w:spacing w:val="-3"/>
          <w:sz w:val="18"/>
        </w:rPr>
        <w:t xml:space="preserve"> </w:t>
      </w:r>
      <w:r>
        <w:rPr>
          <w:sz w:val="18"/>
        </w:rPr>
        <w:t>Science</w:t>
      </w:r>
      <w:r>
        <w:rPr>
          <w:spacing w:val="-4"/>
          <w:sz w:val="18"/>
        </w:rPr>
        <w:t xml:space="preserve"> </w:t>
      </w:r>
      <w:r>
        <w:rPr>
          <w:sz w:val="18"/>
        </w:rPr>
        <w:t>and</w:t>
      </w:r>
      <w:r>
        <w:rPr>
          <w:spacing w:val="-6"/>
          <w:sz w:val="18"/>
        </w:rPr>
        <w:t xml:space="preserve"> </w:t>
      </w:r>
      <w:r>
        <w:rPr>
          <w:sz w:val="18"/>
        </w:rPr>
        <w:t>Engineering,</w:t>
      </w:r>
      <w:r>
        <w:rPr>
          <w:spacing w:val="-8"/>
          <w:sz w:val="18"/>
        </w:rPr>
        <w:t xml:space="preserve"> </w:t>
      </w:r>
      <w:r>
        <w:rPr>
          <w:sz w:val="18"/>
        </w:rPr>
        <w:t>Vidyavardhaka</w:t>
      </w:r>
      <w:r>
        <w:rPr>
          <w:spacing w:val="-4"/>
          <w:sz w:val="18"/>
        </w:rPr>
        <w:t xml:space="preserve"> </w:t>
      </w:r>
      <w:r>
        <w:rPr>
          <w:sz w:val="18"/>
        </w:rPr>
        <w:t>College</w:t>
      </w:r>
      <w:r>
        <w:rPr>
          <w:spacing w:val="-4"/>
          <w:sz w:val="18"/>
        </w:rPr>
        <w:t xml:space="preserve"> </w:t>
      </w:r>
      <w:r>
        <w:rPr>
          <w:sz w:val="18"/>
        </w:rPr>
        <w:t>of</w:t>
      </w:r>
      <w:r>
        <w:rPr>
          <w:spacing w:val="-5"/>
          <w:sz w:val="18"/>
        </w:rPr>
        <w:t xml:space="preserve"> </w:t>
      </w:r>
      <w:r>
        <w:rPr>
          <w:sz w:val="18"/>
        </w:rPr>
        <w:t>Engineering,</w:t>
      </w:r>
      <w:r>
        <w:rPr>
          <w:spacing w:val="-5"/>
          <w:sz w:val="18"/>
        </w:rPr>
        <w:t xml:space="preserve"> </w:t>
      </w:r>
      <w:r>
        <w:rPr>
          <w:sz w:val="18"/>
        </w:rPr>
        <w:t>Mysore,</w:t>
      </w:r>
      <w:r>
        <w:rPr>
          <w:spacing w:val="-4"/>
          <w:sz w:val="18"/>
        </w:rPr>
        <w:t xml:space="preserve"> </w:t>
      </w:r>
      <w:r>
        <w:rPr>
          <w:sz w:val="18"/>
        </w:rPr>
        <w:t>India</w:t>
      </w:r>
    </w:p>
    <w:p w14:paraId="4615FE10" w14:textId="77777777" w:rsidR="00216FB7" w:rsidRDefault="00216FB7">
      <w:pPr>
        <w:pStyle w:val="BodyText"/>
      </w:pPr>
    </w:p>
    <w:p w14:paraId="54C085E0" w14:textId="77777777" w:rsidR="00216FB7" w:rsidRDefault="00216FB7">
      <w:pPr>
        <w:pStyle w:val="BodyText"/>
      </w:pPr>
    </w:p>
    <w:p w14:paraId="78DCC8F3" w14:textId="77777777" w:rsidR="00216FB7" w:rsidRDefault="00000000">
      <w:pPr>
        <w:spacing w:before="151"/>
        <w:ind w:left="941"/>
        <w:rPr>
          <w:b/>
          <w:sz w:val="18"/>
        </w:rPr>
      </w:pPr>
      <w:r>
        <w:rPr>
          <w:b/>
          <w:sz w:val="18"/>
        </w:rPr>
        <w:t>Abstract</w:t>
      </w:r>
    </w:p>
    <w:p w14:paraId="4D731D7B" w14:textId="15CBEFCE" w:rsidR="00216FB7" w:rsidRDefault="00931129" w:rsidP="00931129">
      <w:pPr>
        <w:spacing w:before="70" w:line="264" w:lineRule="auto"/>
        <w:ind w:left="926" w:right="1229" w:hanging="11"/>
        <w:jc w:val="both"/>
        <w:rPr>
          <w:sz w:val="18"/>
        </w:rPr>
      </w:pPr>
      <w:r w:rsidRPr="00931129">
        <w:rPr>
          <w:sz w:val="18"/>
        </w:rPr>
        <w:t>Spinal injuries pose significant diagnostic and therapeutic hurdles due to their correlation with debilitating conditions such as myelitis, an inflammation of the spinal cord requiring prompt identification to prevent irreversible neurological damage. This survey paper explores the efficiency of deep learning (DL) models in detecting myelitis within the context of spine injuries. Drawing upon diverse clinical records and imaging data sourced from Kaggle datasets, DL algorithms are used accurately to predict the presence of myelitis. These datasets encompass a comprehensive set of patient demographics, injury types and clinical presentations, providing a robust foundation for model training and validation. This research survey delves into various DL architectures and methodologies, including convolutional neural networks (CNNs), recurrent neural networks (RNNs), and hybrid models, addressing preprocessing techniques, feature extraction, and model optimization strategies tailored to the unique challenges inherent in spine injury datasets. Furthermore, assessment of various performance metrics of these DL models, comparing sensitivity, specificity, and accuracy against traditional diagnostic methods. This survey aims to furnish a comprehensive resource for researchers and healthcare practitioners interested in deploying DL techniques for spine injury diagnosis, specifically in the realm of myelitis detection, with the overarching objective of enhancing patient outcomes and streamlining clinical decision-making processes. Comparative study of detection of spine injuries with the existing works are discussed in this research paper. It is observed that CNN provides a recognition accuracy of 92 percent and outperforms better than existing algorithms for myelitis detection.</w:t>
      </w:r>
    </w:p>
    <w:p w14:paraId="543EC5C2" w14:textId="74A86068" w:rsidR="00216FB7" w:rsidRDefault="00000000">
      <w:pPr>
        <w:spacing w:before="144"/>
        <w:ind w:left="916"/>
        <w:rPr>
          <w:sz w:val="18"/>
        </w:rPr>
      </w:pPr>
      <w:r>
        <w:rPr>
          <w:b/>
          <w:sz w:val="18"/>
        </w:rPr>
        <w:t>Keywords:</w:t>
      </w:r>
      <w:r w:rsidR="00BB6FFB" w:rsidRPr="00BB6FFB">
        <w:t xml:space="preserve"> </w:t>
      </w:r>
      <w:r w:rsidR="00BB6FFB" w:rsidRPr="00BB6FFB">
        <w:rPr>
          <w:bCs/>
          <w:sz w:val="18"/>
        </w:rPr>
        <w:t xml:space="preserve">Myelitic, Deep Learning, Convolutional Neural Networks, Medical </w:t>
      </w:r>
      <w:r w:rsidR="00E009FA" w:rsidRPr="00BB6FFB">
        <w:rPr>
          <w:bCs/>
          <w:sz w:val="18"/>
        </w:rPr>
        <w:t>MRI,</w:t>
      </w:r>
      <w:r w:rsidR="00BB6FFB" w:rsidRPr="00BB6FFB">
        <w:rPr>
          <w:bCs/>
          <w:sz w:val="18"/>
        </w:rPr>
        <w:t xml:space="preserve"> Spine trauma, Healthcare</w:t>
      </w:r>
      <w:r>
        <w:rPr>
          <w:sz w:val="18"/>
        </w:rPr>
        <w:t>.</w:t>
      </w:r>
    </w:p>
    <w:p w14:paraId="073587A9" w14:textId="77777777" w:rsidR="00216FB7" w:rsidRDefault="00216FB7">
      <w:pPr>
        <w:pStyle w:val="BodyText"/>
        <w:spacing w:before="5"/>
        <w:rPr>
          <w:sz w:val="23"/>
        </w:rPr>
      </w:pPr>
    </w:p>
    <w:p w14:paraId="2BA20C41" w14:textId="77777777" w:rsidR="00216FB7" w:rsidRDefault="00000000">
      <w:pPr>
        <w:pStyle w:val="Heading1"/>
        <w:numPr>
          <w:ilvl w:val="0"/>
          <w:numId w:val="5"/>
        </w:numPr>
        <w:tabs>
          <w:tab w:val="left" w:pos="1046"/>
        </w:tabs>
        <w:ind w:hanging="241"/>
        <w:jc w:val="both"/>
      </w:pPr>
      <w:r>
        <w:t>Introduction</w:t>
      </w:r>
    </w:p>
    <w:p w14:paraId="569580F9" w14:textId="09A70C52" w:rsidR="00931129" w:rsidRDefault="00931129" w:rsidP="00931129">
      <w:pPr>
        <w:pStyle w:val="BodyText"/>
        <w:spacing w:before="58" w:line="266" w:lineRule="auto"/>
        <w:ind w:left="916" w:right="1235"/>
        <w:jc w:val="both"/>
      </w:pPr>
      <w:r>
        <w:t xml:space="preserve">Spinal injuries are globally recognized as significant public health issues, often leading to severe physical and neurological repercussions, with myelitis emerging as a particularly complex condition due to its inflammatory impact on the spinal cord, necessitating swift and precise diagnosis to prevent irreversible neurological damage and optimize patient outcomes. Traditional diagnostic methods, like clinical assessments and standard imaging techniques, may face limitations in promptly and accurately identifying myelitis, driving increased interest in utilizing advanced computational techniques, notably deep learning (DL) models, to address these diagnostic challenges within the context of spinal injuries. DL models, a subset of artificial intelligence (AI) algorithms, have showcased remarkable capabilities in efficiently </w:t>
      </w:r>
      <w:r w:rsidR="00E009FA">
        <w:t>analyzing</w:t>
      </w:r>
      <w:r>
        <w:t xml:space="preserve"> intricate medical imaging data, such as MRI scans, with heightened accuracy. Leveraging DL models for myelitis detection offers the advantage of autonomously learning and discerning complex patterns and features from extensive medical imaging data, surpassing traditional manual feature extraction and interpretation methods, and excelling in identifying abnormalities and variations indicative of myelitis, even in cases with intricate presentations or subtle manifestations. Furthermore, DL models offer the potential for continuous learning and refinement through exposure to diverse datasets, facilitating adaptation to evolving clinical scenarios and enhancing diagnostic precision over time. By employing DL models to </w:t>
      </w:r>
      <w:r w:rsidR="00E009FA">
        <w:t>analyze</w:t>
      </w:r>
      <w:r>
        <w:t xml:space="preserve"> MRI scan copies in PNG format, clinicians and researchers can expedite the diagnostic process, enabling earlier interventions and more effective management of myelitis-linked spinal injuries. The integration of DL-based myelitis detection systems into clinical practice holds promise in overcoming existing challenges, including limited access to specialized expertise and resources, particularly in underserved areas, thereby enabling timely interventions and improving patient care outcomes. This survey paper aims to explore the utilization of DL models for myelitis detection in the context of spinal injuries, emphasizing the benefits of these techniques and their potential to address ongoing challenges in diagnosis and treatment, offering insights into current state-of-the-art approaches and future research directions in spinal injury management.</w:t>
      </w:r>
    </w:p>
    <w:p w14:paraId="0F44FF43" w14:textId="4081A773" w:rsidR="00216FB7" w:rsidRDefault="00931129" w:rsidP="00931129">
      <w:pPr>
        <w:pStyle w:val="BodyText"/>
        <w:spacing w:before="58" w:line="266" w:lineRule="auto"/>
        <w:ind w:left="916" w:right="1235"/>
        <w:jc w:val="both"/>
      </w:pPr>
      <w:r>
        <w:t>The research paper presents an in-depth exploration of the application of DL models in spinal cord detection, aiming to contribute to the ongoing advancements in medical technology and improve healthcare practices in the field of Neurologists</w:t>
      </w:r>
    </w:p>
    <w:p w14:paraId="65016AEE" w14:textId="77777777" w:rsidR="00216FB7" w:rsidRDefault="00216FB7">
      <w:pPr>
        <w:pStyle w:val="BodyText"/>
        <w:spacing w:before="1"/>
        <w:rPr>
          <w:sz w:val="23"/>
        </w:rPr>
      </w:pPr>
    </w:p>
    <w:p w14:paraId="02701225" w14:textId="6E2B98D7" w:rsidR="00216FB7" w:rsidRPr="00BB6FFB" w:rsidRDefault="00BB6FFB" w:rsidP="00BB6FFB">
      <w:pPr>
        <w:pStyle w:val="ListParagraph"/>
        <w:numPr>
          <w:ilvl w:val="1"/>
          <w:numId w:val="5"/>
        </w:numPr>
        <w:rPr>
          <w:b/>
          <w:bCs/>
          <w:sz w:val="20"/>
          <w:szCs w:val="20"/>
        </w:rPr>
      </w:pPr>
      <w:r w:rsidRPr="00BB6FFB">
        <w:rPr>
          <w:b/>
          <w:bCs/>
          <w:sz w:val="20"/>
          <w:szCs w:val="20"/>
        </w:rPr>
        <w:t xml:space="preserve">Myelitis </w:t>
      </w:r>
    </w:p>
    <w:p w14:paraId="2BB4B4E2" w14:textId="77777777" w:rsidR="00931129" w:rsidRDefault="00931129" w:rsidP="00931129">
      <w:pPr>
        <w:pStyle w:val="BodyText"/>
        <w:spacing w:before="100" w:line="266" w:lineRule="auto"/>
        <w:ind w:left="916" w:right="1396"/>
        <w:jc w:val="both"/>
      </w:pPr>
      <w:r>
        <w:t xml:space="preserve">Myelitis, characterized by inflammation of the spinal cord, can be precipitated by a variety of factors encompassing viral infections, autoimmune disorders, bacterial infections, and non-infectious inflammatory </w:t>
      </w:r>
      <w:r>
        <w:lastRenderedPageBreak/>
        <w:t>conditions such as transverse myelitis. This inflammatory process disrupts the normal transmission of nerve signals, leading to a spectrum of symptoms including limb weakness or paralysis, sensory disturbances, bladder and bowel dysfunction, pain, and in severe cases, respiratory complications.</w:t>
      </w:r>
    </w:p>
    <w:p w14:paraId="4E8C0A2F" w14:textId="77777777" w:rsidR="00931129" w:rsidRDefault="00931129" w:rsidP="00931129">
      <w:pPr>
        <w:pStyle w:val="BodyText"/>
        <w:spacing w:before="100" w:line="266" w:lineRule="auto"/>
        <w:ind w:left="916" w:right="1396"/>
        <w:jc w:val="both"/>
      </w:pPr>
      <w:r>
        <w:t>The importance of early detection of myelitis cannot be overstated, as it allows for prompt intervention to prevent further spinal cord damage and optimize patient outcomes. Timely diagnosis facilitates the implementation of targeted treatment strategies tailored to the specific underlying cause of the condition. Whether the myelitis is viral, autoimmune, or bacterial in nature, identifying the root cause enables healthcare professionals to initiate appropriate therapies aimed at minimizing long-term disability and maximizing patient recovery.</w:t>
      </w:r>
    </w:p>
    <w:p w14:paraId="6D6F7CDF" w14:textId="77777777" w:rsidR="00931129" w:rsidRDefault="00931129" w:rsidP="00931129">
      <w:pPr>
        <w:pStyle w:val="BodyText"/>
        <w:spacing w:before="100" w:line="266" w:lineRule="auto"/>
        <w:ind w:left="916" w:right="1396"/>
        <w:jc w:val="both"/>
      </w:pPr>
      <w:r>
        <w:t>Treatment for myelitis typically involves a multifaceted approach aimed at addressing both the underlying cause of inflammation and managing associated symptoms to improve overall quality of life. In cases of viral myelitis, antiviral medications may be prescribed to inhibit viral replication and reduce inflammation. For autoimmune-related myelitis, corticosteroids and immunosuppressive therapies are commonly employed to dampen the inflammatory response and prevent further damage to the spinal cord. Additionally, physical therapy and rehabilitation play integral roles in the treatment process, assisting patients in regaining strength, mobility, and function.</w:t>
      </w:r>
    </w:p>
    <w:p w14:paraId="2074B537" w14:textId="69166202" w:rsidR="00931129" w:rsidRDefault="00931129" w:rsidP="00931129">
      <w:pPr>
        <w:pStyle w:val="BodyText"/>
        <w:spacing w:before="100" w:line="266" w:lineRule="auto"/>
        <w:ind w:left="916" w:right="1396"/>
        <w:jc w:val="both"/>
      </w:pPr>
      <w:r>
        <w:t>In summary, myelitis poses a complex clinical challenge requiring a comprehensive approach to diagnosis and treatment. Early detection is crucial for timely intervention and optimal patient outcomes. By identifying the underlying cause and implementing targeted therapeutic strategies, healthcare providers can mitigate neurological damage, alleviate symptoms, and facilitate patient recovery. The Cross-Sectional view of Spinal cord is shown in Figure 1.</w:t>
      </w:r>
    </w:p>
    <w:p w14:paraId="1C0AC067" w14:textId="77777777" w:rsidR="00216FB7" w:rsidRDefault="00216FB7" w:rsidP="00931129">
      <w:pPr>
        <w:pStyle w:val="BodyText"/>
        <w:spacing w:before="151" w:line="266" w:lineRule="auto"/>
        <w:ind w:left="916" w:right="1238"/>
        <w:jc w:val="both"/>
      </w:pPr>
    </w:p>
    <w:p w14:paraId="174A26EA" w14:textId="77777777" w:rsidR="00931129" w:rsidRDefault="00931129" w:rsidP="00931129">
      <w:pPr>
        <w:pStyle w:val="BodyText"/>
        <w:spacing w:before="151" w:line="266" w:lineRule="auto"/>
        <w:ind w:left="916" w:right="1238"/>
        <w:jc w:val="both"/>
      </w:pPr>
      <w:r>
        <w:t xml:space="preserve">                                        </w:t>
      </w:r>
      <w:r>
        <w:rPr>
          <w:noProof/>
        </w:rPr>
        <w:drawing>
          <wp:inline distT="0" distB="0" distL="0" distR="0" wp14:anchorId="0C7840CB" wp14:editId="314CE4CC">
            <wp:extent cx="3035935" cy="2268220"/>
            <wp:effectExtent l="0" t="0" r="0" b="0"/>
            <wp:docPr id="170864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935" cy="2268220"/>
                    </a:xfrm>
                    <a:prstGeom prst="rect">
                      <a:avLst/>
                    </a:prstGeom>
                    <a:noFill/>
                  </pic:spPr>
                </pic:pic>
              </a:graphicData>
            </a:graphic>
          </wp:inline>
        </w:drawing>
      </w:r>
    </w:p>
    <w:p w14:paraId="72C37D22" w14:textId="77777777" w:rsidR="00931129" w:rsidRDefault="00931129" w:rsidP="00931129">
      <w:pPr>
        <w:pStyle w:val="BodyText"/>
        <w:spacing w:before="151" w:line="266" w:lineRule="auto"/>
        <w:ind w:left="916" w:right="1238"/>
        <w:jc w:val="both"/>
      </w:pPr>
    </w:p>
    <w:p w14:paraId="13F3F0EF" w14:textId="725B1E83" w:rsidR="00931129" w:rsidRDefault="00931129" w:rsidP="00931129">
      <w:pPr>
        <w:pStyle w:val="BodyText"/>
        <w:spacing w:before="151" w:line="266" w:lineRule="auto"/>
        <w:ind w:left="916" w:right="1238"/>
        <w:jc w:val="center"/>
        <w:sectPr w:rsidR="00931129" w:rsidSect="00762523">
          <w:pgSz w:w="12240" w:h="15840"/>
          <w:pgMar w:top="1360" w:right="240" w:bottom="280" w:left="620" w:header="720" w:footer="720" w:gutter="0"/>
          <w:cols w:space="720"/>
        </w:sectPr>
      </w:pPr>
      <w:r w:rsidRPr="00931129">
        <w:t>Figure 1. Cross-Sectional view of Spinal Co</w:t>
      </w:r>
      <w:r>
        <w:t>rd</w:t>
      </w:r>
    </w:p>
    <w:p w14:paraId="271A776C" w14:textId="77777777" w:rsidR="00216FB7" w:rsidRDefault="00216FB7">
      <w:pPr>
        <w:pStyle w:val="BodyText"/>
      </w:pPr>
    </w:p>
    <w:p w14:paraId="3D643623" w14:textId="77777777" w:rsidR="00216FB7" w:rsidRDefault="00216FB7">
      <w:pPr>
        <w:pStyle w:val="BodyText"/>
        <w:spacing w:before="9"/>
        <w:rPr>
          <w:sz w:val="29"/>
        </w:rPr>
      </w:pPr>
    </w:p>
    <w:p w14:paraId="487DB6A1" w14:textId="381F24B9" w:rsidR="00216FB7" w:rsidRDefault="00000000">
      <w:pPr>
        <w:pStyle w:val="Heading2"/>
        <w:numPr>
          <w:ilvl w:val="1"/>
          <w:numId w:val="5"/>
        </w:numPr>
        <w:tabs>
          <w:tab w:val="left" w:pos="1228"/>
        </w:tabs>
        <w:spacing w:before="0"/>
        <w:ind w:hanging="302"/>
      </w:pPr>
      <w:r>
        <w:rPr>
          <w:spacing w:val="-1"/>
        </w:rPr>
        <w:t>Factors</w:t>
      </w:r>
      <w:r>
        <w:rPr>
          <w:spacing w:val="-12"/>
        </w:rPr>
        <w:t xml:space="preserve"> </w:t>
      </w:r>
      <w:r>
        <w:t xml:space="preserve">Affecting </w:t>
      </w:r>
      <w:r w:rsidR="00BB6FFB">
        <w:t>Myelitis</w:t>
      </w:r>
    </w:p>
    <w:p w14:paraId="19D41722" w14:textId="02CEEDA0" w:rsidR="00216FB7" w:rsidRDefault="00BB6FFB">
      <w:pPr>
        <w:pStyle w:val="BodyText"/>
        <w:spacing w:before="100" w:line="266" w:lineRule="auto"/>
        <w:ind w:left="916" w:right="1043"/>
      </w:pPr>
      <w:r w:rsidRPr="00BB6FFB">
        <w:t xml:space="preserve">Myelitis, characterized by spinal cord inflammation, can result from various influences including infectious agents, autoimmune processes, genetic predisposition, environmental triggers, and demographic factors. Understanding these conditions is the vital role for comprehending myelitis mechanism and developing effective treatment and prevention </w:t>
      </w:r>
      <w:r w:rsidR="00E009FA" w:rsidRPr="00BB6FFB">
        <w:t>strategies.</w:t>
      </w:r>
    </w:p>
    <w:p w14:paraId="78882241" w14:textId="77777777" w:rsidR="00216FB7" w:rsidRDefault="00216FB7">
      <w:pPr>
        <w:pStyle w:val="BodyText"/>
        <w:spacing w:before="2"/>
        <w:rPr>
          <w:sz w:val="29"/>
        </w:rPr>
      </w:pPr>
    </w:p>
    <w:p w14:paraId="19970C94" w14:textId="041FB3DD" w:rsidR="00216FB7" w:rsidRDefault="00BB6FFB">
      <w:pPr>
        <w:pStyle w:val="ListParagraph"/>
        <w:numPr>
          <w:ilvl w:val="2"/>
          <w:numId w:val="5"/>
        </w:numPr>
        <w:tabs>
          <w:tab w:val="left" w:pos="1648"/>
        </w:tabs>
        <w:spacing w:line="266" w:lineRule="auto"/>
        <w:ind w:right="1233"/>
        <w:rPr>
          <w:sz w:val="20"/>
        </w:rPr>
      </w:pPr>
      <w:r w:rsidRPr="00BB6FFB">
        <w:rPr>
          <w:sz w:val="20"/>
        </w:rPr>
        <w:t>Infectious Agents: Human T-cell lymphotropic virus (HTLV), herpes simplex virus, varicella-zoster virus, enteroviruses, TB, Lyme disease, and bacteria can all cause inflammation of the spinal cord. These pathogens can harm tissues and disrupt neurological function either by directly infecting the spinal cord or by inducing an immune response</w:t>
      </w:r>
      <w:r>
        <w:rPr>
          <w:sz w:val="20"/>
        </w:rPr>
        <w:t>.</w:t>
      </w:r>
    </w:p>
    <w:p w14:paraId="52CA5212" w14:textId="77777777" w:rsidR="00216FB7" w:rsidRDefault="00216FB7">
      <w:pPr>
        <w:pStyle w:val="BodyText"/>
        <w:spacing w:before="3"/>
        <w:rPr>
          <w:sz w:val="26"/>
        </w:rPr>
      </w:pPr>
    </w:p>
    <w:p w14:paraId="36BB613E" w14:textId="3282370E" w:rsidR="00216FB7" w:rsidRDefault="00BB6FFB">
      <w:pPr>
        <w:pStyle w:val="ListParagraph"/>
        <w:numPr>
          <w:ilvl w:val="2"/>
          <w:numId w:val="5"/>
        </w:numPr>
        <w:tabs>
          <w:tab w:val="left" w:pos="1648"/>
        </w:tabs>
        <w:spacing w:line="266" w:lineRule="auto"/>
        <w:ind w:right="1233"/>
        <w:rPr>
          <w:sz w:val="20"/>
        </w:rPr>
      </w:pPr>
      <w:r w:rsidRPr="00BB6FFB">
        <w:rPr>
          <w:sz w:val="20"/>
        </w:rPr>
        <w:t xml:space="preserve">Autoimmune Processes: The central nervous system, especially the spinal cord, is the focus of immune system dysfunction in disorders such as multiple sclerosis (MS), neuromyelitis </w:t>
      </w:r>
      <w:r w:rsidR="00E009FA" w:rsidRPr="00BB6FFB">
        <w:rPr>
          <w:sz w:val="20"/>
        </w:rPr>
        <w:t>Optica</w:t>
      </w:r>
      <w:r w:rsidRPr="00BB6FFB">
        <w:rPr>
          <w:sz w:val="20"/>
        </w:rPr>
        <w:t xml:space="preserve"> (NMO), acute disseminated encephalomyelitis (ADEM), and transverse myelitis. Demyelination and inflammation can occur in autoimmune myelitis when immune cells and cytokines target myelin, axons, or other parts of the nervous system</w:t>
      </w:r>
      <w:r>
        <w:rPr>
          <w:sz w:val="20"/>
        </w:rPr>
        <w:t>.</w:t>
      </w:r>
    </w:p>
    <w:p w14:paraId="4D8E6628" w14:textId="77777777" w:rsidR="00216FB7" w:rsidRDefault="00216FB7">
      <w:pPr>
        <w:pStyle w:val="BodyText"/>
        <w:spacing w:before="4"/>
        <w:rPr>
          <w:sz w:val="26"/>
        </w:rPr>
      </w:pPr>
    </w:p>
    <w:p w14:paraId="6AF1F62E" w14:textId="70ED92EC" w:rsidR="00216FB7" w:rsidRDefault="00BB6FFB">
      <w:pPr>
        <w:pStyle w:val="ListParagraph"/>
        <w:numPr>
          <w:ilvl w:val="2"/>
          <w:numId w:val="5"/>
        </w:numPr>
        <w:tabs>
          <w:tab w:val="left" w:pos="1648"/>
        </w:tabs>
        <w:spacing w:line="266" w:lineRule="auto"/>
        <w:ind w:right="1235"/>
        <w:rPr>
          <w:sz w:val="20"/>
        </w:rPr>
      </w:pPr>
      <w:r w:rsidRPr="00BB6FFB">
        <w:rPr>
          <w:sz w:val="20"/>
        </w:rPr>
        <w:t>Genetic Predisposition: Genetic factors influence susceptibility to myelitis and spinal cord-affecting autoimmune diseases. Certain genetic variations contribute to the risk of conditions like MS, NMO, and hereditary spastic paraplegia, with myelitis as a primary symptom</w:t>
      </w:r>
      <w:r>
        <w:rPr>
          <w:sz w:val="20"/>
        </w:rPr>
        <w:t>.</w:t>
      </w:r>
    </w:p>
    <w:p w14:paraId="5F7E20E5" w14:textId="77777777" w:rsidR="00216FB7" w:rsidRDefault="00216FB7">
      <w:pPr>
        <w:pStyle w:val="BodyText"/>
        <w:spacing w:before="4"/>
        <w:rPr>
          <w:sz w:val="26"/>
        </w:rPr>
      </w:pPr>
    </w:p>
    <w:p w14:paraId="04C0D779" w14:textId="6CCE1234" w:rsidR="00216FB7" w:rsidRDefault="00BB6FFB">
      <w:pPr>
        <w:pStyle w:val="ListParagraph"/>
        <w:numPr>
          <w:ilvl w:val="2"/>
          <w:numId w:val="5"/>
        </w:numPr>
        <w:tabs>
          <w:tab w:val="left" w:pos="1648"/>
        </w:tabs>
        <w:spacing w:line="266" w:lineRule="auto"/>
        <w:ind w:right="1234"/>
        <w:rPr>
          <w:sz w:val="20"/>
        </w:rPr>
      </w:pPr>
      <w:r w:rsidRPr="00BB6FFB">
        <w:rPr>
          <w:sz w:val="20"/>
        </w:rPr>
        <w:t>Environmental Triggers: Factors such as viral infections, toxin exposure, smoking, diet, and stress can impact myelitis development. These triggers may interact with genetics and immune dysfunction, exacerbating inflammation and influencing disease onset or progression</w:t>
      </w:r>
      <w:r>
        <w:rPr>
          <w:sz w:val="20"/>
        </w:rPr>
        <w:t>.</w:t>
      </w:r>
    </w:p>
    <w:p w14:paraId="7516EE1B" w14:textId="77777777" w:rsidR="00216FB7" w:rsidRDefault="00216FB7">
      <w:pPr>
        <w:pStyle w:val="BodyText"/>
        <w:spacing w:before="4"/>
        <w:rPr>
          <w:sz w:val="24"/>
        </w:rPr>
      </w:pPr>
    </w:p>
    <w:p w14:paraId="0BB98802" w14:textId="317C46C7" w:rsidR="00216FB7" w:rsidRDefault="00BB6FFB">
      <w:pPr>
        <w:pStyle w:val="ListParagraph"/>
        <w:numPr>
          <w:ilvl w:val="2"/>
          <w:numId w:val="5"/>
        </w:numPr>
        <w:tabs>
          <w:tab w:val="left" w:pos="1648"/>
        </w:tabs>
        <w:spacing w:line="266" w:lineRule="auto"/>
        <w:ind w:right="1233"/>
        <w:rPr>
          <w:sz w:val="20"/>
        </w:rPr>
      </w:pPr>
      <w:r w:rsidRPr="00BB6FFB">
        <w:rPr>
          <w:sz w:val="20"/>
        </w:rPr>
        <w:t>Demographic Characteristics: Factors like age, sex, ethnicity, and location affect myelitis incidence and presentation. Autoimmune disorders like MS and NMO show prevalence variations among different demographic groups. Additionally, disparities in environmental factors and healthcare access may influence disease outcomes and treatment effectiveness</w:t>
      </w:r>
      <w:r>
        <w:rPr>
          <w:sz w:val="20"/>
        </w:rPr>
        <w:t>.</w:t>
      </w:r>
    </w:p>
    <w:p w14:paraId="25E73867" w14:textId="77777777" w:rsidR="00BB6FFB" w:rsidRDefault="00BB6FFB">
      <w:pPr>
        <w:spacing w:line="266" w:lineRule="auto"/>
        <w:jc w:val="both"/>
        <w:rPr>
          <w:sz w:val="20"/>
        </w:rPr>
      </w:pPr>
    </w:p>
    <w:p w14:paraId="326B97F8" w14:textId="6DDB1070" w:rsidR="00BB6FFB" w:rsidRDefault="00BB6FFB" w:rsidP="00BB6FFB">
      <w:pPr>
        <w:pStyle w:val="ListParagraph"/>
        <w:numPr>
          <w:ilvl w:val="2"/>
          <w:numId w:val="5"/>
        </w:numPr>
        <w:tabs>
          <w:tab w:val="left" w:pos="1648"/>
        </w:tabs>
        <w:spacing w:before="79" w:line="266" w:lineRule="auto"/>
        <w:ind w:right="1236"/>
        <w:rPr>
          <w:sz w:val="20"/>
        </w:rPr>
      </w:pPr>
      <w:r w:rsidRPr="00BB6FFB">
        <w:rPr>
          <w:sz w:val="20"/>
        </w:rPr>
        <w:t>Neurological and Systemic Diseases: Underlying neurological conditions, systemic autoimmune disorders, and comorbidities can heighten myelitis risk or worsen existing inflammation. Conditions such as systemic lupus erythematosus, sarcoidosis, Behçet's disease, and vasculitis may involve the spinal cord, contributing to myelitis pathogenesis</w:t>
      </w:r>
      <w:r>
        <w:rPr>
          <w:sz w:val="20"/>
        </w:rPr>
        <w:t>.</w:t>
      </w:r>
    </w:p>
    <w:p w14:paraId="12869941" w14:textId="77777777" w:rsidR="00BB6FFB" w:rsidRDefault="00BB6FFB">
      <w:pPr>
        <w:spacing w:line="266" w:lineRule="auto"/>
        <w:jc w:val="both"/>
        <w:rPr>
          <w:sz w:val="20"/>
        </w:rPr>
      </w:pPr>
    </w:p>
    <w:p w14:paraId="67A3747D" w14:textId="3347C432" w:rsidR="00BB6FFB" w:rsidRPr="00BB6FFB" w:rsidRDefault="00BB6FFB" w:rsidP="00DA4BFC">
      <w:pPr>
        <w:pStyle w:val="ListParagraph"/>
        <w:numPr>
          <w:ilvl w:val="2"/>
          <w:numId w:val="5"/>
        </w:numPr>
        <w:tabs>
          <w:tab w:val="left" w:pos="1648"/>
        </w:tabs>
        <w:spacing w:before="79" w:line="266" w:lineRule="auto"/>
        <w:ind w:right="1236"/>
        <w:jc w:val="left"/>
        <w:rPr>
          <w:sz w:val="20"/>
        </w:rPr>
        <w:sectPr w:rsidR="00BB6FFB" w:rsidRPr="00BB6FFB" w:rsidSect="00762523">
          <w:pgSz w:w="12240" w:h="15840"/>
          <w:pgMar w:top="1440" w:right="240" w:bottom="280" w:left="620" w:header="720" w:footer="720" w:gutter="0"/>
          <w:cols w:space="720"/>
        </w:sectPr>
      </w:pPr>
      <w:r w:rsidRPr="00BB6FFB">
        <w:rPr>
          <w:sz w:val="20"/>
        </w:rPr>
        <w:t>Understanding these influences is crucial for accurate diagnosis, prognosis, and treatment planning in myelitis patients. Multidisciplinary approaches integrating clinical, immunological, genetic, and environmental factors are essential for tailoring therapeutic interventions to individual patient needs. Ongoing research efforts into mechanisms and therapeutic targets offer hope for improving outcomes and quality of life for those with my</w:t>
      </w:r>
      <w:r w:rsidR="00DA4BFC">
        <w:rPr>
          <w:sz w:val="20"/>
        </w:rPr>
        <w:t xml:space="preserve">elitis. </w:t>
      </w:r>
    </w:p>
    <w:p w14:paraId="390479E1" w14:textId="33BA52FF" w:rsidR="00216FB7" w:rsidRDefault="00BB6FFB" w:rsidP="00BB6FFB">
      <w:pPr>
        <w:pStyle w:val="BodyText"/>
        <w:spacing w:before="146" w:line="266" w:lineRule="auto"/>
        <w:ind w:left="720" w:right="1239"/>
        <w:jc w:val="both"/>
      </w:pPr>
      <w:r w:rsidRPr="00BB6FFB">
        <w:lastRenderedPageBreak/>
        <w:t>The organization of the paper is as follows. Section 2 discusses about existing techniques using predictive algorithms to analyze numerous features. Literature survey is discussed in section 3. Section 4 discusses the advantages of using DL in prediction and detection of myelitis. Section 5 concludes by discussing the application of DL algorithms and approaches for detection of myelitis.</w:t>
      </w:r>
    </w:p>
    <w:p w14:paraId="7BC46E86" w14:textId="77777777" w:rsidR="00216FB7" w:rsidRDefault="00216FB7">
      <w:pPr>
        <w:pStyle w:val="BodyText"/>
        <w:rPr>
          <w:sz w:val="22"/>
        </w:rPr>
      </w:pPr>
    </w:p>
    <w:p w14:paraId="39D0F6F4" w14:textId="77777777" w:rsidR="00216FB7" w:rsidRDefault="00000000">
      <w:pPr>
        <w:pStyle w:val="Heading1"/>
        <w:numPr>
          <w:ilvl w:val="0"/>
          <w:numId w:val="3"/>
        </w:numPr>
        <w:tabs>
          <w:tab w:val="left" w:pos="1236"/>
        </w:tabs>
        <w:spacing w:before="157"/>
        <w:ind w:hanging="295"/>
        <w:jc w:val="left"/>
        <w:rPr>
          <w:rFonts w:ascii="Calibri"/>
          <w:sz w:val="28"/>
        </w:rPr>
      </w:pPr>
      <w:r>
        <w:rPr>
          <w:spacing w:val="-1"/>
        </w:rPr>
        <w:t>Existing</w:t>
      </w:r>
      <w:r>
        <w:rPr>
          <w:spacing w:val="-13"/>
        </w:rPr>
        <w:t xml:space="preserve"> </w:t>
      </w:r>
      <w:r>
        <w:t>Techniques</w:t>
      </w:r>
    </w:p>
    <w:p w14:paraId="209EB440" w14:textId="7952DA61" w:rsidR="00216FB7" w:rsidRDefault="00BB6FFB">
      <w:pPr>
        <w:pStyle w:val="BodyText"/>
        <w:spacing w:before="62"/>
        <w:ind w:left="916"/>
        <w:jc w:val="both"/>
      </w:pPr>
      <w:r w:rsidRPr="00BB6FFB">
        <w:t>In this section, a summary of existing techniques for myelitis detection is discussed</w:t>
      </w:r>
      <w:r>
        <w:t>.</w:t>
      </w:r>
    </w:p>
    <w:p w14:paraId="0375CB47" w14:textId="77777777" w:rsidR="00216FB7" w:rsidRDefault="00216FB7">
      <w:pPr>
        <w:pStyle w:val="BodyText"/>
        <w:spacing w:before="2"/>
        <w:rPr>
          <w:sz w:val="24"/>
        </w:rPr>
      </w:pPr>
    </w:p>
    <w:p w14:paraId="590415F8" w14:textId="1B6AEC91" w:rsidR="00216FB7" w:rsidRDefault="00DA4BFC">
      <w:pPr>
        <w:pStyle w:val="BodyText"/>
        <w:spacing w:before="1" w:line="266" w:lineRule="auto"/>
        <w:ind w:left="916" w:right="1236"/>
        <w:jc w:val="both"/>
      </w:pPr>
      <w:r w:rsidRPr="00DA4BFC">
        <w:t>Various techniques and algorithms have been employed for the detection of myelitis, aiming to facilitate early diagnosis and to improve patient outcomes</w:t>
      </w:r>
      <w:r>
        <w:t>:</w:t>
      </w:r>
    </w:p>
    <w:p w14:paraId="0CCBA742" w14:textId="77777777" w:rsidR="00216FB7" w:rsidRDefault="00216FB7">
      <w:pPr>
        <w:pStyle w:val="BodyText"/>
        <w:spacing w:before="2"/>
        <w:rPr>
          <w:sz w:val="22"/>
        </w:rPr>
      </w:pPr>
    </w:p>
    <w:p w14:paraId="7BDC527C" w14:textId="470EFE77" w:rsidR="00216FB7" w:rsidRDefault="00DA4BFC">
      <w:pPr>
        <w:pStyle w:val="ListParagraph"/>
        <w:numPr>
          <w:ilvl w:val="1"/>
          <w:numId w:val="3"/>
        </w:numPr>
        <w:tabs>
          <w:tab w:val="left" w:pos="1648"/>
        </w:tabs>
        <w:spacing w:line="268" w:lineRule="auto"/>
        <w:ind w:right="1238"/>
        <w:rPr>
          <w:sz w:val="20"/>
        </w:rPr>
      </w:pPr>
      <w:r w:rsidRPr="00DA4BFC">
        <w:rPr>
          <w:sz w:val="20"/>
        </w:rPr>
        <w:t>Commonly used Conventional Imaging Techniques: Myelitis is often diagnosed using conventional imaging techniques such as computed tomography (CT) and magnetic resonance imaging (MRI). Spinal cord inflammation and related anatomical abnormalities can be seen using these methods</w:t>
      </w:r>
      <w:r>
        <w:rPr>
          <w:sz w:val="20"/>
        </w:rPr>
        <w:t>.</w:t>
      </w:r>
    </w:p>
    <w:p w14:paraId="4E555223" w14:textId="45D93C60" w:rsidR="00216FB7" w:rsidRDefault="00DA4BFC">
      <w:pPr>
        <w:pStyle w:val="ListParagraph"/>
        <w:numPr>
          <w:ilvl w:val="1"/>
          <w:numId w:val="3"/>
        </w:numPr>
        <w:tabs>
          <w:tab w:val="left" w:pos="1648"/>
        </w:tabs>
        <w:spacing w:before="33" w:line="268" w:lineRule="auto"/>
        <w:ind w:right="1233"/>
        <w:rPr>
          <w:sz w:val="20"/>
        </w:rPr>
      </w:pPr>
      <w:r w:rsidRPr="00DA4BFC">
        <w:rPr>
          <w:sz w:val="20"/>
        </w:rPr>
        <w:t>Clinical Evaluation: Healthcare providers rely on clinical assessments to predict myelitis. Symptoms such as limb weakness, sensory impairments, and bladder dysfunction are evaluated to identify potential cases</w:t>
      </w:r>
      <w:r>
        <w:rPr>
          <w:sz w:val="20"/>
        </w:rPr>
        <w:t>.</w:t>
      </w:r>
    </w:p>
    <w:p w14:paraId="3A3CE28E" w14:textId="013AE577" w:rsidR="00216FB7" w:rsidRDefault="00DA4BFC">
      <w:pPr>
        <w:pStyle w:val="ListParagraph"/>
        <w:numPr>
          <w:ilvl w:val="1"/>
          <w:numId w:val="3"/>
        </w:numPr>
        <w:tabs>
          <w:tab w:val="left" w:pos="1648"/>
        </w:tabs>
        <w:spacing w:before="33" w:line="266" w:lineRule="auto"/>
        <w:ind w:right="1236"/>
        <w:rPr>
          <w:sz w:val="20"/>
        </w:rPr>
      </w:pPr>
      <w:r w:rsidRPr="00DA4BFC">
        <w:rPr>
          <w:sz w:val="20"/>
        </w:rPr>
        <w:t xml:space="preserve">The capacity of advanced algorithms, such as recurrent neural networks (RNNs) and convolutional neural networks (CNNs), to </w:t>
      </w:r>
      <w:r w:rsidR="00A7796F" w:rsidRPr="00DA4BFC">
        <w:rPr>
          <w:sz w:val="20"/>
        </w:rPr>
        <w:t>analyze</w:t>
      </w:r>
      <w:r w:rsidRPr="00DA4BFC">
        <w:rPr>
          <w:sz w:val="20"/>
        </w:rPr>
        <w:t xml:space="preserve"> complex medical imaging data has gained interest in the field of deep learning models. These algorithms enable accurate myelitis identification by automatically learning complicated patterns from MRI data</w:t>
      </w:r>
      <w:r>
        <w:rPr>
          <w:sz w:val="20"/>
        </w:rPr>
        <w:t>.</w:t>
      </w:r>
    </w:p>
    <w:p w14:paraId="4CCC3342" w14:textId="259AEDE7" w:rsidR="00216FB7" w:rsidRDefault="00DA4BFC">
      <w:pPr>
        <w:pStyle w:val="ListParagraph"/>
        <w:numPr>
          <w:ilvl w:val="1"/>
          <w:numId w:val="3"/>
        </w:numPr>
        <w:tabs>
          <w:tab w:val="left" w:pos="1648"/>
        </w:tabs>
        <w:spacing w:before="39" w:line="266" w:lineRule="auto"/>
        <w:ind w:right="1236"/>
        <w:rPr>
          <w:sz w:val="20"/>
        </w:rPr>
      </w:pPr>
      <w:r w:rsidRPr="00DA4BFC">
        <w:rPr>
          <w:sz w:val="20"/>
        </w:rPr>
        <w:t>The use of machine learning algorithms allows for the prediction of myelitis using techniques such as Support Vector Machine (SVM), Decision Trees, and Random Forest. These algorithms sort patients into those with and without myelitis based on clinical and imaging data that they detect</w:t>
      </w:r>
      <w:r>
        <w:rPr>
          <w:sz w:val="20"/>
        </w:rPr>
        <w:t>.</w:t>
      </w:r>
    </w:p>
    <w:p w14:paraId="50D7445E" w14:textId="5715DF8A" w:rsidR="00216FB7" w:rsidRDefault="00DA4BFC">
      <w:pPr>
        <w:pStyle w:val="ListParagraph"/>
        <w:numPr>
          <w:ilvl w:val="1"/>
          <w:numId w:val="3"/>
        </w:numPr>
        <w:tabs>
          <w:tab w:val="left" w:pos="1648"/>
        </w:tabs>
        <w:spacing w:before="41" w:line="266" w:lineRule="auto"/>
        <w:ind w:right="1236"/>
        <w:rPr>
          <w:sz w:val="20"/>
        </w:rPr>
      </w:pPr>
      <w:r w:rsidRPr="00DA4BFC">
        <w:rPr>
          <w:sz w:val="20"/>
        </w:rPr>
        <w:t>Biomarker Analysis: Research explores biomarkers like cytokine levels in cerebrospinal fluid or blood as potential indicators of myelitis. Such analysis offers insights into the inflammatory mechanisms underlying myelitis, aiding in prediction and diagnosis</w:t>
      </w:r>
      <w:r>
        <w:rPr>
          <w:sz w:val="20"/>
        </w:rPr>
        <w:t>.</w:t>
      </w:r>
    </w:p>
    <w:p w14:paraId="6D66985F" w14:textId="53998E21" w:rsidR="00216FB7" w:rsidRDefault="00DA4BFC">
      <w:pPr>
        <w:pStyle w:val="ListParagraph"/>
        <w:numPr>
          <w:ilvl w:val="1"/>
          <w:numId w:val="3"/>
        </w:numPr>
        <w:tabs>
          <w:tab w:val="left" w:pos="1648"/>
        </w:tabs>
        <w:spacing w:before="41" w:line="268" w:lineRule="auto"/>
        <w:ind w:right="1237"/>
        <w:rPr>
          <w:sz w:val="20"/>
        </w:rPr>
      </w:pPr>
      <w:r w:rsidRPr="00DA4BFC">
        <w:rPr>
          <w:sz w:val="20"/>
        </w:rPr>
        <w:t>Pattern Recognition Approaches: Pattern recognition methods, including texture analysis and shape-based features, are investigated for their ability to identify distinctive patterns of spinal cord inflammation characteristic of myelitis on medical images</w:t>
      </w:r>
      <w:r>
        <w:rPr>
          <w:sz w:val="20"/>
        </w:rPr>
        <w:t>.</w:t>
      </w:r>
    </w:p>
    <w:p w14:paraId="13F066A1" w14:textId="3C850A58" w:rsidR="00216FB7" w:rsidRDefault="00DA4BFC">
      <w:pPr>
        <w:pStyle w:val="ListParagraph"/>
        <w:numPr>
          <w:ilvl w:val="1"/>
          <w:numId w:val="3"/>
        </w:numPr>
        <w:tabs>
          <w:tab w:val="left" w:pos="1648"/>
        </w:tabs>
        <w:spacing w:before="107" w:line="268" w:lineRule="auto"/>
        <w:ind w:right="1239"/>
        <w:rPr>
          <w:sz w:val="20"/>
        </w:rPr>
      </w:pPr>
      <w:r w:rsidRPr="00DA4BFC">
        <w:rPr>
          <w:sz w:val="20"/>
        </w:rPr>
        <w:t>Integrated Diagnostic Systems: Studies propose integrated diagnostic systems that amalgamate various modalities, such as clinical data, imaging results, and biomarker assessments, to enhance the accuracy of myelitis prediction and diagnosis</w:t>
      </w:r>
      <w:r>
        <w:rPr>
          <w:sz w:val="20"/>
        </w:rPr>
        <w:t>.</w:t>
      </w:r>
    </w:p>
    <w:p w14:paraId="04B6CB66" w14:textId="77777777" w:rsidR="00216FB7" w:rsidRDefault="00216FB7">
      <w:pPr>
        <w:spacing w:line="268" w:lineRule="auto"/>
        <w:jc w:val="both"/>
        <w:rPr>
          <w:sz w:val="20"/>
        </w:rPr>
      </w:pPr>
    </w:p>
    <w:p w14:paraId="39BEAF11" w14:textId="77777777" w:rsidR="00DA4BFC" w:rsidRDefault="00DA4BFC" w:rsidP="00DA4BFC">
      <w:pPr>
        <w:spacing w:line="268" w:lineRule="auto"/>
        <w:ind w:left="720"/>
        <w:jc w:val="both"/>
        <w:rPr>
          <w:sz w:val="20"/>
        </w:rPr>
      </w:pPr>
    </w:p>
    <w:p w14:paraId="68D912EE" w14:textId="77777777" w:rsidR="00DA4BFC" w:rsidRDefault="00DA4BFC" w:rsidP="00DA4BFC">
      <w:pPr>
        <w:spacing w:line="268" w:lineRule="auto"/>
        <w:ind w:left="720"/>
        <w:jc w:val="both"/>
        <w:rPr>
          <w:sz w:val="20"/>
        </w:rPr>
      </w:pPr>
    </w:p>
    <w:p w14:paraId="089DFA8B" w14:textId="77777777" w:rsidR="00DA4BFC" w:rsidRDefault="00DA4BFC" w:rsidP="00DA4BFC">
      <w:pPr>
        <w:spacing w:line="268" w:lineRule="auto"/>
        <w:jc w:val="both"/>
        <w:rPr>
          <w:sz w:val="20"/>
        </w:rPr>
        <w:sectPr w:rsidR="00DA4BFC" w:rsidSect="00762523">
          <w:pgSz w:w="12240" w:h="15840"/>
          <w:pgMar w:top="1360" w:right="240" w:bottom="280" w:left="620" w:header="720" w:footer="720" w:gutter="0"/>
          <w:cols w:space="720"/>
        </w:sectPr>
      </w:pPr>
    </w:p>
    <w:p w14:paraId="2FA167FC" w14:textId="77777777" w:rsidR="00216FB7" w:rsidRDefault="00216FB7">
      <w:pPr>
        <w:pStyle w:val="BodyText"/>
      </w:pPr>
    </w:p>
    <w:p w14:paraId="5E1EFEF2" w14:textId="77777777" w:rsidR="00216FB7" w:rsidRDefault="00216FB7">
      <w:pPr>
        <w:pStyle w:val="BodyText"/>
      </w:pPr>
    </w:p>
    <w:p w14:paraId="66275FEE" w14:textId="77777777" w:rsidR="00216FB7" w:rsidRDefault="00216FB7">
      <w:pPr>
        <w:pStyle w:val="BodyText"/>
      </w:pPr>
    </w:p>
    <w:p w14:paraId="0F981B62" w14:textId="77777777" w:rsidR="00216FB7" w:rsidRDefault="00216FB7">
      <w:pPr>
        <w:pStyle w:val="BodyText"/>
      </w:pPr>
    </w:p>
    <w:p w14:paraId="595F43FC" w14:textId="77777777" w:rsidR="00216FB7" w:rsidRDefault="00216FB7">
      <w:pPr>
        <w:pStyle w:val="BodyText"/>
      </w:pPr>
    </w:p>
    <w:p w14:paraId="36BFFC08" w14:textId="77777777" w:rsidR="00216FB7" w:rsidRDefault="00216FB7">
      <w:pPr>
        <w:pStyle w:val="BodyText"/>
      </w:pPr>
    </w:p>
    <w:p w14:paraId="7E347E71" w14:textId="77777777" w:rsidR="00216FB7" w:rsidRDefault="00216FB7">
      <w:pPr>
        <w:pStyle w:val="BodyText"/>
        <w:spacing w:before="11"/>
        <w:rPr>
          <w:sz w:val="17"/>
        </w:rPr>
      </w:pPr>
    </w:p>
    <w:p w14:paraId="3EE3B674" w14:textId="121D4F03" w:rsidR="00216FB7" w:rsidRDefault="00000000">
      <w:pPr>
        <w:pStyle w:val="Heading2"/>
        <w:numPr>
          <w:ilvl w:val="1"/>
          <w:numId w:val="2"/>
        </w:numPr>
        <w:tabs>
          <w:tab w:val="left" w:pos="1228"/>
        </w:tabs>
        <w:spacing w:before="92"/>
        <w:rPr>
          <w:b w:val="0"/>
        </w:rPr>
      </w:pPr>
      <w:r>
        <w:rPr>
          <w:spacing w:val="-1"/>
        </w:rPr>
        <w:t>General</w:t>
      </w:r>
      <w:r>
        <w:rPr>
          <w:spacing w:val="-12"/>
        </w:rPr>
        <w:t xml:space="preserve"> </w:t>
      </w:r>
      <w:r>
        <w:rPr>
          <w:spacing w:val="-1"/>
        </w:rPr>
        <w:t>Architecture</w:t>
      </w:r>
      <w:r>
        <w:t xml:space="preserve"> of</w:t>
      </w:r>
      <w:r>
        <w:rPr>
          <w:spacing w:val="2"/>
        </w:rPr>
        <w:t xml:space="preserve"> </w:t>
      </w:r>
      <w:r w:rsidR="00CF089C">
        <w:t>Myelitis</w:t>
      </w:r>
      <w:r>
        <w:t xml:space="preserve"> Detection</w:t>
      </w:r>
      <w:r>
        <w:rPr>
          <w:b w:val="0"/>
        </w:rPr>
        <w:t>:</w:t>
      </w:r>
    </w:p>
    <w:p w14:paraId="64C24661" w14:textId="77777777" w:rsidR="00A7796F" w:rsidRDefault="00A7796F" w:rsidP="00A7796F">
      <w:pPr>
        <w:pStyle w:val="Heading2"/>
        <w:tabs>
          <w:tab w:val="left" w:pos="1228"/>
        </w:tabs>
        <w:spacing w:before="92"/>
        <w:ind w:left="926" w:firstLine="0"/>
        <w:rPr>
          <w:b w:val="0"/>
        </w:rPr>
      </w:pPr>
    </w:p>
    <w:p w14:paraId="40DB4E4B" w14:textId="0C12D115" w:rsidR="00216FB7" w:rsidRDefault="00A7796F" w:rsidP="00A7796F">
      <w:pPr>
        <w:pStyle w:val="BodyText"/>
        <w:spacing w:before="9"/>
        <w:ind w:left="926"/>
        <w:rPr>
          <w:sz w:val="26"/>
        </w:rPr>
      </w:pPr>
      <w:r w:rsidRPr="00A7796F">
        <w:t>The general architecture of Myelitis detection is described in sex steps and same is shown in Figure</w:t>
      </w:r>
      <w:r w:rsidRPr="00A7796F">
        <w:rPr>
          <w:sz w:val="26"/>
        </w:rPr>
        <w:t xml:space="preserve"> 2.</w:t>
      </w:r>
    </w:p>
    <w:p w14:paraId="4E48D0D5" w14:textId="25731CA6" w:rsidR="00A7796F" w:rsidRDefault="00A7796F" w:rsidP="00A7796F">
      <w:pPr>
        <w:pStyle w:val="BodyText"/>
        <w:spacing w:before="9"/>
        <w:ind w:left="926"/>
        <w:rPr>
          <w:sz w:val="26"/>
        </w:rPr>
      </w:pPr>
      <w:r>
        <w:rPr>
          <w:sz w:val="26"/>
        </w:rPr>
        <w:t xml:space="preserve">                                   </w:t>
      </w:r>
      <w:r>
        <w:rPr>
          <w:noProof/>
          <w:sz w:val="26"/>
        </w:rPr>
        <w:drawing>
          <wp:inline distT="0" distB="0" distL="0" distR="0" wp14:anchorId="4F6AD3D9" wp14:editId="33991770">
            <wp:extent cx="3188335" cy="3792220"/>
            <wp:effectExtent l="0" t="0" r="0" b="0"/>
            <wp:docPr id="1799612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3792220"/>
                    </a:xfrm>
                    <a:prstGeom prst="rect">
                      <a:avLst/>
                    </a:prstGeom>
                    <a:noFill/>
                  </pic:spPr>
                </pic:pic>
              </a:graphicData>
            </a:graphic>
          </wp:inline>
        </w:drawing>
      </w:r>
    </w:p>
    <w:p w14:paraId="38575808" w14:textId="08FFF19C" w:rsidR="00216FB7" w:rsidRDefault="00000000">
      <w:pPr>
        <w:spacing w:before="79"/>
        <w:ind w:left="886" w:right="1205"/>
        <w:jc w:val="center"/>
        <w:rPr>
          <w:sz w:val="18"/>
        </w:rPr>
      </w:pPr>
      <w:bookmarkStart w:id="0" w:name="_Hlk166159099"/>
      <w:r>
        <w:rPr>
          <w:b/>
          <w:sz w:val="18"/>
        </w:rPr>
        <w:t>Fig</w:t>
      </w:r>
      <w:r>
        <w:rPr>
          <w:b/>
          <w:spacing w:val="-2"/>
          <w:sz w:val="18"/>
        </w:rPr>
        <w:t xml:space="preserve"> </w:t>
      </w:r>
      <w:r>
        <w:rPr>
          <w:b/>
          <w:sz w:val="18"/>
        </w:rPr>
        <w:t>2:</w:t>
      </w:r>
      <w:r>
        <w:rPr>
          <w:b/>
          <w:spacing w:val="-3"/>
          <w:sz w:val="18"/>
        </w:rPr>
        <w:t xml:space="preserve"> </w:t>
      </w:r>
      <w:r>
        <w:rPr>
          <w:sz w:val="18"/>
        </w:rPr>
        <w:t>Flowchart</w:t>
      </w:r>
      <w:r>
        <w:rPr>
          <w:spacing w:val="-3"/>
          <w:sz w:val="18"/>
        </w:rPr>
        <w:t xml:space="preserve"> </w:t>
      </w:r>
      <w:r>
        <w:rPr>
          <w:sz w:val="18"/>
        </w:rPr>
        <w:t>of</w:t>
      </w:r>
      <w:r>
        <w:rPr>
          <w:spacing w:val="-2"/>
          <w:sz w:val="18"/>
        </w:rPr>
        <w:t xml:space="preserve"> </w:t>
      </w:r>
      <w:r>
        <w:rPr>
          <w:sz w:val="18"/>
        </w:rPr>
        <w:t>general</w:t>
      </w:r>
      <w:r>
        <w:rPr>
          <w:spacing w:val="-1"/>
          <w:sz w:val="18"/>
        </w:rPr>
        <w:t xml:space="preserve"> </w:t>
      </w:r>
      <w:r>
        <w:rPr>
          <w:sz w:val="18"/>
        </w:rPr>
        <w:t>architecture</w:t>
      </w:r>
      <w:r>
        <w:rPr>
          <w:spacing w:val="-2"/>
          <w:sz w:val="18"/>
        </w:rPr>
        <w:t xml:space="preserve"> </w:t>
      </w:r>
      <w:r>
        <w:rPr>
          <w:sz w:val="18"/>
        </w:rPr>
        <w:t>of</w:t>
      </w:r>
      <w:r>
        <w:rPr>
          <w:spacing w:val="-3"/>
          <w:sz w:val="18"/>
        </w:rPr>
        <w:t xml:space="preserve"> </w:t>
      </w:r>
      <w:r w:rsidR="00CF089C">
        <w:rPr>
          <w:sz w:val="18"/>
        </w:rPr>
        <w:t>myelitis</w:t>
      </w:r>
      <w:r>
        <w:rPr>
          <w:spacing w:val="-1"/>
          <w:sz w:val="18"/>
        </w:rPr>
        <w:t xml:space="preserve"> </w:t>
      </w:r>
      <w:r>
        <w:rPr>
          <w:sz w:val="18"/>
        </w:rPr>
        <w:t>detection.</w:t>
      </w:r>
      <w:r>
        <w:rPr>
          <w:spacing w:val="-3"/>
          <w:sz w:val="18"/>
        </w:rPr>
        <w:t xml:space="preserve"> </w:t>
      </w:r>
      <w:r>
        <w:rPr>
          <w:sz w:val="18"/>
        </w:rPr>
        <w:t>[5]</w:t>
      </w:r>
    </w:p>
    <w:p w14:paraId="09D8FB02" w14:textId="77777777" w:rsidR="00216FB7" w:rsidRDefault="00216FB7">
      <w:pPr>
        <w:pStyle w:val="BodyText"/>
        <w:spacing w:before="7"/>
        <w:rPr>
          <w:sz w:val="19"/>
        </w:rPr>
      </w:pPr>
    </w:p>
    <w:p w14:paraId="642235DE" w14:textId="07872D23" w:rsidR="00216FB7" w:rsidRDefault="00000000">
      <w:pPr>
        <w:pStyle w:val="BodyText"/>
        <w:spacing w:before="1"/>
        <w:ind w:left="916"/>
      </w:pPr>
      <w:bookmarkStart w:id="1" w:name="_Hlk166159123"/>
      <w:bookmarkStart w:id="2" w:name="_Hlk166159184"/>
      <w:bookmarkEnd w:id="0"/>
      <w:r>
        <w:t>The</w:t>
      </w:r>
      <w:r>
        <w:rPr>
          <w:spacing w:val="-1"/>
        </w:rPr>
        <w:t xml:space="preserve"> </w:t>
      </w:r>
      <w:r>
        <w:t>comprehensive</w:t>
      </w:r>
      <w:r>
        <w:rPr>
          <w:spacing w:val="-3"/>
        </w:rPr>
        <w:t xml:space="preserve"> </w:t>
      </w:r>
      <w:r>
        <w:t>design</w:t>
      </w:r>
      <w:r>
        <w:rPr>
          <w:spacing w:val="-1"/>
        </w:rPr>
        <w:t xml:space="preserve"> </w:t>
      </w:r>
      <w:r>
        <w:t>of</w:t>
      </w:r>
      <w:r>
        <w:rPr>
          <w:spacing w:val="-1"/>
        </w:rPr>
        <w:t xml:space="preserve"> </w:t>
      </w:r>
      <w:r>
        <w:t>the</w:t>
      </w:r>
      <w:r>
        <w:rPr>
          <w:spacing w:val="-2"/>
        </w:rPr>
        <w:t xml:space="preserve"> </w:t>
      </w:r>
      <w:r>
        <w:t>detection</w:t>
      </w:r>
      <w:r>
        <w:rPr>
          <w:spacing w:val="-1"/>
        </w:rPr>
        <w:t xml:space="preserve"> </w:t>
      </w:r>
      <w:r>
        <w:t>of the</w:t>
      </w:r>
      <w:r>
        <w:rPr>
          <w:spacing w:val="-3"/>
        </w:rPr>
        <w:t xml:space="preserve"> </w:t>
      </w:r>
      <w:r w:rsidR="00CF089C">
        <w:t>myelitis</w:t>
      </w:r>
      <w:r>
        <w:t xml:space="preserve"> is</w:t>
      </w:r>
      <w:r>
        <w:rPr>
          <w:spacing w:val="-2"/>
        </w:rPr>
        <w:t xml:space="preserve"> </w:t>
      </w:r>
      <w:r>
        <w:t>presented</w:t>
      </w:r>
      <w:r>
        <w:rPr>
          <w:spacing w:val="-1"/>
        </w:rPr>
        <w:t xml:space="preserve"> </w:t>
      </w:r>
      <w:r>
        <w:t>in</w:t>
      </w:r>
      <w:r>
        <w:rPr>
          <w:spacing w:val="-2"/>
        </w:rPr>
        <w:t xml:space="preserve"> </w:t>
      </w:r>
      <w:r>
        <w:t>Figure</w:t>
      </w:r>
      <w:r>
        <w:rPr>
          <w:spacing w:val="-3"/>
        </w:rPr>
        <w:t xml:space="preserve"> </w:t>
      </w:r>
      <w:r>
        <w:t>2.</w:t>
      </w:r>
      <w:r>
        <w:rPr>
          <w:spacing w:val="-5"/>
        </w:rPr>
        <w:t xml:space="preserve"> </w:t>
      </w:r>
      <w:r>
        <w:t>The steps</w:t>
      </w:r>
      <w:r>
        <w:rPr>
          <w:spacing w:val="-1"/>
        </w:rPr>
        <w:t xml:space="preserve"> </w:t>
      </w:r>
      <w:r>
        <w:t>are</w:t>
      </w:r>
      <w:r>
        <w:rPr>
          <w:spacing w:val="-1"/>
        </w:rPr>
        <w:t xml:space="preserve"> </w:t>
      </w:r>
      <w:r>
        <w:t>as follows:</w:t>
      </w:r>
    </w:p>
    <w:p w14:paraId="0F79840E" w14:textId="26CDFC7B" w:rsidR="00216FB7" w:rsidRDefault="00CF089C">
      <w:pPr>
        <w:pStyle w:val="ListParagraph"/>
        <w:numPr>
          <w:ilvl w:val="2"/>
          <w:numId w:val="2"/>
        </w:numPr>
        <w:tabs>
          <w:tab w:val="left" w:pos="1647"/>
          <w:tab w:val="left" w:pos="1648"/>
        </w:tabs>
        <w:spacing w:before="120" w:line="268" w:lineRule="auto"/>
        <w:ind w:right="1234"/>
        <w:jc w:val="left"/>
        <w:rPr>
          <w:sz w:val="20"/>
        </w:rPr>
      </w:pPr>
      <w:bookmarkStart w:id="3" w:name="_Hlk166159135"/>
      <w:bookmarkEnd w:id="2"/>
      <w:r w:rsidRPr="00CF089C">
        <w:rPr>
          <w:sz w:val="20"/>
        </w:rPr>
        <w:t>Data Collection: Acquire diverse medical imaging datasets comprising MRI scans and related medical data concerning spinal cord injuries and myelitis</w:t>
      </w:r>
    </w:p>
    <w:p w14:paraId="43CBD0F9" w14:textId="0836D0E2" w:rsidR="00216FB7" w:rsidRDefault="00CF089C">
      <w:pPr>
        <w:pStyle w:val="ListParagraph"/>
        <w:numPr>
          <w:ilvl w:val="2"/>
          <w:numId w:val="2"/>
        </w:numPr>
        <w:tabs>
          <w:tab w:val="left" w:pos="1647"/>
          <w:tab w:val="left" w:pos="1648"/>
        </w:tabs>
        <w:spacing w:before="33" w:line="268" w:lineRule="auto"/>
        <w:ind w:right="1239"/>
        <w:jc w:val="left"/>
        <w:rPr>
          <w:sz w:val="20"/>
        </w:rPr>
      </w:pPr>
      <w:r w:rsidRPr="00CF089C">
        <w:rPr>
          <w:sz w:val="20"/>
        </w:rPr>
        <w:t>Data Preprocessing: Clean, organize, and standardize the collected data to ensure consistency and prepare it for input into the Deep Learning model, addressing issues such as noise reduction and normalization</w:t>
      </w:r>
      <w:r>
        <w:rPr>
          <w:sz w:val="20"/>
        </w:rPr>
        <w:t>.</w:t>
      </w:r>
    </w:p>
    <w:p w14:paraId="7D1CA9A9" w14:textId="742B2CBA" w:rsidR="00216FB7" w:rsidRDefault="00CF089C">
      <w:pPr>
        <w:pStyle w:val="ListParagraph"/>
        <w:numPr>
          <w:ilvl w:val="2"/>
          <w:numId w:val="2"/>
        </w:numPr>
        <w:tabs>
          <w:tab w:val="left" w:pos="1647"/>
          <w:tab w:val="left" w:pos="1648"/>
        </w:tabs>
        <w:spacing w:before="32" w:line="268" w:lineRule="auto"/>
        <w:ind w:right="1238"/>
        <w:jc w:val="left"/>
        <w:rPr>
          <w:sz w:val="20"/>
        </w:rPr>
      </w:pPr>
      <w:r w:rsidRPr="00CF089C">
        <w:rPr>
          <w:sz w:val="20"/>
        </w:rPr>
        <w:t>Feature Extraction: Extract relevant features from the pre-processed data, such as specific patterns or characteristics indicative of spinal cord injuries or myelitis, to enhance the model's ability to make accurate diagnoses</w:t>
      </w:r>
      <w:r>
        <w:rPr>
          <w:sz w:val="20"/>
        </w:rPr>
        <w:t>.</w:t>
      </w:r>
    </w:p>
    <w:p w14:paraId="4FA5A3FE" w14:textId="7B820D58" w:rsidR="00216FB7" w:rsidRDefault="00CF089C">
      <w:pPr>
        <w:pStyle w:val="ListParagraph"/>
        <w:numPr>
          <w:ilvl w:val="2"/>
          <w:numId w:val="2"/>
        </w:numPr>
        <w:tabs>
          <w:tab w:val="left" w:pos="1647"/>
          <w:tab w:val="left" w:pos="1648"/>
        </w:tabs>
        <w:spacing w:before="32" w:line="268" w:lineRule="auto"/>
        <w:ind w:right="1236"/>
        <w:jc w:val="left"/>
        <w:rPr>
          <w:sz w:val="20"/>
        </w:rPr>
      </w:pPr>
      <w:r w:rsidRPr="00CF089C">
        <w:rPr>
          <w:sz w:val="20"/>
        </w:rPr>
        <w:t xml:space="preserve">Deep Learning Model Development: Design and train the Deep Learning model, incorporating advanced techniques and architectures suited for </w:t>
      </w:r>
      <w:r w:rsidR="00E009FA" w:rsidRPr="00CF089C">
        <w:rPr>
          <w:sz w:val="20"/>
        </w:rPr>
        <w:t>analyzing</w:t>
      </w:r>
      <w:r w:rsidRPr="00CF089C">
        <w:rPr>
          <w:sz w:val="20"/>
        </w:rPr>
        <w:t xml:space="preserve"> medical imaging data and detecting spinal cord issues with precision</w:t>
      </w:r>
      <w:r>
        <w:rPr>
          <w:sz w:val="20"/>
        </w:rPr>
        <w:t>.</w:t>
      </w:r>
    </w:p>
    <w:p w14:paraId="20911AD2" w14:textId="37141A91" w:rsidR="00216FB7" w:rsidRDefault="00CF089C">
      <w:pPr>
        <w:pStyle w:val="ListParagraph"/>
        <w:numPr>
          <w:ilvl w:val="2"/>
          <w:numId w:val="2"/>
        </w:numPr>
        <w:tabs>
          <w:tab w:val="left" w:pos="1647"/>
          <w:tab w:val="left" w:pos="1648"/>
        </w:tabs>
        <w:spacing w:before="33" w:line="268" w:lineRule="auto"/>
        <w:ind w:right="1235"/>
        <w:jc w:val="left"/>
        <w:rPr>
          <w:sz w:val="20"/>
        </w:rPr>
      </w:pPr>
      <w:r w:rsidRPr="00CF089C">
        <w:rPr>
          <w:sz w:val="20"/>
        </w:rPr>
        <w:t>Model Validation and Optimization: Validate the model's performance using rigorous testing procedures and optimize its parameters to ensure high accuracy and reliability in diagnosing spinal cord problems</w:t>
      </w:r>
      <w:r>
        <w:rPr>
          <w:sz w:val="20"/>
        </w:rPr>
        <w:t>.</w:t>
      </w:r>
    </w:p>
    <w:p w14:paraId="79BEB211" w14:textId="77777777" w:rsidR="00216FB7" w:rsidRDefault="00216FB7">
      <w:pPr>
        <w:spacing w:line="268" w:lineRule="auto"/>
        <w:rPr>
          <w:sz w:val="20"/>
        </w:rPr>
        <w:sectPr w:rsidR="00216FB7" w:rsidSect="00762523">
          <w:pgSz w:w="12240" w:h="15840"/>
          <w:pgMar w:top="1500" w:right="240" w:bottom="280" w:left="620" w:header="720" w:footer="720" w:gutter="0"/>
          <w:cols w:space="720"/>
        </w:sectPr>
      </w:pPr>
    </w:p>
    <w:p w14:paraId="23C236D4" w14:textId="29AE332A" w:rsidR="00216FB7" w:rsidRDefault="00CF089C">
      <w:pPr>
        <w:pStyle w:val="ListParagraph"/>
        <w:numPr>
          <w:ilvl w:val="2"/>
          <w:numId w:val="2"/>
        </w:numPr>
        <w:tabs>
          <w:tab w:val="left" w:pos="1647"/>
          <w:tab w:val="left" w:pos="1648"/>
        </w:tabs>
        <w:spacing w:before="60"/>
        <w:ind w:hanging="362"/>
        <w:jc w:val="left"/>
        <w:rPr>
          <w:sz w:val="24"/>
        </w:rPr>
      </w:pPr>
      <w:r w:rsidRPr="00CF089C">
        <w:rPr>
          <w:sz w:val="20"/>
          <w:szCs w:val="20"/>
        </w:rPr>
        <w:lastRenderedPageBreak/>
        <w:t>Real-time Integration and Deployment: Integrate the trained model into a real-time decision support system, ensuring seamless deployment in clinical settings for prompt interventions and aiding healthcare professionals in diagnosing spinal cord issues effectively.</w:t>
      </w:r>
    </w:p>
    <w:bookmarkEnd w:id="1"/>
    <w:bookmarkEnd w:id="3"/>
    <w:p w14:paraId="6CBE3835" w14:textId="3EBB0AA2" w:rsidR="00216FB7" w:rsidRDefault="00CF089C">
      <w:pPr>
        <w:pStyle w:val="BodyText"/>
        <w:spacing w:before="9"/>
        <w:rPr>
          <w:sz w:val="25"/>
        </w:rPr>
      </w:pPr>
      <w:r>
        <w:rPr>
          <w:noProof/>
        </w:rPr>
        <w:t xml:space="preserve">                                                                       </w:t>
      </w:r>
      <w:r>
        <w:rPr>
          <w:noProof/>
          <w:sz w:val="25"/>
        </w:rPr>
        <w:drawing>
          <wp:inline distT="0" distB="0" distL="0" distR="0" wp14:anchorId="3FA3ED78" wp14:editId="77CED5AB">
            <wp:extent cx="3023870" cy="2237740"/>
            <wp:effectExtent l="0" t="0" r="5080" b="0"/>
            <wp:docPr id="1589029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870" cy="2237740"/>
                    </a:xfrm>
                    <a:prstGeom prst="rect">
                      <a:avLst/>
                    </a:prstGeom>
                    <a:noFill/>
                  </pic:spPr>
                </pic:pic>
              </a:graphicData>
            </a:graphic>
          </wp:inline>
        </w:drawing>
      </w:r>
    </w:p>
    <w:p w14:paraId="587F373F" w14:textId="77777777" w:rsidR="00216FB7" w:rsidRDefault="00000000">
      <w:pPr>
        <w:ind w:left="912" w:right="1075"/>
        <w:jc w:val="center"/>
        <w:rPr>
          <w:sz w:val="18"/>
        </w:rPr>
      </w:pPr>
      <w:r>
        <w:rPr>
          <w:b/>
          <w:sz w:val="18"/>
        </w:rPr>
        <w:t>Fig</w:t>
      </w:r>
      <w:r>
        <w:rPr>
          <w:b/>
          <w:spacing w:val="-2"/>
          <w:sz w:val="18"/>
        </w:rPr>
        <w:t xml:space="preserve"> </w:t>
      </w:r>
      <w:r>
        <w:rPr>
          <w:b/>
          <w:sz w:val="18"/>
        </w:rPr>
        <w:t>3</w:t>
      </w:r>
      <w:r>
        <w:rPr>
          <w:sz w:val="18"/>
        </w:rPr>
        <w:t>:</w:t>
      </w:r>
      <w:r>
        <w:rPr>
          <w:spacing w:val="-1"/>
          <w:sz w:val="18"/>
        </w:rPr>
        <w:t xml:space="preserve"> </w:t>
      </w:r>
      <w:r>
        <w:rPr>
          <w:sz w:val="18"/>
        </w:rPr>
        <w:t>Schematic</w:t>
      </w:r>
      <w:r>
        <w:rPr>
          <w:spacing w:val="-1"/>
          <w:sz w:val="18"/>
        </w:rPr>
        <w:t xml:space="preserve"> </w:t>
      </w:r>
      <w:r>
        <w:rPr>
          <w:sz w:val="18"/>
        </w:rPr>
        <w:t>representation</w:t>
      </w:r>
      <w:r>
        <w:rPr>
          <w:spacing w:val="-4"/>
          <w:sz w:val="18"/>
        </w:rPr>
        <w:t xml:space="preserve"> </w:t>
      </w:r>
      <w:r>
        <w:rPr>
          <w:sz w:val="18"/>
        </w:rPr>
        <w:t>of</w:t>
      </w:r>
      <w:r>
        <w:rPr>
          <w:spacing w:val="-1"/>
          <w:sz w:val="18"/>
        </w:rPr>
        <w:t xml:space="preserve"> </w:t>
      </w:r>
      <w:r>
        <w:rPr>
          <w:sz w:val="18"/>
        </w:rPr>
        <w:t>the</w:t>
      </w:r>
      <w:r>
        <w:rPr>
          <w:spacing w:val="-1"/>
          <w:sz w:val="18"/>
        </w:rPr>
        <w:t xml:space="preserve"> </w:t>
      </w:r>
      <w:r>
        <w:rPr>
          <w:sz w:val="18"/>
        </w:rPr>
        <w:t>image</w:t>
      </w:r>
      <w:r>
        <w:rPr>
          <w:spacing w:val="-2"/>
          <w:sz w:val="18"/>
        </w:rPr>
        <w:t xml:space="preserve"> </w:t>
      </w:r>
      <w:r>
        <w:rPr>
          <w:sz w:val="18"/>
        </w:rPr>
        <w:t>processing</w:t>
      </w:r>
      <w:r>
        <w:rPr>
          <w:spacing w:val="-1"/>
          <w:sz w:val="18"/>
        </w:rPr>
        <w:t xml:space="preserve"> </w:t>
      </w:r>
      <w:r>
        <w:rPr>
          <w:sz w:val="18"/>
        </w:rPr>
        <w:t>steps</w:t>
      </w:r>
      <w:r>
        <w:rPr>
          <w:spacing w:val="-2"/>
          <w:sz w:val="18"/>
        </w:rPr>
        <w:t xml:space="preserve"> </w:t>
      </w:r>
      <w:r>
        <w:rPr>
          <w:sz w:val="18"/>
        </w:rPr>
        <w:t>and</w:t>
      </w:r>
      <w:r>
        <w:rPr>
          <w:spacing w:val="-2"/>
          <w:sz w:val="18"/>
        </w:rPr>
        <w:t xml:space="preserve"> </w:t>
      </w:r>
      <w:r>
        <w:rPr>
          <w:sz w:val="18"/>
        </w:rPr>
        <w:t>model</w:t>
      </w:r>
      <w:r>
        <w:rPr>
          <w:spacing w:val="-1"/>
          <w:sz w:val="18"/>
        </w:rPr>
        <w:t xml:space="preserve"> </w:t>
      </w:r>
      <w:r>
        <w:rPr>
          <w:sz w:val="18"/>
        </w:rPr>
        <w:t>of</w:t>
      </w:r>
      <w:r>
        <w:rPr>
          <w:spacing w:val="-2"/>
          <w:sz w:val="18"/>
        </w:rPr>
        <w:t xml:space="preserve"> </w:t>
      </w:r>
      <w:r>
        <w:rPr>
          <w:sz w:val="18"/>
        </w:rPr>
        <w:t>CNN</w:t>
      </w:r>
      <w:r>
        <w:rPr>
          <w:spacing w:val="-2"/>
          <w:sz w:val="18"/>
        </w:rPr>
        <w:t xml:space="preserve"> </w:t>
      </w:r>
      <w:r>
        <w:rPr>
          <w:sz w:val="18"/>
        </w:rPr>
        <w:t>for</w:t>
      </w:r>
      <w:r>
        <w:rPr>
          <w:spacing w:val="-2"/>
          <w:sz w:val="18"/>
        </w:rPr>
        <w:t xml:space="preserve"> </w:t>
      </w:r>
      <w:r>
        <w:rPr>
          <w:sz w:val="18"/>
        </w:rPr>
        <w:t>identification.[1]</w:t>
      </w:r>
    </w:p>
    <w:p w14:paraId="23775E9B" w14:textId="77777777" w:rsidR="00216FB7" w:rsidRDefault="00216FB7">
      <w:pPr>
        <w:pStyle w:val="BodyText"/>
        <w:spacing w:before="1"/>
        <w:rPr>
          <w:sz w:val="23"/>
        </w:rPr>
      </w:pPr>
    </w:p>
    <w:p w14:paraId="3575174F" w14:textId="337C28D1" w:rsidR="00216FB7" w:rsidRDefault="00CF089C">
      <w:pPr>
        <w:pStyle w:val="BodyText"/>
        <w:spacing w:line="266" w:lineRule="auto"/>
        <w:ind w:left="1286" w:right="1437"/>
        <w:jc w:val="both"/>
      </w:pPr>
      <w:r w:rsidRPr="00CF089C">
        <w:t>The schematic representation of the image processing steps and the model of Convolutional Neural Network (CNN) for identification is shown in Figure 3. It involves preprocessing input images, applying convolutional and pooling layers for feature extraction, and utilizing fully connected layers for classification. This visual representation outlines the flow of information through the network, illustrating how raw image data is transformed and processed to make accurate identification predictions</w:t>
      </w:r>
      <w:r>
        <w:t>.</w:t>
      </w:r>
    </w:p>
    <w:p w14:paraId="680BF19C" w14:textId="77777777" w:rsidR="00216FB7" w:rsidRDefault="00216FB7">
      <w:pPr>
        <w:pStyle w:val="BodyText"/>
        <w:spacing w:before="11"/>
        <w:rPr>
          <w:sz w:val="28"/>
        </w:rPr>
      </w:pPr>
    </w:p>
    <w:p w14:paraId="2D40EB8E" w14:textId="5E91FA4D" w:rsidR="00216FB7" w:rsidRDefault="00000000">
      <w:pPr>
        <w:pStyle w:val="Heading2"/>
        <w:numPr>
          <w:ilvl w:val="1"/>
          <w:numId w:val="2"/>
        </w:numPr>
        <w:tabs>
          <w:tab w:val="left" w:pos="1228"/>
        </w:tabs>
        <w:spacing w:before="0"/>
        <w:ind w:left="1227"/>
      </w:pPr>
      <w:r>
        <w:t>Existing</w:t>
      </w:r>
      <w:r>
        <w:rPr>
          <w:spacing w:val="-3"/>
        </w:rPr>
        <w:t xml:space="preserve"> </w:t>
      </w:r>
      <w:r>
        <w:t>Datasets</w:t>
      </w:r>
      <w:r>
        <w:rPr>
          <w:spacing w:val="-2"/>
        </w:rPr>
        <w:t xml:space="preserve"> </w:t>
      </w:r>
      <w:r>
        <w:t>fo</w:t>
      </w:r>
      <w:r w:rsidR="00CF089C">
        <w:t xml:space="preserve">r Myelitis </w:t>
      </w:r>
      <w:r>
        <w:t>Detection</w:t>
      </w:r>
    </w:p>
    <w:p w14:paraId="2E99600F" w14:textId="3A18D6F2" w:rsidR="00216FB7" w:rsidRDefault="00000000">
      <w:pPr>
        <w:pStyle w:val="BodyText"/>
        <w:spacing w:before="133" w:line="355" w:lineRule="auto"/>
        <w:ind w:left="916" w:right="1043"/>
        <w:rPr>
          <w:sz w:val="18"/>
        </w:rPr>
      </w:pPr>
      <w:r>
        <w:t>In</w:t>
      </w:r>
      <w:r>
        <w:rPr>
          <w:spacing w:val="18"/>
        </w:rPr>
        <w:t xml:space="preserve"> </w:t>
      </w:r>
      <w:r>
        <w:t>this</w:t>
      </w:r>
      <w:r>
        <w:rPr>
          <w:spacing w:val="16"/>
        </w:rPr>
        <w:t xml:space="preserve"> </w:t>
      </w:r>
      <w:r>
        <w:t>section</w:t>
      </w:r>
      <w:r>
        <w:rPr>
          <w:spacing w:val="18"/>
        </w:rPr>
        <w:t xml:space="preserve"> </w:t>
      </w:r>
      <w:r>
        <w:t>existing</w:t>
      </w:r>
      <w:r>
        <w:rPr>
          <w:spacing w:val="16"/>
        </w:rPr>
        <w:t xml:space="preserve"> </w:t>
      </w:r>
      <w:r>
        <w:t>datasets</w:t>
      </w:r>
      <w:r>
        <w:rPr>
          <w:spacing w:val="18"/>
        </w:rPr>
        <w:t xml:space="preserve"> </w:t>
      </w:r>
      <w:r>
        <w:t>for</w:t>
      </w:r>
      <w:r>
        <w:rPr>
          <w:spacing w:val="18"/>
        </w:rPr>
        <w:t xml:space="preserve"> </w:t>
      </w:r>
      <w:r w:rsidR="00CF089C">
        <w:t xml:space="preserve">Myelitis </w:t>
      </w:r>
      <w:r>
        <w:t>Detection</w:t>
      </w:r>
      <w:r>
        <w:rPr>
          <w:spacing w:val="18"/>
        </w:rPr>
        <w:t xml:space="preserve"> </w:t>
      </w:r>
      <w:r>
        <w:t>is</w:t>
      </w:r>
      <w:r>
        <w:rPr>
          <w:spacing w:val="17"/>
        </w:rPr>
        <w:t xml:space="preserve"> </w:t>
      </w:r>
      <w:r>
        <w:t>discussed</w:t>
      </w:r>
      <w:r>
        <w:rPr>
          <w:spacing w:val="19"/>
        </w:rPr>
        <w:t xml:space="preserve"> </w:t>
      </w:r>
      <w:r>
        <w:t>and</w:t>
      </w:r>
      <w:r>
        <w:rPr>
          <w:spacing w:val="17"/>
        </w:rPr>
        <w:t xml:space="preserve"> </w:t>
      </w:r>
      <w:r>
        <w:t>same</w:t>
      </w:r>
      <w:r>
        <w:rPr>
          <w:spacing w:val="18"/>
        </w:rPr>
        <w:t xml:space="preserve"> </w:t>
      </w:r>
      <w:r>
        <w:t>is</w:t>
      </w:r>
      <w:r>
        <w:rPr>
          <w:spacing w:val="15"/>
        </w:rPr>
        <w:t xml:space="preserve"> </w:t>
      </w:r>
      <w:r>
        <w:t>tabulated</w:t>
      </w:r>
      <w:r>
        <w:rPr>
          <w:spacing w:val="18"/>
        </w:rPr>
        <w:t xml:space="preserve"> </w:t>
      </w:r>
      <w:r>
        <w:t>in</w:t>
      </w:r>
      <w:r>
        <w:rPr>
          <w:spacing w:val="-47"/>
        </w:rPr>
        <w:t xml:space="preserve"> </w:t>
      </w:r>
      <w:r>
        <w:t>Table</w:t>
      </w:r>
      <w:r>
        <w:rPr>
          <w:spacing w:val="-1"/>
        </w:rPr>
        <w:t xml:space="preserve"> </w:t>
      </w:r>
      <w:r>
        <w:t>1.</w:t>
      </w:r>
      <w:r>
        <w:rPr>
          <w:spacing w:val="9"/>
        </w:rPr>
        <w:t xml:space="preserve"> </w:t>
      </w:r>
      <w:r>
        <w:rPr>
          <w:b/>
          <w:sz w:val="18"/>
        </w:rPr>
        <w:t>Table 1</w:t>
      </w:r>
      <w:r>
        <w:rPr>
          <w:sz w:val="18"/>
        </w:rPr>
        <w:t>:</w:t>
      </w:r>
      <w:r>
        <w:rPr>
          <w:spacing w:val="-1"/>
          <w:sz w:val="18"/>
        </w:rPr>
        <w:t xml:space="preserve"> </w:t>
      </w:r>
      <w:r>
        <w:rPr>
          <w:sz w:val="18"/>
        </w:rPr>
        <w:t>Existing Datasets</w:t>
      </w:r>
    </w:p>
    <w:p w14:paraId="4D06DF23" w14:textId="77777777" w:rsidR="00216FB7" w:rsidRDefault="00216FB7">
      <w:pPr>
        <w:pStyle w:val="BodyText"/>
        <w:spacing w:before="9"/>
        <w:rPr>
          <w:sz w:val="21"/>
        </w:rPr>
      </w:pPr>
    </w:p>
    <w:tbl>
      <w:tblPr>
        <w:tblW w:w="0" w:type="auto"/>
        <w:tblInd w:w="2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4"/>
        <w:gridCol w:w="1576"/>
        <w:gridCol w:w="840"/>
        <w:gridCol w:w="1815"/>
      </w:tblGrid>
      <w:tr w:rsidR="00216FB7" w14:paraId="0C358A92" w14:textId="77777777">
        <w:trPr>
          <w:trHeight w:val="656"/>
        </w:trPr>
        <w:tc>
          <w:tcPr>
            <w:tcW w:w="824" w:type="dxa"/>
          </w:tcPr>
          <w:p w14:paraId="1BAB2AB1" w14:textId="77777777" w:rsidR="00216FB7" w:rsidRDefault="00000000">
            <w:pPr>
              <w:pStyle w:val="TableParagraph"/>
              <w:spacing w:before="91"/>
              <w:ind w:left="139"/>
              <w:rPr>
                <w:sz w:val="20"/>
              </w:rPr>
            </w:pPr>
            <w:r>
              <w:rPr>
                <w:sz w:val="20"/>
              </w:rPr>
              <w:t>SL</w:t>
            </w:r>
          </w:p>
          <w:p w14:paraId="10918E23" w14:textId="77777777" w:rsidR="00216FB7" w:rsidRDefault="00000000">
            <w:pPr>
              <w:pStyle w:val="TableParagraph"/>
              <w:spacing w:before="17"/>
              <w:ind w:left="139"/>
              <w:rPr>
                <w:sz w:val="20"/>
              </w:rPr>
            </w:pPr>
            <w:r>
              <w:rPr>
                <w:sz w:val="20"/>
              </w:rPr>
              <w:t>No.</w:t>
            </w:r>
          </w:p>
        </w:tc>
        <w:tc>
          <w:tcPr>
            <w:tcW w:w="1576" w:type="dxa"/>
          </w:tcPr>
          <w:p w14:paraId="3B069348" w14:textId="77777777" w:rsidR="00216FB7" w:rsidRDefault="00000000">
            <w:pPr>
              <w:pStyle w:val="TableParagraph"/>
              <w:spacing w:before="91"/>
              <w:ind w:left="519"/>
              <w:rPr>
                <w:sz w:val="20"/>
              </w:rPr>
            </w:pPr>
            <w:r>
              <w:rPr>
                <w:sz w:val="20"/>
              </w:rPr>
              <w:t>Name</w:t>
            </w:r>
          </w:p>
        </w:tc>
        <w:tc>
          <w:tcPr>
            <w:tcW w:w="840" w:type="dxa"/>
          </w:tcPr>
          <w:p w14:paraId="064CFE56" w14:textId="77777777" w:rsidR="00216FB7" w:rsidRDefault="00000000">
            <w:pPr>
              <w:pStyle w:val="TableParagraph"/>
              <w:spacing w:before="91"/>
              <w:ind w:left="124"/>
              <w:rPr>
                <w:sz w:val="20"/>
              </w:rPr>
            </w:pPr>
            <w:r>
              <w:rPr>
                <w:sz w:val="20"/>
              </w:rPr>
              <w:t>Source</w:t>
            </w:r>
          </w:p>
        </w:tc>
        <w:tc>
          <w:tcPr>
            <w:tcW w:w="1815" w:type="dxa"/>
          </w:tcPr>
          <w:p w14:paraId="52C5E02A" w14:textId="77777777" w:rsidR="00216FB7" w:rsidRDefault="00000000">
            <w:pPr>
              <w:pStyle w:val="TableParagraph"/>
              <w:spacing w:before="91"/>
              <w:ind w:left="115"/>
              <w:rPr>
                <w:sz w:val="20"/>
              </w:rPr>
            </w:pPr>
            <w:r>
              <w:rPr>
                <w:sz w:val="20"/>
              </w:rPr>
              <w:t>No.</w:t>
            </w:r>
            <w:r>
              <w:rPr>
                <w:spacing w:val="-3"/>
                <w:sz w:val="20"/>
              </w:rPr>
              <w:t xml:space="preserve"> </w:t>
            </w:r>
            <w:r>
              <w:rPr>
                <w:sz w:val="20"/>
              </w:rPr>
              <w:t>of</w:t>
            </w:r>
            <w:r>
              <w:rPr>
                <w:spacing w:val="-2"/>
                <w:sz w:val="20"/>
              </w:rPr>
              <w:t xml:space="preserve"> </w:t>
            </w:r>
            <w:r>
              <w:rPr>
                <w:sz w:val="20"/>
              </w:rPr>
              <w:t>Samples</w:t>
            </w:r>
          </w:p>
        </w:tc>
      </w:tr>
      <w:tr w:rsidR="00216FB7" w14:paraId="4A5A711A" w14:textId="77777777">
        <w:trPr>
          <w:trHeight w:val="725"/>
        </w:trPr>
        <w:tc>
          <w:tcPr>
            <w:tcW w:w="824" w:type="dxa"/>
          </w:tcPr>
          <w:p w14:paraId="7D11B84F" w14:textId="77777777" w:rsidR="00216FB7" w:rsidRDefault="00000000">
            <w:pPr>
              <w:pStyle w:val="TableParagraph"/>
              <w:spacing w:before="91"/>
              <w:ind w:left="113"/>
              <w:rPr>
                <w:sz w:val="20"/>
              </w:rPr>
            </w:pPr>
            <w:r>
              <w:rPr>
                <w:sz w:val="20"/>
              </w:rPr>
              <w:t>1</w:t>
            </w:r>
          </w:p>
        </w:tc>
        <w:tc>
          <w:tcPr>
            <w:tcW w:w="1576" w:type="dxa"/>
          </w:tcPr>
          <w:p w14:paraId="2BD8B486" w14:textId="03D4C52B" w:rsidR="00216FB7" w:rsidRDefault="00CF089C">
            <w:pPr>
              <w:pStyle w:val="TableParagraph"/>
              <w:spacing w:before="91" w:line="256" w:lineRule="auto"/>
              <w:ind w:left="125" w:hanging="10"/>
              <w:rPr>
                <w:sz w:val="20"/>
              </w:rPr>
            </w:pPr>
            <w:r w:rsidRPr="00CF089C">
              <w:rPr>
                <w:sz w:val="20"/>
              </w:rPr>
              <w:t>Myelitis Images</w:t>
            </w:r>
          </w:p>
        </w:tc>
        <w:tc>
          <w:tcPr>
            <w:tcW w:w="840" w:type="dxa"/>
          </w:tcPr>
          <w:p w14:paraId="33923C0B" w14:textId="56B04252" w:rsidR="00216FB7" w:rsidRDefault="00CF089C">
            <w:pPr>
              <w:pStyle w:val="TableParagraph"/>
              <w:spacing w:before="91"/>
              <w:ind w:left="119"/>
              <w:rPr>
                <w:sz w:val="20"/>
              </w:rPr>
            </w:pPr>
            <w:r>
              <w:rPr>
                <w:sz w:val="20"/>
              </w:rPr>
              <w:t>Kaggle</w:t>
            </w:r>
          </w:p>
        </w:tc>
        <w:tc>
          <w:tcPr>
            <w:tcW w:w="1815" w:type="dxa"/>
          </w:tcPr>
          <w:p w14:paraId="0C1630CA" w14:textId="533C7017" w:rsidR="00216FB7" w:rsidRDefault="00000000">
            <w:pPr>
              <w:pStyle w:val="TableParagraph"/>
              <w:spacing w:before="91"/>
              <w:ind w:left="616" w:right="649"/>
              <w:jc w:val="center"/>
              <w:rPr>
                <w:sz w:val="20"/>
              </w:rPr>
            </w:pPr>
            <w:r>
              <w:rPr>
                <w:sz w:val="20"/>
              </w:rPr>
              <w:t>1</w:t>
            </w:r>
            <w:r w:rsidR="00CF089C">
              <w:rPr>
                <w:sz w:val="20"/>
              </w:rPr>
              <w:t>373</w:t>
            </w:r>
          </w:p>
        </w:tc>
      </w:tr>
      <w:tr w:rsidR="00216FB7" w14:paraId="0BF15FC0" w14:textId="77777777">
        <w:trPr>
          <w:trHeight w:val="485"/>
        </w:trPr>
        <w:tc>
          <w:tcPr>
            <w:tcW w:w="824" w:type="dxa"/>
          </w:tcPr>
          <w:p w14:paraId="111096B9" w14:textId="7706439A" w:rsidR="00216FB7" w:rsidRDefault="00CF089C">
            <w:pPr>
              <w:pStyle w:val="TableParagraph"/>
              <w:spacing w:before="90"/>
              <w:ind w:left="113"/>
              <w:rPr>
                <w:sz w:val="20"/>
              </w:rPr>
            </w:pPr>
            <w:r>
              <w:rPr>
                <w:sz w:val="20"/>
              </w:rPr>
              <w:t>2</w:t>
            </w:r>
          </w:p>
        </w:tc>
        <w:tc>
          <w:tcPr>
            <w:tcW w:w="1576" w:type="dxa"/>
          </w:tcPr>
          <w:p w14:paraId="4472F8FE" w14:textId="77777777" w:rsidR="00216FB7" w:rsidRDefault="00000000">
            <w:pPr>
              <w:pStyle w:val="TableParagraph"/>
              <w:spacing w:before="164"/>
              <w:ind w:left="115"/>
              <w:rPr>
                <w:sz w:val="20"/>
              </w:rPr>
            </w:pPr>
            <w:r>
              <w:rPr>
                <w:sz w:val="20"/>
              </w:rPr>
              <w:t>CKD</w:t>
            </w:r>
            <w:r>
              <w:rPr>
                <w:spacing w:val="-3"/>
                <w:sz w:val="20"/>
              </w:rPr>
              <w:t xml:space="preserve"> </w:t>
            </w:r>
            <w:r>
              <w:rPr>
                <w:sz w:val="20"/>
              </w:rPr>
              <w:t>Dataset</w:t>
            </w:r>
          </w:p>
        </w:tc>
        <w:tc>
          <w:tcPr>
            <w:tcW w:w="840" w:type="dxa"/>
          </w:tcPr>
          <w:p w14:paraId="09C7148C" w14:textId="77777777" w:rsidR="00216FB7" w:rsidRDefault="00000000">
            <w:pPr>
              <w:pStyle w:val="TableParagraph"/>
              <w:spacing w:before="164"/>
              <w:ind w:left="140"/>
              <w:rPr>
                <w:sz w:val="20"/>
              </w:rPr>
            </w:pPr>
            <w:r>
              <w:rPr>
                <w:sz w:val="20"/>
              </w:rPr>
              <w:t>Kaggle</w:t>
            </w:r>
          </w:p>
        </w:tc>
        <w:tc>
          <w:tcPr>
            <w:tcW w:w="1815" w:type="dxa"/>
          </w:tcPr>
          <w:p w14:paraId="356C0465" w14:textId="250AF103" w:rsidR="00216FB7" w:rsidRDefault="00CF089C">
            <w:pPr>
              <w:pStyle w:val="TableParagraph"/>
              <w:spacing w:before="164"/>
              <w:ind w:left="616" w:right="649"/>
              <w:jc w:val="center"/>
              <w:rPr>
                <w:sz w:val="20"/>
              </w:rPr>
            </w:pPr>
            <w:r>
              <w:rPr>
                <w:sz w:val="20"/>
              </w:rPr>
              <w:t>3085</w:t>
            </w:r>
          </w:p>
        </w:tc>
      </w:tr>
    </w:tbl>
    <w:p w14:paraId="45F3000C" w14:textId="77777777" w:rsidR="00216FB7" w:rsidRDefault="00216FB7">
      <w:pPr>
        <w:pStyle w:val="BodyText"/>
        <w:spacing w:before="7"/>
        <w:rPr>
          <w:sz w:val="21"/>
        </w:rPr>
      </w:pPr>
    </w:p>
    <w:p w14:paraId="1655A826" w14:textId="449B49A3" w:rsidR="00216FB7" w:rsidRDefault="00CF089C">
      <w:pPr>
        <w:pStyle w:val="BodyText"/>
        <w:spacing w:line="266" w:lineRule="auto"/>
        <w:ind w:left="916" w:right="1043"/>
      </w:pPr>
      <w:r w:rsidRPr="00CF089C">
        <w:rPr>
          <w:spacing w:val="-1"/>
        </w:rPr>
        <w:t>The above table1 interprets the datasets containing CT images that are utilized for training and testing of the model. The datasets are sourced from Kaggle</w:t>
      </w:r>
      <w:r>
        <w:t>.</w:t>
      </w:r>
    </w:p>
    <w:p w14:paraId="6F2080D6" w14:textId="77777777" w:rsidR="00216FB7" w:rsidRDefault="00216FB7">
      <w:pPr>
        <w:spacing w:line="266" w:lineRule="auto"/>
        <w:sectPr w:rsidR="00216FB7" w:rsidSect="00762523">
          <w:pgSz w:w="12240" w:h="15840"/>
          <w:pgMar w:top="1380" w:right="240" w:bottom="280" w:left="620" w:header="720" w:footer="720" w:gutter="0"/>
          <w:cols w:space="720"/>
        </w:sectPr>
      </w:pPr>
    </w:p>
    <w:p w14:paraId="4CFB7313" w14:textId="04676737" w:rsidR="00216FB7" w:rsidRDefault="00CF089C">
      <w:pPr>
        <w:pStyle w:val="BodyText"/>
        <w:ind w:left="4482"/>
      </w:pPr>
      <w:r>
        <w:rPr>
          <w:noProof/>
        </w:rPr>
        <w:lastRenderedPageBreak/>
        <w:drawing>
          <wp:inline distT="0" distB="0" distL="0" distR="0" wp14:anchorId="5EC66DEE" wp14:editId="6507C9B9">
            <wp:extent cx="1762125" cy="1304925"/>
            <wp:effectExtent l="0" t="0" r="9525" b="9525"/>
            <wp:docPr id="298387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304925"/>
                    </a:xfrm>
                    <a:prstGeom prst="rect">
                      <a:avLst/>
                    </a:prstGeom>
                    <a:noFill/>
                  </pic:spPr>
                </pic:pic>
              </a:graphicData>
            </a:graphic>
          </wp:inline>
        </w:drawing>
      </w:r>
    </w:p>
    <w:p w14:paraId="657A77F1" w14:textId="77777777" w:rsidR="00216FB7" w:rsidRDefault="00216FB7">
      <w:pPr>
        <w:pStyle w:val="BodyText"/>
        <w:spacing w:before="9"/>
        <w:rPr>
          <w:sz w:val="7"/>
        </w:rPr>
      </w:pPr>
    </w:p>
    <w:p w14:paraId="265842CD" w14:textId="4AD49ABA" w:rsidR="00216FB7" w:rsidRDefault="00CF089C">
      <w:pPr>
        <w:pStyle w:val="BodyText"/>
        <w:ind w:left="4482"/>
      </w:pPr>
      <w:r>
        <w:rPr>
          <w:noProof/>
        </w:rPr>
        <w:drawing>
          <wp:inline distT="0" distB="0" distL="0" distR="0" wp14:anchorId="604900B5" wp14:editId="782A79C5">
            <wp:extent cx="1800225" cy="1304925"/>
            <wp:effectExtent l="0" t="0" r="9525" b="9525"/>
            <wp:docPr id="14552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304925"/>
                    </a:xfrm>
                    <a:prstGeom prst="rect">
                      <a:avLst/>
                    </a:prstGeom>
                    <a:noFill/>
                  </pic:spPr>
                </pic:pic>
              </a:graphicData>
            </a:graphic>
          </wp:inline>
        </w:drawing>
      </w:r>
    </w:p>
    <w:p w14:paraId="23077BAE" w14:textId="77777777" w:rsidR="00216FB7" w:rsidRDefault="00216FB7">
      <w:pPr>
        <w:pStyle w:val="BodyText"/>
        <w:rPr>
          <w:sz w:val="10"/>
        </w:rPr>
      </w:pPr>
    </w:p>
    <w:p w14:paraId="71208771" w14:textId="5F15299E" w:rsidR="00216FB7" w:rsidRDefault="00CF089C">
      <w:pPr>
        <w:pStyle w:val="BodyText"/>
        <w:ind w:left="4452"/>
      </w:pPr>
      <w:r>
        <w:rPr>
          <w:noProof/>
        </w:rPr>
        <w:drawing>
          <wp:inline distT="0" distB="0" distL="0" distR="0" wp14:anchorId="3EF58941" wp14:editId="4383FAE3">
            <wp:extent cx="1933575" cy="944880"/>
            <wp:effectExtent l="0" t="0" r="9525" b="7620"/>
            <wp:docPr id="1507219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944880"/>
                    </a:xfrm>
                    <a:prstGeom prst="rect">
                      <a:avLst/>
                    </a:prstGeom>
                    <a:noFill/>
                  </pic:spPr>
                </pic:pic>
              </a:graphicData>
            </a:graphic>
          </wp:inline>
        </w:drawing>
      </w:r>
    </w:p>
    <w:p w14:paraId="07F8F3F6" w14:textId="77777777" w:rsidR="00216FB7" w:rsidRDefault="00000000">
      <w:pPr>
        <w:spacing w:before="112"/>
        <w:ind w:left="912" w:right="556"/>
        <w:jc w:val="center"/>
        <w:rPr>
          <w:sz w:val="18"/>
        </w:rPr>
      </w:pPr>
      <w:r>
        <w:rPr>
          <w:b/>
          <w:sz w:val="18"/>
        </w:rPr>
        <w:t>Fig</w:t>
      </w:r>
      <w:r>
        <w:rPr>
          <w:b/>
          <w:spacing w:val="-2"/>
          <w:sz w:val="18"/>
        </w:rPr>
        <w:t xml:space="preserve"> </w:t>
      </w:r>
      <w:r>
        <w:rPr>
          <w:b/>
          <w:sz w:val="18"/>
        </w:rPr>
        <w:t>4:</w:t>
      </w:r>
      <w:r>
        <w:rPr>
          <w:b/>
          <w:spacing w:val="-3"/>
          <w:sz w:val="18"/>
        </w:rPr>
        <w:t xml:space="preserve"> </w:t>
      </w:r>
      <w:r>
        <w:rPr>
          <w:sz w:val="18"/>
        </w:rPr>
        <w:t>Sample</w:t>
      </w:r>
      <w:r>
        <w:rPr>
          <w:spacing w:val="-1"/>
          <w:sz w:val="18"/>
        </w:rPr>
        <w:t xml:space="preserve"> </w:t>
      </w:r>
      <w:r>
        <w:rPr>
          <w:sz w:val="18"/>
        </w:rPr>
        <w:t>CT</w:t>
      </w:r>
      <w:r>
        <w:rPr>
          <w:spacing w:val="-7"/>
          <w:sz w:val="18"/>
        </w:rPr>
        <w:t xml:space="preserve"> </w:t>
      </w:r>
      <w:r>
        <w:rPr>
          <w:sz w:val="18"/>
        </w:rPr>
        <w:t>scans</w:t>
      </w:r>
      <w:r>
        <w:rPr>
          <w:spacing w:val="-3"/>
          <w:sz w:val="18"/>
        </w:rPr>
        <w:t xml:space="preserve"> </w:t>
      </w:r>
      <w:r>
        <w:rPr>
          <w:sz w:val="18"/>
        </w:rPr>
        <w:t>from</w:t>
      </w:r>
      <w:r>
        <w:rPr>
          <w:spacing w:val="-2"/>
          <w:sz w:val="18"/>
        </w:rPr>
        <w:t xml:space="preserve"> </w:t>
      </w:r>
      <w:r>
        <w:rPr>
          <w:sz w:val="18"/>
        </w:rPr>
        <w:t>the</w:t>
      </w:r>
      <w:r>
        <w:rPr>
          <w:spacing w:val="-1"/>
          <w:sz w:val="18"/>
        </w:rPr>
        <w:t xml:space="preserve"> </w:t>
      </w:r>
      <w:r>
        <w:rPr>
          <w:sz w:val="18"/>
        </w:rPr>
        <w:t>datasets</w:t>
      </w:r>
    </w:p>
    <w:p w14:paraId="74B3EC38" w14:textId="0ED0917F" w:rsidR="00216FB7" w:rsidRDefault="00CF089C">
      <w:pPr>
        <w:pStyle w:val="BodyText"/>
        <w:spacing w:before="150" w:line="266" w:lineRule="auto"/>
        <w:ind w:left="916" w:right="1235"/>
        <w:jc w:val="both"/>
      </w:pPr>
      <w:r w:rsidRPr="00CF089C">
        <w:t>Sample CT scans from a dataset comprises cross-sectional images generated by computed tomography method. These scans serve as crucial input data for training and evaluating the Deep learning models as shown in Figure4</w:t>
      </w:r>
      <w:r>
        <w:t>.</w:t>
      </w:r>
    </w:p>
    <w:p w14:paraId="357A27F7" w14:textId="77777777" w:rsidR="00216FB7" w:rsidRDefault="00216FB7">
      <w:pPr>
        <w:pStyle w:val="BodyText"/>
        <w:spacing w:before="9"/>
        <w:rPr>
          <w:sz w:val="17"/>
        </w:rPr>
      </w:pPr>
    </w:p>
    <w:p w14:paraId="2A5BFFE1" w14:textId="77777777" w:rsidR="00216FB7" w:rsidRDefault="00000000">
      <w:pPr>
        <w:pStyle w:val="Heading1"/>
        <w:numPr>
          <w:ilvl w:val="0"/>
          <w:numId w:val="3"/>
        </w:numPr>
        <w:tabs>
          <w:tab w:val="left" w:pos="1166"/>
        </w:tabs>
        <w:ind w:left="1165" w:hanging="241"/>
        <w:jc w:val="both"/>
      </w:pPr>
      <w:r>
        <w:t>Literature</w:t>
      </w:r>
      <w:r>
        <w:rPr>
          <w:spacing w:val="-6"/>
        </w:rPr>
        <w:t xml:space="preserve"> </w:t>
      </w:r>
      <w:r>
        <w:t>Survey</w:t>
      </w:r>
    </w:p>
    <w:p w14:paraId="267429B7" w14:textId="22B3BA60" w:rsidR="00216FB7" w:rsidRDefault="00CF089C">
      <w:pPr>
        <w:pStyle w:val="BodyText"/>
        <w:spacing w:before="22" w:line="266" w:lineRule="auto"/>
        <w:ind w:left="916" w:right="1234"/>
        <w:jc w:val="both"/>
      </w:pPr>
      <w:bookmarkStart w:id="4" w:name="_Hlk166155761"/>
      <w:r w:rsidRPr="00CF089C">
        <w:t>The survey discusses about the various methodologies used for myelitis prediction and detection. In this section a brief discussion about the existing literature review on myelitis prediction and detection is examined</w:t>
      </w:r>
      <w:bookmarkEnd w:id="4"/>
      <w:r>
        <w:t>.</w:t>
      </w:r>
    </w:p>
    <w:p w14:paraId="51711630" w14:textId="77777777" w:rsidR="00216FB7" w:rsidRDefault="00216FB7">
      <w:pPr>
        <w:pStyle w:val="BodyText"/>
        <w:spacing w:before="2"/>
        <w:rPr>
          <w:sz w:val="26"/>
        </w:rPr>
      </w:pPr>
    </w:p>
    <w:p w14:paraId="7A6D1EED" w14:textId="3BD56E67" w:rsidR="00216FB7" w:rsidRDefault="00000000">
      <w:pPr>
        <w:pStyle w:val="Heading2"/>
        <w:ind w:left="926" w:firstLine="0"/>
        <w:jc w:val="both"/>
      </w:pPr>
      <w:r>
        <w:rPr>
          <w:spacing w:val="-1"/>
        </w:rPr>
        <w:t>3.1</w:t>
      </w:r>
      <w:r>
        <w:t xml:space="preserve"> </w:t>
      </w:r>
      <w:r w:rsidR="00CF089C" w:rsidRPr="00CF089C">
        <w:rPr>
          <w:spacing w:val="-1"/>
        </w:rPr>
        <w:t>Existing DL Models for Myelitis Detection</w:t>
      </w:r>
    </w:p>
    <w:p w14:paraId="617EF087" w14:textId="77777777" w:rsidR="00CF089C" w:rsidRDefault="00CF089C" w:rsidP="00CF089C">
      <w:pPr>
        <w:pStyle w:val="BodyText"/>
        <w:spacing w:before="96" w:line="266" w:lineRule="auto"/>
        <w:ind w:left="916" w:right="1233"/>
        <w:jc w:val="both"/>
      </w:pPr>
      <w:bookmarkStart w:id="5" w:name="_Hlk166156601"/>
      <w:r>
        <w:t xml:space="preserve">Sinan Tatli and Gulay Macin et al. [1] proposed an approach to offer the best SVM parameters for data categorization. By comparing it to the most recent approaches, researcher can see how well the suggested algorithm performs. In terms of accuracy, the suggested technique outperformed other than the current algorithms by 3.37% and 9.17%, respectively, and by a substantial margin of 34.12%. </w:t>
      </w:r>
    </w:p>
    <w:p w14:paraId="01B146AF" w14:textId="77777777" w:rsidR="00CF089C" w:rsidRDefault="00CF089C" w:rsidP="00CF089C">
      <w:pPr>
        <w:pStyle w:val="BodyText"/>
        <w:spacing w:before="96" w:line="266" w:lineRule="auto"/>
        <w:ind w:left="916" w:right="1233"/>
        <w:jc w:val="both"/>
      </w:pPr>
      <w:r>
        <w:t xml:space="preserve">In order to find the optimal combinations that might improve accuracy and detection rate, Linta Antony et al. [1] suggested a technique to apply unsupervised algorithms and compare their performances. The five unsupervised algorithms used in this study are Autoencoder, DB-Scan, I-Forest, and K-Means Clustering. The clinical data of CKD and non-CKD were classified with an overall accuracy of 99% by integrating them with various feature reduction and selection approaches with the K-Means Clustering algorithm. </w:t>
      </w:r>
    </w:p>
    <w:p w14:paraId="504DFE31" w14:textId="5540293E" w:rsidR="00216FB7" w:rsidRDefault="00CF089C" w:rsidP="00CF089C">
      <w:pPr>
        <w:pStyle w:val="BodyText"/>
        <w:spacing w:before="111" w:line="249" w:lineRule="auto"/>
        <w:ind w:left="926" w:right="1203" w:firstLine="1"/>
        <w:jc w:val="both"/>
        <w:sectPr w:rsidR="00216FB7" w:rsidSect="00762523">
          <w:pgSz w:w="12240" w:h="15840"/>
          <w:pgMar w:top="1440" w:right="240" w:bottom="280" w:left="620" w:header="720" w:footer="720" w:gutter="0"/>
          <w:cols w:space="720"/>
        </w:sectPr>
      </w:pPr>
      <w:r w:rsidRPr="00CF089C">
        <w:t xml:space="preserve">MRI scans are analysed from 1008 people, with a mean age of 37.7 years ± 9.7 with 730 of those people being women. Out of 519 individuals, at least one had an amplifying lesion. Across all five test sets, the average sensitivity for slice-wise prediction was 78% ± 4.3 and the average specificity was 73% ± 2.7. There was a 72% ± 9.0 and a 70% ± 6.3 corresponding to the participants. The area under the curve (AUC) for slice-wise enhancement prediction was 0.82 ± 0.02 and for participant-wise enhancement prediction it was 0.75 ± 0.03. Potential textural elements that give tissue properties of the spine area in ultrasound images can be extracted from the despeckled pictures. Two features are extracted: the Grey Level Co-occurrence Matrix (GLCM) and the run length texture. The k-Nearest Neighbour classifier (k-NN) are used which divide the pictures into two categories: normal and cystic. For picture categorization into cystic and normal states, the GLCM derived characteristics are very </w:t>
      </w:r>
      <w:r w:rsidR="00E009FA" w:rsidRPr="00CF089C">
        <w:t>important</w:t>
      </w:r>
      <w:bookmarkEnd w:id="5"/>
    </w:p>
    <w:p w14:paraId="235C86AA" w14:textId="57A75A67" w:rsidR="00216FB7" w:rsidRDefault="00216FB7" w:rsidP="00CF089C">
      <w:pPr>
        <w:spacing w:before="137"/>
        <w:rPr>
          <w:sz w:val="18"/>
        </w:rPr>
      </w:pPr>
    </w:p>
    <w:p w14:paraId="6A544FF4" w14:textId="7847ABF7" w:rsidR="00CF089C" w:rsidRDefault="00CF089C" w:rsidP="00CF089C">
      <w:pPr>
        <w:spacing w:before="137"/>
        <w:rPr>
          <w:sz w:val="18"/>
        </w:rPr>
      </w:pPr>
      <w:r>
        <w:rPr>
          <w:sz w:val="18"/>
        </w:rPr>
        <w:t xml:space="preserve">                               </w:t>
      </w:r>
      <w:r>
        <w:rPr>
          <w:noProof/>
          <w:sz w:val="18"/>
        </w:rPr>
        <w:drawing>
          <wp:inline distT="0" distB="0" distL="0" distR="0" wp14:anchorId="20B64020" wp14:editId="13B5592C">
            <wp:extent cx="5041900" cy="2212975"/>
            <wp:effectExtent l="0" t="0" r="6350" b="0"/>
            <wp:docPr id="3643623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900" cy="2212975"/>
                    </a:xfrm>
                    <a:prstGeom prst="rect">
                      <a:avLst/>
                    </a:prstGeom>
                    <a:noFill/>
                  </pic:spPr>
                </pic:pic>
              </a:graphicData>
            </a:graphic>
          </wp:inline>
        </w:drawing>
      </w:r>
    </w:p>
    <w:p w14:paraId="7A592BF1" w14:textId="77777777" w:rsidR="00CF089C" w:rsidRDefault="00CF089C" w:rsidP="00CF089C">
      <w:pPr>
        <w:spacing w:before="137"/>
        <w:rPr>
          <w:sz w:val="18"/>
        </w:rPr>
      </w:pPr>
    </w:p>
    <w:p w14:paraId="2FA6DE88" w14:textId="7E00485D" w:rsidR="00216FB7" w:rsidRDefault="00CF089C" w:rsidP="00CF089C">
      <w:pPr>
        <w:pStyle w:val="BodyText"/>
        <w:jc w:val="center"/>
      </w:pPr>
      <w:r w:rsidRPr="00CF089C">
        <w:t xml:space="preserve">Figure 5: </w:t>
      </w:r>
      <w:bookmarkStart w:id="6" w:name="_Hlk166156636"/>
      <w:r w:rsidRPr="00CF089C">
        <w:t>Classification accuracy for various classification methods [3]</w:t>
      </w:r>
      <w:bookmarkEnd w:id="6"/>
    </w:p>
    <w:p w14:paraId="2FB3D8C8" w14:textId="489875A6" w:rsidR="00216FB7" w:rsidRDefault="00CF089C">
      <w:pPr>
        <w:pStyle w:val="BodyText"/>
        <w:spacing w:before="176" w:line="266" w:lineRule="auto"/>
        <w:ind w:left="821" w:right="1235"/>
        <w:jc w:val="both"/>
      </w:pPr>
      <w:bookmarkStart w:id="7" w:name="_Hlk166156836"/>
      <w:r w:rsidRPr="00CF089C">
        <w:t>The performance analysis of existing approaches with the proposed framework is shown in the Figure 5. In this plot, value in X-axis denotes different methods and a value in Y-axis denotes the recognition accuracy and determines the performance measurements for various classification methods involving metrics such as accuracy, precision, recall, and F1-score, assessing the model's ability to correctly classify instances across different classes. These evaluations help to quantify the effectiveness and reliability of classification algorithms, aiding in the selection and optimization of models for specific applications</w:t>
      </w:r>
      <w:r>
        <w:t>.</w:t>
      </w:r>
    </w:p>
    <w:p w14:paraId="33882E28" w14:textId="77777777" w:rsidR="00B8377E" w:rsidRDefault="00CF089C" w:rsidP="00B8377E">
      <w:pPr>
        <w:pStyle w:val="BodyText"/>
        <w:ind w:left="821"/>
      </w:pPr>
      <w:r w:rsidRPr="00CF089C">
        <w:t xml:space="preserve">Classification accuracy measures the effectiveness of different classification methods in correctly assigning labels to </w:t>
      </w:r>
    </w:p>
    <w:p w14:paraId="0CAF5DAA" w14:textId="77777777" w:rsidR="00B8377E" w:rsidRDefault="00CF089C" w:rsidP="00B8377E">
      <w:pPr>
        <w:pStyle w:val="BodyText"/>
        <w:ind w:left="821"/>
      </w:pPr>
      <w:r w:rsidRPr="00CF089C">
        <w:t>instances, with higher accuracy indicating better performance. The classification accuracy can vary depending on the</w:t>
      </w:r>
    </w:p>
    <w:p w14:paraId="73D88382" w14:textId="543A0790" w:rsidR="00B8377E" w:rsidRDefault="00CF089C" w:rsidP="00B8377E">
      <w:pPr>
        <w:pStyle w:val="BodyText"/>
        <w:ind w:left="821"/>
      </w:pPr>
      <w:r w:rsidRPr="00CF089C">
        <w:t xml:space="preserve">dataset, the nature of the problem, and the quality of the features used. Different algorithms may perform better or </w:t>
      </w:r>
    </w:p>
    <w:p w14:paraId="21902E2D" w14:textId="3EA8FC01" w:rsidR="00216FB7" w:rsidRDefault="00CF089C" w:rsidP="00B8377E">
      <w:pPr>
        <w:pStyle w:val="BodyText"/>
        <w:ind w:left="821"/>
      </w:pPr>
      <w:r w:rsidRPr="00CF089C">
        <w:t>worse in different scenarios</w:t>
      </w:r>
    </w:p>
    <w:bookmarkEnd w:id="7"/>
    <w:p w14:paraId="33482CB2" w14:textId="77777777" w:rsidR="00216FB7" w:rsidRDefault="00216FB7">
      <w:pPr>
        <w:pStyle w:val="BodyText"/>
      </w:pPr>
    </w:p>
    <w:p w14:paraId="72E772EA" w14:textId="421E2B05" w:rsidR="00216FB7" w:rsidRDefault="00216FB7">
      <w:pPr>
        <w:pStyle w:val="BodyText"/>
        <w:spacing w:before="1"/>
        <w:rPr>
          <w:sz w:val="21"/>
        </w:rPr>
      </w:pPr>
    </w:p>
    <w:p w14:paraId="2BF5659C" w14:textId="77777777" w:rsidR="00216FB7" w:rsidRDefault="00B8377E">
      <w:pPr>
        <w:rPr>
          <w:sz w:val="18"/>
        </w:rPr>
      </w:pPr>
      <w:r>
        <w:rPr>
          <w:sz w:val="18"/>
        </w:rPr>
        <w:t xml:space="preserve">                                                        </w:t>
      </w:r>
      <w:r>
        <w:rPr>
          <w:noProof/>
          <w:sz w:val="18"/>
        </w:rPr>
        <w:drawing>
          <wp:inline distT="0" distB="0" distL="0" distR="0" wp14:anchorId="23362F7C" wp14:editId="35AEA13F">
            <wp:extent cx="3127375" cy="1469390"/>
            <wp:effectExtent l="0" t="0" r="0" b="0"/>
            <wp:docPr id="454186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7375" cy="1469390"/>
                    </a:xfrm>
                    <a:prstGeom prst="rect">
                      <a:avLst/>
                    </a:prstGeom>
                    <a:noFill/>
                  </pic:spPr>
                </pic:pic>
              </a:graphicData>
            </a:graphic>
          </wp:inline>
        </w:drawing>
      </w:r>
    </w:p>
    <w:p w14:paraId="52712C27" w14:textId="77777777" w:rsidR="00B8377E" w:rsidRDefault="00B8377E">
      <w:pPr>
        <w:rPr>
          <w:sz w:val="18"/>
        </w:rPr>
      </w:pPr>
    </w:p>
    <w:p w14:paraId="527A5947" w14:textId="77777777" w:rsidR="00B8377E" w:rsidRDefault="00B8377E" w:rsidP="00B8377E">
      <w:pPr>
        <w:jc w:val="center"/>
        <w:rPr>
          <w:sz w:val="18"/>
        </w:rPr>
      </w:pPr>
      <w:bookmarkStart w:id="8" w:name="_Hlk166156880"/>
      <w:r w:rsidRPr="00B8377E">
        <w:rPr>
          <w:sz w:val="18"/>
        </w:rPr>
        <w:t>Figure 6: “Illustration of the training of the deep learning models: feature extraction and selection, hyperparameter tuning, and model validation.” [3]</w:t>
      </w:r>
    </w:p>
    <w:bookmarkEnd w:id="8"/>
    <w:p w14:paraId="42A693E2" w14:textId="77777777" w:rsidR="00B8377E" w:rsidRDefault="00B8377E" w:rsidP="00B8377E">
      <w:pPr>
        <w:jc w:val="both"/>
        <w:rPr>
          <w:sz w:val="18"/>
        </w:rPr>
      </w:pPr>
    </w:p>
    <w:p w14:paraId="60FF25AF" w14:textId="2638FF1A" w:rsidR="00B8377E" w:rsidRDefault="00B8377E" w:rsidP="00B8377E">
      <w:pPr>
        <w:ind w:left="720"/>
        <w:rPr>
          <w:sz w:val="18"/>
        </w:rPr>
        <w:sectPr w:rsidR="00B8377E" w:rsidSect="00762523">
          <w:pgSz w:w="12240" w:h="15840"/>
          <w:pgMar w:top="1360" w:right="240" w:bottom="280" w:left="620" w:header="720" w:footer="720" w:gutter="0"/>
          <w:cols w:space="720"/>
        </w:sectPr>
      </w:pPr>
      <w:bookmarkStart w:id="9" w:name="_Hlk166156904"/>
      <w:r w:rsidRPr="00B8377E">
        <w:rPr>
          <w:sz w:val="18"/>
        </w:rPr>
        <w:t>Figure6 depicts the illustration of training six shallow deep learning models involves initial steps of feature extraction and selection, followed by hyperparameter tuning to optimize model performance. The process concludes with model validation, ensuring robustness and effectiveness in handling diverse datasets and tasks. The comparative study of the performance of six shallow deep learning models for myelitis detection is discussed in Table3 and Figure 6</w:t>
      </w:r>
      <w:r>
        <w:rPr>
          <w:sz w:val="18"/>
        </w:rPr>
        <w:t>.</w:t>
      </w:r>
    </w:p>
    <w:bookmarkEnd w:id="9"/>
    <w:p w14:paraId="48DBB9F4" w14:textId="77777777" w:rsidR="00216FB7" w:rsidRDefault="00216FB7">
      <w:pPr>
        <w:pStyle w:val="BodyText"/>
        <w:spacing w:before="4"/>
        <w:rPr>
          <w:sz w:val="24"/>
        </w:rPr>
      </w:pPr>
    </w:p>
    <w:p w14:paraId="3079AA1F" w14:textId="77777777" w:rsidR="00216FB7" w:rsidRDefault="00000000">
      <w:pPr>
        <w:ind w:left="912" w:right="1185"/>
        <w:jc w:val="center"/>
        <w:rPr>
          <w:sz w:val="18"/>
        </w:rPr>
      </w:pPr>
      <w:r>
        <w:rPr>
          <w:b/>
          <w:sz w:val="18"/>
        </w:rPr>
        <w:t>Table</w:t>
      </w:r>
      <w:r>
        <w:rPr>
          <w:b/>
          <w:spacing w:val="-2"/>
          <w:sz w:val="18"/>
        </w:rPr>
        <w:t xml:space="preserve"> </w:t>
      </w:r>
      <w:r>
        <w:rPr>
          <w:b/>
          <w:sz w:val="18"/>
        </w:rPr>
        <w:t>3:</w:t>
      </w:r>
      <w:r>
        <w:rPr>
          <w:b/>
          <w:spacing w:val="-2"/>
          <w:sz w:val="18"/>
        </w:rPr>
        <w:t xml:space="preserve"> </w:t>
      </w:r>
      <w:bookmarkStart w:id="10" w:name="_Hlk166156937"/>
      <w:r>
        <w:rPr>
          <w:sz w:val="18"/>
        </w:rPr>
        <w:t>Comparison</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performance</w:t>
      </w:r>
      <w:r>
        <w:rPr>
          <w:spacing w:val="-2"/>
          <w:sz w:val="18"/>
        </w:rPr>
        <w:t xml:space="preserve"> </w:t>
      </w:r>
      <w:r>
        <w:rPr>
          <w:sz w:val="18"/>
        </w:rPr>
        <w:t>of</w:t>
      </w:r>
      <w:r>
        <w:rPr>
          <w:spacing w:val="-3"/>
          <w:sz w:val="18"/>
        </w:rPr>
        <w:t xml:space="preserve"> </w:t>
      </w:r>
      <w:r>
        <w:rPr>
          <w:sz w:val="18"/>
        </w:rPr>
        <w:t>six</w:t>
      </w:r>
      <w:r>
        <w:rPr>
          <w:spacing w:val="-3"/>
          <w:sz w:val="18"/>
        </w:rPr>
        <w:t xml:space="preserve"> </w:t>
      </w:r>
      <w:r>
        <w:rPr>
          <w:sz w:val="18"/>
        </w:rPr>
        <w:t>shallow</w:t>
      </w:r>
      <w:r>
        <w:rPr>
          <w:spacing w:val="-3"/>
          <w:sz w:val="18"/>
        </w:rPr>
        <w:t xml:space="preserve"> </w:t>
      </w:r>
      <w:r>
        <w:rPr>
          <w:sz w:val="18"/>
        </w:rPr>
        <w:t>machine</w:t>
      </w:r>
      <w:r>
        <w:rPr>
          <w:spacing w:val="-3"/>
          <w:sz w:val="18"/>
        </w:rPr>
        <w:t xml:space="preserve"> </w:t>
      </w:r>
      <w:r>
        <w:rPr>
          <w:sz w:val="18"/>
        </w:rPr>
        <w:t>learning</w:t>
      </w:r>
      <w:r>
        <w:rPr>
          <w:spacing w:val="-2"/>
          <w:sz w:val="18"/>
        </w:rPr>
        <w:t xml:space="preserve"> </w:t>
      </w:r>
      <w:r>
        <w:rPr>
          <w:sz w:val="18"/>
        </w:rPr>
        <w:t>models</w:t>
      </w:r>
      <w:r>
        <w:rPr>
          <w:spacing w:val="-4"/>
          <w:sz w:val="18"/>
        </w:rPr>
        <w:t xml:space="preserve"> </w:t>
      </w:r>
      <w:r>
        <w:rPr>
          <w:sz w:val="18"/>
        </w:rPr>
        <w:t>according</w:t>
      </w:r>
      <w:r>
        <w:rPr>
          <w:spacing w:val="-2"/>
          <w:sz w:val="18"/>
        </w:rPr>
        <w:t xml:space="preserve"> </w:t>
      </w:r>
      <w:r>
        <w:rPr>
          <w:sz w:val="18"/>
        </w:rPr>
        <w:t>to</w:t>
      </w:r>
      <w:r>
        <w:rPr>
          <w:spacing w:val="-3"/>
          <w:sz w:val="18"/>
        </w:rPr>
        <w:t xml:space="preserve"> </w:t>
      </w:r>
      <w:r>
        <w:rPr>
          <w:sz w:val="18"/>
        </w:rPr>
        <w:t>the</w:t>
      </w:r>
      <w:r>
        <w:rPr>
          <w:spacing w:val="-2"/>
          <w:sz w:val="18"/>
        </w:rPr>
        <w:t xml:space="preserve"> </w:t>
      </w:r>
      <w:r>
        <w:rPr>
          <w:sz w:val="18"/>
        </w:rPr>
        <w:t>data</w:t>
      </w:r>
      <w:r>
        <w:rPr>
          <w:spacing w:val="-3"/>
          <w:sz w:val="18"/>
        </w:rPr>
        <w:t xml:space="preserve"> </w:t>
      </w:r>
      <w:r>
        <w:rPr>
          <w:sz w:val="18"/>
        </w:rPr>
        <w:t>type</w:t>
      </w:r>
      <w:bookmarkEnd w:id="10"/>
      <w:r>
        <w:rPr>
          <w:sz w:val="18"/>
        </w:rPr>
        <w:t>.[8]</w:t>
      </w:r>
    </w:p>
    <w:p w14:paraId="468030FE" w14:textId="77777777" w:rsidR="00216FB7" w:rsidRDefault="00216FB7">
      <w:pPr>
        <w:pStyle w:val="BodyText"/>
        <w:spacing w:before="3"/>
        <w:rPr>
          <w:sz w:val="9"/>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096"/>
        <w:gridCol w:w="990"/>
        <w:gridCol w:w="1080"/>
        <w:gridCol w:w="1141"/>
        <w:gridCol w:w="1015"/>
        <w:gridCol w:w="1081"/>
        <w:gridCol w:w="1140"/>
        <w:gridCol w:w="1020"/>
        <w:gridCol w:w="1080"/>
      </w:tblGrid>
      <w:tr w:rsidR="00216FB7" w14:paraId="5C61B444" w14:textId="77777777">
        <w:trPr>
          <w:trHeight w:val="622"/>
        </w:trPr>
        <w:tc>
          <w:tcPr>
            <w:tcW w:w="1157" w:type="dxa"/>
            <w:vMerge w:val="restart"/>
          </w:tcPr>
          <w:p w14:paraId="3EE44FEC" w14:textId="77777777" w:rsidR="00216FB7" w:rsidRDefault="00000000">
            <w:pPr>
              <w:pStyle w:val="TableParagraph"/>
              <w:spacing w:before="108"/>
              <w:ind w:left="115"/>
              <w:rPr>
                <w:sz w:val="20"/>
              </w:rPr>
            </w:pPr>
            <w:bookmarkStart w:id="11" w:name="_Hlk166156965"/>
            <w:r>
              <w:rPr>
                <w:sz w:val="20"/>
              </w:rPr>
              <w:t>Classifier</w:t>
            </w:r>
          </w:p>
        </w:tc>
        <w:tc>
          <w:tcPr>
            <w:tcW w:w="1096" w:type="dxa"/>
          </w:tcPr>
          <w:p w14:paraId="57DAEDCB" w14:textId="77777777" w:rsidR="00216FB7" w:rsidRDefault="00216FB7">
            <w:pPr>
              <w:pStyle w:val="TableParagraph"/>
              <w:rPr>
                <w:sz w:val="18"/>
              </w:rPr>
            </w:pPr>
          </w:p>
        </w:tc>
        <w:tc>
          <w:tcPr>
            <w:tcW w:w="990" w:type="dxa"/>
          </w:tcPr>
          <w:p w14:paraId="04E17584" w14:textId="77777777" w:rsidR="00216FB7" w:rsidRDefault="00216FB7">
            <w:pPr>
              <w:pStyle w:val="TableParagraph"/>
              <w:rPr>
                <w:sz w:val="21"/>
              </w:rPr>
            </w:pPr>
          </w:p>
          <w:p w14:paraId="58660A97" w14:textId="77777777" w:rsidR="00216FB7" w:rsidRDefault="00000000">
            <w:pPr>
              <w:pStyle w:val="TableParagraph"/>
              <w:ind w:right="203"/>
              <w:jc w:val="right"/>
              <w:rPr>
                <w:sz w:val="20"/>
              </w:rPr>
            </w:pPr>
            <w:r>
              <w:rPr>
                <w:sz w:val="20"/>
              </w:rPr>
              <w:t>Surface</w:t>
            </w:r>
          </w:p>
        </w:tc>
        <w:tc>
          <w:tcPr>
            <w:tcW w:w="1080" w:type="dxa"/>
          </w:tcPr>
          <w:p w14:paraId="5DB12130" w14:textId="77777777" w:rsidR="00216FB7" w:rsidRDefault="00216FB7">
            <w:pPr>
              <w:pStyle w:val="TableParagraph"/>
              <w:rPr>
                <w:sz w:val="18"/>
              </w:rPr>
            </w:pPr>
          </w:p>
        </w:tc>
        <w:tc>
          <w:tcPr>
            <w:tcW w:w="1141" w:type="dxa"/>
          </w:tcPr>
          <w:p w14:paraId="6F532293" w14:textId="77777777" w:rsidR="00216FB7" w:rsidRDefault="00216FB7">
            <w:pPr>
              <w:pStyle w:val="TableParagraph"/>
              <w:rPr>
                <w:sz w:val="18"/>
              </w:rPr>
            </w:pPr>
          </w:p>
        </w:tc>
        <w:tc>
          <w:tcPr>
            <w:tcW w:w="1015" w:type="dxa"/>
          </w:tcPr>
          <w:p w14:paraId="63625012" w14:textId="77777777" w:rsidR="00216FB7" w:rsidRDefault="00216FB7">
            <w:pPr>
              <w:pStyle w:val="TableParagraph"/>
              <w:rPr>
                <w:sz w:val="21"/>
              </w:rPr>
            </w:pPr>
          </w:p>
          <w:p w14:paraId="4DA6A751" w14:textId="77777777" w:rsidR="00216FB7" w:rsidRDefault="00000000">
            <w:pPr>
              <w:pStyle w:val="TableParagraph"/>
              <w:ind w:right="247"/>
              <w:jc w:val="right"/>
              <w:rPr>
                <w:sz w:val="20"/>
              </w:rPr>
            </w:pPr>
            <w:r>
              <w:rPr>
                <w:sz w:val="20"/>
              </w:rPr>
              <w:t>Section</w:t>
            </w:r>
          </w:p>
        </w:tc>
        <w:tc>
          <w:tcPr>
            <w:tcW w:w="1081" w:type="dxa"/>
          </w:tcPr>
          <w:p w14:paraId="0D6DB408" w14:textId="77777777" w:rsidR="00216FB7" w:rsidRDefault="00216FB7">
            <w:pPr>
              <w:pStyle w:val="TableParagraph"/>
              <w:rPr>
                <w:sz w:val="18"/>
              </w:rPr>
            </w:pPr>
          </w:p>
        </w:tc>
        <w:tc>
          <w:tcPr>
            <w:tcW w:w="1140" w:type="dxa"/>
          </w:tcPr>
          <w:p w14:paraId="44A05612" w14:textId="77777777" w:rsidR="00216FB7" w:rsidRDefault="00216FB7">
            <w:pPr>
              <w:pStyle w:val="TableParagraph"/>
              <w:rPr>
                <w:sz w:val="18"/>
              </w:rPr>
            </w:pPr>
          </w:p>
        </w:tc>
        <w:tc>
          <w:tcPr>
            <w:tcW w:w="1020" w:type="dxa"/>
          </w:tcPr>
          <w:p w14:paraId="5612CF19" w14:textId="77777777" w:rsidR="00216FB7" w:rsidRDefault="00216FB7">
            <w:pPr>
              <w:pStyle w:val="TableParagraph"/>
              <w:rPr>
                <w:sz w:val="21"/>
              </w:rPr>
            </w:pPr>
          </w:p>
          <w:p w14:paraId="2A9FD4C4" w14:textId="77777777" w:rsidR="00216FB7" w:rsidRDefault="00000000">
            <w:pPr>
              <w:pStyle w:val="TableParagraph"/>
              <w:ind w:right="270"/>
              <w:jc w:val="right"/>
              <w:rPr>
                <w:sz w:val="20"/>
              </w:rPr>
            </w:pPr>
            <w:r>
              <w:rPr>
                <w:sz w:val="20"/>
              </w:rPr>
              <w:t>Mixed</w:t>
            </w:r>
          </w:p>
        </w:tc>
        <w:tc>
          <w:tcPr>
            <w:tcW w:w="1080" w:type="dxa"/>
          </w:tcPr>
          <w:p w14:paraId="50B21F25" w14:textId="77777777" w:rsidR="00216FB7" w:rsidRDefault="00216FB7">
            <w:pPr>
              <w:pStyle w:val="TableParagraph"/>
              <w:rPr>
                <w:sz w:val="18"/>
              </w:rPr>
            </w:pPr>
          </w:p>
        </w:tc>
      </w:tr>
      <w:tr w:rsidR="00216FB7" w14:paraId="4B2B217B" w14:textId="77777777">
        <w:trPr>
          <w:trHeight w:val="581"/>
        </w:trPr>
        <w:tc>
          <w:tcPr>
            <w:tcW w:w="1157" w:type="dxa"/>
            <w:vMerge/>
            <w:tcBorders>
              <w:top w:val="nil"/>
            </w:tcBorders>
          </w:tcPr>
          <w:p w14:paraId="2B4D8F23" w14:textId="77777777" w:rsidR="00216FB7" w:rsidRDefault="00216FB7">
            <w:pPr>
              <w:rPr>
                <w:sz w:val="2"/>
                <w:szCs w:val="2"/>
              </w:rPr>
            </w:pPr>
          </w:p>
        </w:tc>
        <w:tc>
          <w:tcPr>
            <w:tcW w:w="1096" w:type="dxa"/>
          </w:tcPr>
          <w:p w14:paraId="597903E9" w14:textId="77777777" w:rsidR="00216FB7" w:rsidRDefault="00216FB7">
            <w:pPr>
              <w:pStyle w:val="TableParagraph"/>
              <w:spacing w:before="2"/>
              <w:rPr>
                <w:sz w:val="19"/>
              </w:rPr>
            </w:pPr>
          </w:p>
          <w:p w14:paraId="1297E574" w14:textId="77777777" w:rsidR="00216FB7" w:rsidRDefault="00000000">
            <w:pPr>
              <w:pStyle w:val="TableParagraph"/>
              <w:ind w:left="134" w:right="166"/>
              <w:jc w:val="center"/>
              <w:rPr>
                <w:sz w:val="20"/>
              </w:rPr>
            </w:pPr>
            <w:r>
              <w:rPr>
                <w:sz w:val="20"/>
              </w:rPr>
              <w:t>Precision</w:t>
            </w:r>
          </w:p>
        </w:tc>
        <w:tc>
          <w:tcPr>
            <w:tcW w:w="990" w:type="dxa"/>
          </w:tcPr>
          <w:p w14:paraId="684A4484" w14:textId="77777777" w:rsidR="00216FB7" w:rsidRDefault="00216FB7">
            <w:pPr>
              <w:pStyle w:val="TableParagraph"/>
              <w:spacing w:before="2"/>
              <w:rPr>
                <w:sz w:val="19"/>
              </w:rPr>
            </w:pPr>
          </w:p>
          <w:p w14:paraId="043370B2" w14:textId="77777777" w:rsidR="00216FB7" w:rsidRDefault="00000000">
            <w:pPr>
              <w:pStyle w:val="TableParagraph"/>
              <w:ind w:right="225"/>
              <w:jc w:val="right"/>
              <w:rPr>
                <w:sz w:val="20"/>
              </w:rPr>
            </w:pPr>
            <w:r>
              <w:rPr>
                <w:sz w:val="20"/>
              </w:rPr>
              <w:t>Recall</w:t>
            </w:r>
          </w:p>
        </w:tc>
        <w:tc>
          <w:tcPr>
            <w:tcW w:w="1080" w:type="dxa"/>
          </w:tcPr>
          <w:p w14:paraId="44770FFD" w14:textId="77777777" w:rsidR="00216FB7" w:rsidRDefault="00216FB7">
            <w:pPr>
              <w:pStyle w:val="TableParagraph"/>
              <w:spacing w:before="2"/>
              <w:rPr>
                <w:sz w:val="19"/>
              </w:rPr>
            </w:pPr>
          </w:p>
          <w:p w14:paraId="26AD4703" w14:textId="77777777" w:rsidR="00216FB7" w:rsidRDefault="00000000">
            <w:pPr>
              <w:pStyle w:val="TableParagraph"/>
              <w:ind w:left="329" w:right="329"/>
              <w:jc w:val="center"/>
              <w:rPr>
                <w:sz w:val="20"/>
              </w:rPr>
            </w:pPr>
            <w:r>
              <w:rPr>
                <w:sz w:val="20"/>
              </w:rPr>
              <w:t>F1</w:t>
            </w:r>
          </w:p>
        </w:tc>
        <w:tc>
          <w:tcPr>
            <w:tcW w:w="1141" w:type="dxa"/>
          </w:tcPr>
          <w:p w14:paraId="6089F95B" w14:textId="77777777" w:rsidR="00216FB7" w:rsidRDefault="00216FB7">
            <w:pPr>
              <w:pStyle w:val="TableParagraph"/>
              <w:spacing w:before="2"/>
              <w:rPr>
                <w:sz w:val="19"/>
              </w:rPr>
            </w:pPr>
          </w:p>
          <w:p w14:paraId="28300BE6" w14:textId="77777777" w:rsidR="00216FB7" w:rsidRDefault="00000000">
            <w:pPr>
              <w:pStyle w:val="TableParagraph"/>
              <w:ind w:left="174" w:right="171"/>
              <w:jc w:val="center"/>
              <w:rPr>
                <w:sz w:val="20"/>
              </w:rPr>
            </w:pPr>
            <w:r>
              <w:rPr>
                <w:sz w:val="20"/>
              </w:rPr>
              <w:t>Precision</w:t>
            </w:r>
          </w:p>
        </w:tc>
        <w:tc>
          <w:tcPr>
            <w:tcW w:w="1015" w:type="dxa"/>
          </w:tcPr>
          <w:p w14:paraId="56454959" w14:textId="77777777" w:rsidR="00216FB7" w:rsidRDefault="00216FB7">
            <w:pPr>
              <w:pStyle w:val="TableParagraph"/>
              <w:spacing w:before="2"/>
              <w:rPr>
                <w:sz w:val="19"/>
              </w:rPr>
            </w:pPr>
          </w:p>
          <w:p w14:paraId="3B1BD085" w14:textId="77777777" w:rsidR="00216FB7" w:rsidRDefault="00000000">
            <w:pPr>
              <w:pStyle w:val="TableParagraph"/>
              <w:ind w:right="240"/>
              <w:jc w:val="right"/>
              <w:rPr>
                <w:sz w:val="20"/>
              </w:rPr>
            </w:pPr>
            <w:r>
              <w:rPr>
                <w:sz w:val="20"/>
              </w:rPr>
              <w:t>Recall</w:t>
            </w:r>
          </w:p>
        </w:tc>
        <w:tc>
          <w:tcPr>
            <w:tcW w:w="1081" w:type="dxa"/>
          </w:tcPr>
          <w:p w14:paraId="351B5B74" w14:textId="77777777" w:rsidR="00216FB7" w:rsidRDefault="00216FB7">
            <w:pPr>
              <w:pStyle w:val="TableParagraph"/>
              <w:spacing w:before="2"/>
              <w:rPr>
                <w:sz w:val="19"/>
              </w:rPr>
            </w:pPr>
          </w:p>
          <w:p w14:paraId="75904283" w14:textId="77777777" w:rsidR="00216FB7" w:rsidRDefault="00000000">
            <w:pPr>
              <w:pStyle w:val="TableParagraph"/>
              <w:ind w:left="339" w:right="332"/>
              <w:jc w:val="center"/>
              <w:rPr>
                <w:sz w:val="20"/>
              </w:rPr>
            </w:pPr>
            <w:r>
              <w:rPr>
                <w:sz w:val="20"/>
              </w:rPr>
              <w:t>F1</w:t>
            </w:r>
          </w:p>
        </w:tc>
        <w:tc>
          <w:tcPr>
            <w:tcW w:w="1140" w:type="dxa"/>
          </w:tcPr>
          <w:p w14:paraId="3A547F78" w14:textId="77777777" w:rsidR="00216FB7" w:rsidRDefault="00216FB7">
            <w:pPr>
              <w:pStyle w:val="TableParagraph"/>
              <w:spacing w:before="2"/>
              <w:rPr>
                <w:sz w:val="19"/>
              </w:rPr>
            </w:pPr>
          </w:p>
          <w:p w14:paraId="56AAFD61" w14:textId="77777777" w:rsidR="00216FB7" w:rsidRDefault="00000000">
            <w:pPr>
              <w:pStyle w:val="TableParagraph"/>
              <w:ind w:left="183" w:right="162"/>
              <w:jc w:val="center"/>
              <w:rPr>
                <w:sz w:val="20"/>
              </w:rPr>
            </w:pPr>
            <w:r>
              <w:rPr>
                <w:sz w:val="20"/>
              </w:rPr>
              <w:t>Precision</w:t>
            </w:r>
          </w:p>
        </w:tc>
        <w:tc>
          <w:tcPr>
            <w:tcW w:w="1020" w:type="dxa"/>
          </w:tcPr>
          <w:p w14:paraId="78C74375" w14:textId="77777777" w:rsidR="00216FB7" w:rsidRDefault="00216FB7">
            <w:pPr>
              <w:pStyle w:val="TableParagraph"/>
              <w:spacing w:before="2"/>
              <w:rPr>
                <w:sz w:val="19"/>
              </w:rPr>
            </w:pPr>
          </w:p>
          <w:p w14:paraId="0F73DBD0" w14:textId="77777777" w:rsidR="00216FB7" w:rsidRDefault="00000000">
            <w:pPr>
              <w:pStyle w:val="TableParagraph"/>
              <w:ind w:right="235"/>
              <w:jc w:val="right"/>
              <w:rPr>
                <w:sz w:val="20"/>
              </w:rPr>
            </w:pPr>
            <w:r>
              <w:rPr>
                <w:sz w:val="20"/>
              </w:rPr>
              <w:t>Recall</w:t>
            </w:r>
          </w:p>
        </w:tc>
        <w:tc>
          <w:tcPr>
            <w:tcW w:w="1080" w:type="dxa"/>
          </w:tcPr>
          <w:p w14:paraId="6AC47B39" w14:textId="77777777" w:rsidR="00216FB7" w:rsidRDefault="00216FB7">
            <w:pPr>
              <w:pStyle w:val="TableParagraph"/>
              <w:spacing w:before="2"/>
              <w:rPr>
                <w:sz w:val="19"/>
              </w:rPr>
            </w:pPr>
          </w:p>
          <w:p w14:paraId="0EB8308C" w14:textId="77777777" w:rsidR="00216FB7" w:rsidRDefault="00000000">
            <w:pPr>
              <w:pStyle w:val="TableParagraph"/>
              <w:ind w:left="344" w:right="325"/>
              <w:jc w:val="center"/>
              <w:rPr>
                <w:sz w:val="20"/>
              </w:rPr>
            </w:pPr>
            <w:r>
              <w:rPr>
                <w:sz w:val="20"/>
              </w:rPr>
              <w:t>F1</w:t>
            </w:r>
          </w:p>
        </w:tc>
      </w:tr>
      <w:tr w:rsidR="00216FB7" w14:paraId="50C07114" w14:textId="77777777">
        <w:trPr>
          <w:trHeight w:val="582"/>
        </w:trPr>
        <w:tc>
          <w:tcPr>
            <w:tcW w:w="1157" w:type="dxa"/>
          </w:tcPr>
          <w:p w14:paraId="50B0557B" w14:textId="77777777" w:rsidR="00216FB7" w:rsidRDefault="00216FB7">
            <w:pPr>
              <w:pStyle w:val="TableParagraph"/>
              <w:spacing w:before="2"/>
              <w:rPr>
                <w:sz w:val="19"/>
              </w:rPr>
            </w:pPr>
          </w:p>
          <w:p w14:paraId="17CC3BCF" w14:textId="77777777" w:rsidR="00216FB7" w:rsidRDefault="00000000">
            <w:pPr>
              <w:pStyle w:val="TableParagraph"/>
              <w:ind w:left="359"/>
              <w:rPr>
                <w:sz w:val="20"/>
              </w:rPr>
            </w:pPr>
            <w:r>
              <w:rPr>
                <w:sz w:val="20"/>
              </w:rPr>
              <w:t>SVM</w:t>
            </w:r>
          </w:p>
        </w:tc>
        <w:tc>
          <w:tcPr>
            <w:tcW w:w="1096" w:type="dxa"/>
          </w:tcPr>
          <w:p w14:paraId="111F2BCD" w14:textId="77777777" w:rsidR="00216FB7" w:rsidRDefault="00216FB7">
            <w:pPr>
              <w:pStyle w:val="TableParagraph"/>
              <w:spacing w:before="2"/>
              <w:rPr>
                <w:sz w:val="19"/>
              </w:rPr>
            </w:pPr>
          </w:p>
          <w:p w14:paraId="73E00267" w14:textId="77777777" w:rsidR="00216FB7" w:rsidRDefault="00000000">
            <w:pPr>
              <w:pStyle w:val="TableParagraph"/>
              <w:ind w:left="134" w:right="123"/>
              <w:jc w:val="center"/>
              <w:rPr>
                <w:sz w:val="20"/>
              </w:rPr>
            </w:pPr>
            <w:r>
              <w:rPr>
                <w:sz w:val="20"/>
              </w:rPr>
              <w:t>0.83</w:t>
            </w:r>
          </w:p>
        </w:tc>
        <w:tc>
          <w:tcPr>
            <w:tcW w:w="990" w:type="dxa"/>
          </w:tcPr>
          <w:p w14:paraId="73C92CB1" w14:textId="77777777" w:rsidR="00216FB7" w:rsidRDefault="00216FB7">
            <w:pPr>
              <w:pStyle w:val="TableParagraph"/>
              <w:spacing w:before="2"/>
              <w:rPr>
                <w:sz w:val="19"/>
              </w:rPr>
            </w:pPr>
          </w:p>
          <w:p w14:paraId="07C46523" w14:textId="77777777" w:rsidR="00216FB7" w:rsidRDefault="00000000">
            <w:pPr>
              <w:pStyle w:val="TableParagraph"/>
              <w:ind w:left="320"/>
              <w:rPr>
                <w:sz w:val="20"/>
              </w:rPr>
            </w:pPr>
            <w:r>
              <w:rPr>
                <w:sz w:val="20"/>
              </w:rPr>
              <w:t>0.86</w:t>
            </w:r>
          </w:p>
        </w:tc>
        <w:tc>
          <w:tcPr>
            <w:tcW w:w="1080" w:type="dxa"/>
          </w:tcPr>
          <w:p w14:paraId="1468934F" w14:textId="77777777" w:rsidR="00216FB7" w:rsidRDefault="00216FB7">
            <w:pPr>
              <w:pStyle w:val="TableParagraph"/>
              <w:spacing w:before="2"/>
              <w:rPr>
                <w:sz w:val="19"/>
              </w:rPr>
            </w:pPr>
          </w:p>
          <w:p w14:paraId="0AE7FBE5" w14:textId="77777777" w:rsidR="00216FB7" w:rsidRDefault="00000000">
            <w:pPr>
              <w:pStyle w:val="TableParagraph"/>
              <w:ind w:left="338" w:right="329"/>
              <w:jc w:val="center"/>
              <w:rPr>
                <w:sz w:val="20"/>
              </w:rPr>
            </w:pPr>
            <w:r>
              <w:rPr>
                <w:sz w:val="20"/>
              </w:rPr>
              <w:t>0.84</w:t>
            </w:r>
          </w:p>
        </w:tc>
        <w:tc>
          <w:tcPr>
            <w:tcW w:w="1141" w:type="dxa"/>
          </w:tcPr>
          <w:p w14:paraId="00B72A88" w14:textId="77777777" w:rsidR="00216FB7" w:rsidRDefault="00216FB7">
            <w:pPr>
              <w:pStyle w:val="TableParagraph"/>
              <w:spacing w:before="2"/>
              <w:rPr>
                <w:sz w:val="19"/>
              </w:rPr>
            </w:pPr>
          </w:p>
          <w:p w14:paraId="0DE74893" w14:textId="77777777" w:rsidR="00216FB7" w:rsidRDefault="00000000">
            <w:pPr>
              <w:pStyle w:val="TableParagraph"/>
              <w:ind w:left="174" w:right="164"/>
              <w:jc w:val="center"/>
              <w:rPr>
                <w:sz w:val="20"/>
              </w:rPr>
            </w:pPr>
            <w:r>
              <w:rPr>
                <w:sz w:val="20"/>
              </w:rPr>
              <w:t>0.76</w:t>
            </w:r>
          </w:p>
        </w:tc>
        <w:tc>
          <w:tcPr>
            <w:tcW w:w="1015" w:type="dxa"/>
          </w:tcPr>
          <w:p w14:paraId="7CD7E679" w14:textId="77777777" w:rsidR="00216FB7" w:rsidRDefault="00216FB7">
            <w:pPr>
              <w:pStyle w:val="TableParagraph"/>
              <w:spacing w:before="2"/>
              <w:rPr>
                <w:sz w:val="19"/>
              </w:rPr>
            </w:pPr>
          </w:p>
          <w:p w14:paraId="01B1A8B5" w14:textId="77777777" w:rsidR="00216FB7" w:rsidRDefault="00000000">
            <w:pPr>
              <w:pStyle w:val="TableParagraph"/>
              <w:ind w:left="333"/>
              <w:rPr>
                <w:sz w:val="20"/>
              </w:rPr>
            </w:pPr>
            <w:r>
              <w:rPr>
                <w:sz w:val="20"/>
              </w:rPr>
              <w:t>0.86</w:t>
            </w:r>
          </w:p>
        </w:tc>
        <w:tc>
          <w:tcPr>
            <w:tcW w:w="1081" w:type="dxa"/>
          </w:tcPr>
          <w:p w14:paraId="17A1E379" w14:textId="77777777" w:rsidR="00216FB7" w:rsidRDefault="00216FB7">
            <w:pPr>
              <w:pStyle w:val="TableParagraph"/>
              <w:spacing w:before="2"/>
              <w:rPr>
                <w:sz w:val="19"/>
              </w:rPr>
            </w:pPr>
          </w:p>
          <w:p w14:paraId="38A069E2" w14:textId="77777777" w:rsidR="00216FB7" w:rsidRDefault="00000000">
            <w:pPr>
              <w:pStyle w:val="TableParagraph"/>
              <w:ind w:left="349" w:right="332"/>
              <w:jc w:val="center"/>
              <w:rPr>
                <w:sz w:val="20"/>
              </w:rPr>
            </w:pPr>
            <w:r>
              <w:rPr>
                <w:sz w:val="20"/>
              </w:rPr>
              <w:t>0.80</w:t>
            </w:r>
          </w:p>
        </w:tc>
        <w:tc>
          <w:tcPr>
            <w:tcW w:w="1140" w:type="dxa"/>
          </w:tcPr>
          <w:p w14:paraId="7D0AD42C" w14:textId="77777777" w:rsidR="00216FB7" w:rsidRDefault="00216FB7">
            <w:pPr>
              <w:pStyle w:val="TableParagraph"/>
              <w:spacing w:before="2"/>
              <w:rPr>
                <w:sz w:val="19"/>
              </w:rPr>
            </w:pPr>
          </w:p>
          <w:p w14:paraId="237A8A5B" w14:textId="77777777" w:rsidR="00216FB7" w:rsidRDefault="00000000">
            <w:pPr>
              <w:pStyle w:val="TableParagraph"/>
              <w:ind w:left="180" w:right="162"/>
              <w:jc w:val="center"/>
              <w:rPr>
                <w:sz w:val="20"/>
              </w:rPr>
            </w:pPr>
            <w:r>
              <w:rPr>
                <w:sz w:val="20"/>
              </w:rPr>
              <w:t>0.79</w:t>
            </w:r>
          </w:p>
        </w:tc>
        <w:tc>
          <w:tcPr>
            <w:tcW w:w="1020" w:type="dxa"/>
          </w:tcPr>
          <w:p w14:paraId="2F1A8DF7" w14:textId="77777777" w:rsidR="00216FB7" w:rsidRDefault="00216FB7">
            <w:pPr>
              <w:pStyle w:val="TableParagraph"/>
              <w:spacing w:before="2"/>
              <w:rPr>
                <w:sz w:val="19"/>
              </w:rPr>
            </w:pPr>
          </w:p>
          <w:p w14:paraId="28C50C75" w14:textId="77777777" w:rsidR="00216FB7" w:rsidRDefault="00000000">
            <w:pPr>
              <w:pStyle w:val="TableParagraph"/>
              <w:ind w:right="318"/>
              <w:jc w:val="right"/>
              <w:rPr>
                <w:sz w:val="20"/>
              </w:rPr>
            </w:pPr>
            <w:r>
              <w:rPr>
                <w:sz w:val="20"/>
              </w:rPr>
              <w:t>0.77</w:t>
            </w:r>
          </w:p>
        </w:tc>
        <w:tc>
          <w:tcPr>
            <w:tcW w:w="1080" w:type="dxa"/>
          </w:tcPr>
          <w:p w14:paraId="2A7BA22C" w14:textId="77777777" w:rsidR="00216FB7" w:rsidRDefault="00216FB7">
            <w:pPr>
              <w:pStyle w:val="TableParagraph"/>
              <w:spacing w:before="2"/>
              <w:rPr>
                <w:sz w:val="19"/>
              </w:rPr>
            </w:pPr>
          </w:p>
          <w:p w14:paraId="64093844" w14:textId="77777777" w:rsidR="00216FB7" w:rsidRDefault="00000000">
            <w:pPr>
              <w:pStyle w:val="TableParagraph"/>
              <w:ind w:left="344" w:right="323"/>
              <w:jc w:val="center"/>
              <w:rPr>
                <w:sz w:val="20"/>
              </w:rPr>
            </w:pPr>
            <w:r>
              <w:rPr>
                <w:sz w:val="20"/>
              </w:rPr>
              <w:t>0.78</w:t>
            </w:r>
          </w:p>
        </w:tc>
      </w:tr>
      <w:tr w:rsidR="00216FB7" w14:paraId="12DD590B" w14:textId="77777777">
        <w:trPr>
          <w:trHeight w:val="586"/>
        </w:trPr>
        <w:tc>
          <w:tcPr>
            <w:tcW w:w="1157" w:type="dxa"/>
          </w:tcPr>
          <w:p w14:paraId="01BEE715" w14:textId="77777777" w:rsidR="00216FB7" w:rsidRDefault="00216FB7">
            <w:pPr>
              <w:pStyle w:val="TableParagraph"/>
              <w:spacing w:before="5"/>
              <w:rPr>
                <w:sz w:val="19"/>
              </w:rPr>
            </w:pPr>
          </w:p>
          <w:p w14:paraId="13B3C9CD" w14:textId="77777777" w:rsidR="00216FB7" w:rsidRDefault="00000000">
            <w:pPr>
              <w:pStyle w:val="TableParagraph"/>
              <w:ind w:right="188"/>
              <w:jc w:val="right"/>
              <w:rPr>
                <w:sz w:val="20"/>
              </w:rPr>
            </w:pPr>
            <w:r>
              <w:rPr>
                <w:sz w:val="20"/>
              </w:rPr>
              <w:t>AdaBoost</w:t>
            </w:r>
          </w:p>
        </w:tc>
        <w:tc>
          <w:tcPr>
            <w:tcW w:w="1096" w:type="dxa"/>
          </w:tcPr>
          <w:p w14:paraId="735187A7" w14:textId="77777777" w:rsidR="00216FB7" w:rsidRDefault="00216FB7">
            <w:pPr>
              <w:pStyle w:val="TableParagraph"/>
              <w:spacing w:before="5"/>
              <w:rPr>
                <w:sz w:val="19"/>
              </w:rPr>
            </w:pPr>
          </w:p>
          <w:p w14:paraId="19CDFBC5" w14:textId="77777777" w:rsidR="00216FB7" w:rsidRDefault="00000000">
            <w:pPr>
              <w:pStyle w:val="TableParagraph"/>
              <w:ind w:left="134" w:right="123"/>
              <w:jc w:val="center"/>
              <w:rPr>
                <w:sz w:val="20"/>
              </w:rPr>
            </w:pPr>
            <w:r>
              <w:rPr>
                <w:sz w:val="20"/>
              </w:rPr>
              <w:t>0.83</w:t>
            </w:r>
          </w:p>
        </w:tc>
        <w:tc>
          <w:tcPr>
            <w:tcW w:w="990" w:type="dxa"/>
          </w:tcPr>
          <w:p w14:paraId="0E406FD7" w14:textId="77777777" w:rsidR="00216FB7" w:rsidRDefault="00216FB7">
            <w:pPr>
              <w:pStyle w:val="TableParagraph"/>
              <w:spacing w:before="5"/>
              <w:rPr>
                <w:sz w:val="19"/>
              </w:rPr>
            </w:pPr>
          </w:p>
          <w:p w14:paraId="590F3238" w14:textId="77777777" w:rsidR="00216FB7" w:rsidRDefault="00000000">
            <w:pPr>
              <w:pStyle w:val="TableParagraph"/>
              <w:ind w:left="320"/>
              <w:rPr>
                <w:sz w:val="20"/>
              </w:rPr>
            </w:pPr>
            <w:r>
              <w:rPr>
                <w:sz w:val="20"/>
              </w:rPr>
              <w:t>0.86</w:t>
            </w:r>
          </w:p>
        </w:tc>
        <w:tc>
          <w:tcPr>
            <w:tcW w:w="1080" w:type="dxa"/>
          </w:tcPr>
          <w:p w14:paraId="37066124" w14:textId="77777777" w:rsidR="00216FB7" w:rsidRDefault="00216FB7">
            <w:pPr>
              <w:pStyle w:val="TableParagraph"/>
              <w:spacing w:before="5"/>
              <w:rPr>
                <w:sz w:val="19"/>
              </w:rPr>
            </w:pPr>
          </w:p>
          <w:p w14:paraId="0AC970E8" w14:textId="77777777" w:rsidR="00216FB7" w:rsidRDefault="00000000">
            <w:pPr>
              <w:pStyle w:val="TableParagraph"/>
              <w:ind w:left="338" w:right="329"/>
              <w:jc w:val="center"/>
              <w:rPr>
                <w:sz w:val="20"/>
              </w:rPr>
            </w:pPr>
            <w:r>
              <w:rPr>
                <w:sz w:val="20"/>
              </w:rPr>
              <w:t>0.84</w:t>
            </w:r>
          </w:p>
        </w:tc>
        <w:tc>
          <w:tcPr>
            <w:tcW w:w="1141" w:type="dxa"/>
          </w:tcPr>
          <w:p w14:paraId="6CFD2B0D" w14:textId="77777777" w:rsidR="00216FB7" w:rsidRDefault="00216FB7">
            <w:pPr>
              <w:pStyle w:val="TableParagraph"/>
              <w:spacing w:before="5"/>
              <w:rPr>
                <w:sz w:val="19"/>
              </w:rPr>
            </w:pPr>
          </w:p>
          <w:p w14:paraId="47698975" w14:textId="77777777" w:rsidR="00216FB7" w:rsidRDefault="00000000">
            <w:pPr>
              <w:pStyle w:val="TableParagraph"/>
              <w:ind w:left="174" w:right="164"/>
              <w:jc w:val="center"/>
              <w:rPr>
                <w:sz w:val="20"/>
              </w:rPr>
            </w:pPr>
            <w:r>
              <w:rPr>
                <w:sz w:val="20"/>
              </w:rPr>
              <w:t>0.81</w:t>
            </w:r>
          </w:p>
        </w:tc>
        <w:tc>
          <w:tcPr>
            <w:tcW w:w="1015" w:type="dxa"/>
          </w:tcPr>
          <w:p w14:paraId="36CB3189" w14:textId="77777777" w:rsidR="00216FB7" w:rsidRDefault="00216FB7">
            <w:pPr>
              <w:pStyle w:val="TableParagraph"/>
              <w:spacing w:before="5"/>
              <w:rPr>
                <w:sz w:val="19"/>
              </w:rPr>
            </w:pPr>
          </w:p>
          <w:p w14:paraId="2C381B0E" w14:textId="77777777" w:rsidR="00216FB7" w:rsidRDefault="00000000">
            <w:pPr>
              <w:pStyle w:val="TableParagraph"/>
              <w:ind w:left="333"/>
              <w:rPr>
                <w:sz w:val="20"/>
              </w:rPr>
            </w:pPr>
            <w:r>
              <w:rPr>
                <w:sz w:val="20"/>
              </w:rPr>
              <w:t>0.85</w:t>
            </w:r>
          </w:p>
        </w:tc>
        <w:tc>
          <w:tcPr>
            <w:tcW w:w="1081" w:type="dxa"/>
          </w:tcPr>
          <w:p w14:paraId="7F72AA18" w14:textId="77777777" w:rsidR="00216FB7" w:rsidRDefault="00216FB7">
            <w:pPr>
              <w:pStyle w:val="TableParagraph"/>
              <w:spacing w:before="5"/>
              <w:rPr>
                <w:sz w:val="19"/>
              </w:rPr>
            </w:pPr>
          </w:p>
          <w:p w14:paraId="6CF45BE5" w14:textId="77777777" w:rsidR="00216FB7" w:rsidRDefault="00000000">
            <w:pPr>
              <w:pStyle w:val="TableParagraph"/>
              <w:ind w:left="349" w:right="332"/>
              <w:jc w:val="center"/>
              <w:rPr>
                <w:sz w:val="20"/>
              </w:rPr>
            </w:pPr>
            <w:r>
              <w:rPr>
                <w:sz w:val="20"/>
              </w:rPr>
              <w:t>0.83</w:t>
            </w:r>
          </w:p>
        </w:tc>
        <w:tc>
          <w:tcPr>
            <w:tcW w:w="1140" w:type="dxa"/>
          </w:tcPr>
          <w:p w14:paraId="75763FB9" w14:textId="77777777" w:rsidR="00216FB7" w:rsidRDefault="00216FB7">
            <w:pPr>
              <w:pStyle w:val="TableParagraph"/>
              <w:spacing w:before="5"/>
              <w:rPr>
                <w:sz w:val="19"/>
              </w:rPr>
            </w:pPr>
          </w:p>
          <w:p w14:paraId="54778CD3" w14:textId="77777777" w:rsidR="00216FB7" w:rsidRDefault="00000000">
            <w:pPr>
              <w:pStyle w:val="TableParagraph"/>
              <w:ind w:left="180" w:right="162"/>
              <w:jc w:val="center"/>
              <w:rPr>
                <w:sz w:val="20"/>
              </w:rPr>
            </w:pPr>
            <w:r>
              <w:rPr>
                <w:sz w:val="20"/>
              </w:rPr>
              <w:t>0.81</w:t>
            </w:r>
          </w:p>
        </w:tc>
        <w:tc>
          <w:tcPr>
            <w:tcW w:w="1020" w:type="dxa"/>
          </w:tcPr>
          <w:p w14:paraId="096254CB" w14:textId="77777777" w:rsidR="00216FB7" w:rsidRDefault="00216FB7">
            <w:pPr>
              <w:pStyle w:val="TableParagraph"/>
              <w:spacing w:before="5"/>
              <w:rPr>
                <w:sz w:val="19"/>
              </w:rPr>
            </w:pPr>
          </w:p>
          <w:p w14:paraId="1C5BB6EE" w14:textId="77777777" w:rsidR="00216FB7" w:rsidRDefault="00000000">
            <w:pPr>
              <w:pStyle w:val="TableParagraph"/>
              <w:ind w:right="318"/>
              <w:jc w:val="right"/>
              <w:rPr>
                <w:sz w:val="20"/>
              </w:rPr>
            </w:pPr>
            <w:r>
              <w:rPr>
                <w:sz w:val="20"/>
              </w:rPr>
              <w:t>0.81</w:t>
            </w:r>
          </w:p>
        </w:tc>
        <w:tc>
          <w:tcPr>
            <w:tcW w:w="1080" w:type="dxa"/>
          </w:tcPr>
          <w:p w14:paraId="0585915F" w14:textId="77777777" w:rsidR="00216FB7" w:rsidRDefault="00216FB7">
            <w:pPr>
              <w:pStyle w:val="TableParagraph"/>
              <w:spacing w:before="5"/>
              <w:rPr>
                <w:sz w:val="19"/>
              </w:rPr>
            </w:pPr>
          </w:p>
          <w:p w14:paraId="702692DF" w14:textId="77777777" w:rsidR="00216FB7" w:rsidRDefault="00000000">
            <w:pPr>
              <w:pStyle w:val="TableParagraph"/>
              <w:ind w:left="344" w:right="323"/>
              <w:jc w:val="center"/>
              <w:rPr>
                <w:sz w:val="20"/>
              </w:rPr>
            </w:pPr>
            <w:r>
              <w:rPr>
                <w:sz w:val="20"/>
              </w:rPr>
              <w:t>0.81</w:t>
            </w:r>
          </w:p>
        </w:tc>
      </w:tr>
      <w:tr w:rsidR="00216FB7" w14:paraId="099C454F" w14:textId="77777777">
        <w:trPr>
          <w:trHeight w:val="577"/>
        </w:trPr>
        <w:tc>
          <w:tcPr>
            <w:tcW w:w="1157" w:type="dxa"/>
          </w:tcPr>
          <w:p w14:paraId="50ADC15A" w14:textId="77777777" w:rsidR="00216FB7" w:rsidRDefault="00216FB7">
            <w:pPr>
              <w:pStyle w:val="TableParagraph"/>
              <w:spacing w:before="1"/>
              <w:rPr>
                <w:sz w:val="19"/>
              </w:rPr>
            </w:pPr>
          </w:p>
          <w:p w14:paraId="34DF890A" w14:textId="77777777" w:rsidR="00216FB7" w:rsidRDefault="00000000">
            <w:pPr>
              <w:pStyle w:val="TableParagraph"/>
              <w:ind w:right="226"/>
              <w:jc w:val="right"/>
              <w:rPr>
                <w:sz w:val="20"/>
              </w:rPr>
            </w:pPr>
            <w:r>
              <w:rPr>
                <w:sz w:val="20"/>
              </w:rPr>
              <w:t>Bagging</w:t>
            </w:r>
          </w:p>
        </w:tc>
        <w:tc>
          <w:tcPr>
            <w:tcW w:w="1096" w:type="dxa"/>
          </w:tcPr>
          <w:p w14:paraId="7E991B52" w14:textId="77777777" w:rsidR="00216FB7" w:rsidRDefault="00216FB7">
            <w:pPr>
              <w:pStyle w:val="TableParagraph"/>
              <w:spacing w:before="1"/>
              <w:rPr>
                <w:sz w:val="19"/>
              </w:rPr>
            </w:pPr>
          </w:p>
          <w:p w14:paraId="52BA1F0F" w14:textId="77777777" w:rsidR="00216FB7" w:rsidRDefault="00000000">
            <w:pPr>
              <w:pStyle w:val="TableParagraph"/>
              <w:ind w:left="134" w:right="123"/>
              <w:jc w:val="center"/>
              <w:rPr>
                <w:sz w:val="20"/>
              </w:rPr>
            </w:pPr>
            <w:r>
              <w:rPr>
                <w:sz w:val="20"/>
              </w:rPr>
              <w:t>0.76</w:t>
            </w:r>
          </w:p>
        </w:tc>
        <w:tc>
          <w:tcPr>
            <w:tcW w:w="990" w:type="dxa"/>
          </w:tcPr>
          <w:p w14:paraId="49466F78" w14:textId="77777777" w:rsidR="00216FB7" w:rsidRDefault="00216FB7">
            <w:pPr>
              <w:pStyle w:val="TableParagraph"/>
              <w:spacing w:before="1"/>
              <w:rPr>
                <w:sz w:val="19"/>
              </w:rPr>
            </w:pPr>
          </w:p>
          <w:p w14:paraId="2E2F3373" w14:textId="77777777" w:rsidR="00216FB7" w:rsidRDefault="00000000">
            <w:pPr>
              <w:pStyle w:val="TableParagraph"/>
              <w:ind w:left="320"/>
              <w:rPr>
                <w:sz w:val="20"/>
              </w:rPr>
            </w:pPr>
            <w:r>
              <w:rPr>
                <w:sz w:val="20"/>
              </w:rPr>
              <w:t>0.76</w:t>
            </w:r>
          </w:p>
        </w:tc>
        <w:tc>
          <w:tcPr>
            <w:tcW w:w="1080" w:type="dxa"/>
          </w:tcPr>
          <w:p w14:paraId="63D588FC" w14:textId="77777777" w:rsidR="00216FB7" w:rsidRDefault="00216FB7">
            <w:pPr>
              <w:pStyle w:val="TableParagraph"/>
              <w:spacing w:before="1"/>
              <w:rPr>
                <w:sz w:val="19"/>
              </w:rPr>
            </w:pPr>
          </w:p>
          <w:p w14:paraId="11F50CF5" w14:textId="77777777" w:rsidR="00216FB7" w:rsidRDefault="00000000">
            <w:pPr>
              <w:pStyle w:val="TableParagraph"/>
              <w:ind w:left="338" w:right="329"/>
              <w:jc w:val="center"/>
              <w:rPr>
                <w:sz w:val="20"/>
              </w:rPr>
            </w:pPr>
            <w:r>
              <w:rPr>
                <w:sz w:val="20"/>
              </w:rPr>
              <w:t>0.76</w:t>
            </w:r>
          </w:p>
        </w:tc>
        <w:tc>
          <w:tcPr>
            <w:tcW w:w="1141" w:type="dxa"/>
          </w:tcPr>
          <w:p w14:paraId="00FECB94" w14:textId="77777777" w:rsidR="00216FB7" w:rsidRDefault="00216FB7">
            <w:pPr>
              <w:pStyle w:val="TableParagraph"/>
              <w:spacing w:before="1"/>
              <w:rPr>
                <w:sz w:val="19"/>
              </w:rPr>
            </w:pPr>
          </w:p>
          <w:p w14:paraId="49D4A590" w14:textId="77777777" w:rsidR="00216FB7" w:rsidRDefault="00000000">
            <w:pPr>
              <w:pStyle w:val="TableParagraph"/>
              <w:ind w:left="174" w:right="164"/>
              <w:jc w:val="center"/>
              <w:rPr>
                <w:sz w:val="20"/>
              </w:rPr>
            </w:pPr>
            <w:r>
              <w:rPr>
                <w:sz w:val="20"/>
              </w:rPr>
              <w:t>0.77</w:t>
            </w:r>
          </w:p>
        </w:tc>
        <w:tc>
          <w:tcPr>
            <w:tcW w:w="1015" w:type="dxa"/>
          </w:tcPr>
          <w:p w14:paraId="7DE05303" w14:textId="77777777" w:rsidR="00216FB7" w:rsidRDefault="00216FB7">
            <w:pPr>
              <w:pStyle w:val="TableParagraph"/>
              <w:spacing w:before="1"/>
              <w:rPr>
                <w:sz w:val="19"/>
              </w:rPr>
            </w:pPr>
          </w:p>
          <w:p w14:paraId="21DD8D42" w14:textId="77777777" w:rsidR="00216FB7" w:rsidRDefault="00000000">
            <w:pPr>
              <w:pStyle w:val="TableParagraph"/>
              <w:ind w:left="333"/>
              <w:rPr>
                <w:sz w:val="20"/>
              </w:rPr>
            </w:pPr>
            <w:r>
              <w:rPr>
                <w:sz w:val="20"/>
              </w:rPr>
              <w:t>0.77</w:t>
            </w:r>
          </w:p>
        </w:tc>
        <w:tc>
          <w:tcPr>
            <w:tcW w:w="1081" w:type="dxa"/>
          </w:tcPr>
          <w:p w14:paraId="4B80D77F" w14:textId="77777777" w:rsidR="00216FB7" w:rsidRDefault="00216FB7">
            <w:pPr>
              <w:pStyle w:val="TableParagraph"/>
              <w:spacing w:before="1"/>
              <w:rPr>
                <w:sz w:val="19"/>
              </w:rPr>
            </w:pPr>
          </w:p>
          <w:p w14:paraId="28D7F7A8" w14:textId="77777777" w:rsidR="00216FB7" w:rsidRDefault="00000000">
            <w:pPr>
              <w:pStyle w:val="TableParagraph"/>
              <w:ind w:left="349" w:right="332"/>
              <w:jc w:val="center"/>
              <w:rPr>
                <w:sz w:val="20"/>
              </w:rPr>
            </w:pPr>
            <w:r>
              <w:rPr>
                <w:sz w:val="20"/>
              </w:rPr>
              <w:t>0.77</w:t>
            </w:r>
          </w:p>
        </w:tc>
        <w:tc>
          <w:tcPr>
            <w:tcW w:w="1140" w:type="dxa"/>
          </w:tcPr>
          <w:p w14:paraId="0044BDAE" w14:textId="77777777" w:rsidR="00216FB7" w:rsidRDefault="00216FB7">
            <w:pPr>
              <w:pStyle w:val="TableParagraph"/>
              <w:spacing w:before="1"/>
              <w:rPr>
                <w:sz w:val="19"/>
              </w:rPr>
            </w:pPr>
          </w:p>
          <w:p w14:paraId="682D60EC" w14:textId="77777777" w:rsidR="00216FB7" w:rsidRDefault="00000000">
            <w:pPr>
              <w:pStyle w:val="TableParagraph"/>
              <w:ind w:left="180" w:right="162"/>
              <w:jc w:val="center"/>
              <w:rPr>
                <w:sz w:val="20"/>
              </w:rPr>
            </w:pPr>
            <w:r>
              <w:rPr>
                <w:sz w:val="20"/>
              </w:rPr>
              <w:t>0.75</w:t>
            </w:r>
          </w:p>
        </w:tc>
        <w:tc>
          <w:tcPr>
            <w:tcW w:w="1020" w:type="dxa"/>
          </w:tcPr>
          <w:p w14:paraId="2FEC3E17" w14:textId="77777777" w:rsidR="00216FB7" w:rsidRDefault="00216FB7">
            <w:pPr>
              <w:pStyle w:val="TableParagraph"/>
              <w:spacing w:before="1"/>
              <w:rPr>
                <w:sz w:val="19"/>
              </w:rPr>
            </w:pPr>
          </w:p>
          <w:p w14:paraId="1516BFFD" w14:textId="77777777" w:rsidR="00216FB7" w:rsidRDefault="00000000">
            <w:pPr>
              <w:pStyle w:val="TableParagraph"/>
              <w:ind w:right="318"/>
              <w:jc w:val="right"/>
              <w:rPr>
                <w:sz w:val="20"/>
              </w:rPr>
            </w:pPr>
            <w:r>
              <w:rPr>
                <w:sz w:val="20"/>
              </w:rPr>
              <w:t>0.76</w:t>
            </w:r>
          </w:p>
        </w:tc>
        <w:tc>
          <w:tcPr>
            <w:tcW w:w="1080" w:type="dxa"/>
          </w:tcPr>
          <w:p w14:paraId="24D01944" w14:textId="77777777" w:rsidR="00216FB7" w:rsidRDefault="00216FB7">
            <w:pPr>
              <w:pStyle w:val="TableParagraph"/>
              <w:spacing w:before="1"/>
              <w:rPr>
                <w:sz w:val="19"/>
              </w:rPr>
            </w:pPr>
          </w:p>
          <w:p w14:paraId="5E65FCB3" w14:textId="77777777" w:rsidR="00216FB7" w:rsidRDefault="00000000">
            <w:pPr>
              <w:pStyle w:val="TableParagraph"/>
              <w:ind w:left="344" w:right="323"/>
              <w:jc w:val="center"/>
              <w:rPr>
                <w:sz w:val="20"/>
              </w:rPr>
            </w:pPr>
            <w:r>
              <w:rPr>
                <w:sz w:val="20"/>
              </w:rPr>
              <w:t>0.75</w:t>
            </w:r>
          </w:p>
        </w:tc>
      </w:tr>
      <w:tr w:rsidR="00216FB7" w14:paraId="7A1C4644" w14:textId="77777777">
        <w:trPr>
          <w:trHeight w:val="587"/>
        </w:trPr>
        <w:tc>
          <w:tcPr>
            <w:tcW w:w="1157" w:type="dxa"/>
          </w:tcPr>
          <w:p w14:paraId="4B1B98DA" w14:textId="77777777" w:rsidR="00216FB7" w:rsidRDefault="00216FB7">
            <w:pPr>
              <w:pStyle w:val="TableParagraph"/>
              <w:spacing w:before="5"/>
              <w:rPr>
                <w:sz w:val="19"/>
              </w:rPr>
            </w:pPr>
          </w:p>
          <w:p w14:paraId="7CC3C306" w14:textId="77777777" w:rsidR="00216FB7" w:rsidRDefault="00000000">
            <w:pPr>
              <w:pStyle w:val="TableParagraph"/>
              <w:ind w:left="383"/>
              <w:rPr>
                <w:sz w:val="20"/>
              </w:rPr>
            </w:pPr>
            <w:r>
              <w:rPr>
                <w:sz w:val="20"/>
              </w:rPr>
              <w:t>MLP</w:t>
            </w:r>
          </w:p>
        </w:tc>
        <w:tc>
          <w:tcPr>
            <w:tcW w:w="1096" w:type="dxa"/>
          </w:tcPr>
          <w:p w14:paraId="7D1DC998" w14:textId="77777777" w:rsidR="00216FB7" w:rsidRDefault="00216FB7">
            <w:pPr>
              <w:pStyle w:val="TableParagraph"/>
              <w:spacing w:before="5"/>
              <w:rPr>
                <w:sz w:val="19"/>
              </w:rPr>
            </w:pPr>
          </w:p>
          <w:p w14:paraId="7ACBB557" w14:textId="77777777" w:rsidR="00216FB7" w:rsidRDefault="00000000">
            <w:pPr>
              <w:pStyle w:val="TableParagraph"/>
              <w:ind w:left="134" w:right="123"/>
              <w:jc w:val="center"/>
              <w:rPr>
                <w:sz w:val="20"/>
              </w:rPr>
            </w:pPr>
            <w:r>
              <w:rPr>
                <w:sz w:val="20"/>
              </w:rPr>
              <w:t>0.86</w:t>
            </w:r>
          </w:p>
        </w:tc>
        <w:tc>
          <w:tcPr>
            <w:tcW w:w="990" w:type="dxa"/>
          </w:tcPr>
          <w:p w14:paraId="73F8C4D0" w14:textId="77777777" w:rsidR="00216FB7" w:rsidRDefault="00216FB7">
            <w:pPr>
              <w:pStyle w:val="TableParagraph"/>
              <w:spacing w:before="5"/>
              <w:rPr>
                <w:sz w:val="19"/>
              </w:rPr>
            </w:pPr>
          </w:p>
          <w:p w14:paraId="29A3434B" w14:textId="77777777" w:rsidR="00216FB7" w:rsidRDefault="00000000">
            <w:pPr>
              <w:pStyle w:val="TableParagraph"/>
              <w:ind w:left="320"/>
              <w:rPr>
                <w:sz w:val="20"/>
              </w:rPr>
            </w:pPr>
            <w:r>
              <w:rPr>
                <w:sz w:val="20"/>
              </w:rPr>
              <w:t>0.91</w:t>
            </w:r>
          </w:p>
        </w:tc>
        <w:tc>
          <w:tcPr>
            <w:tcW w:w="1080" w:type="dxa"/>
          </w:tcPr>
          <w:p w14:paraId="77596517" w14:textId="77777777" w:rsidR="00216FB7" w:rsidRDefault="00216FB7">
            <w:pPr>
              <w:pStyle w:val="TableParagraph"/>
              <w:spacing w:before="5"/>
              <w:rPr>
                <w:sz w:val="19"/>
              </w:rPr>
            </w:pPr>
          </w:p>
          <w:p w14:paraId="3B88232F" w14:textId="77777777" w:rsidR="00216FB7" w:rsidRDefault="00000000">
            <w:pPr>
              <w:pStyle w:val="TableParagraph"/>
              <w:ind w:left="338" w:right="329"/>
              <w:jc w:val="center"/>
              <w:rPr>
                <w:sz w:val="20"/>
              </w:rPr>
            </w:pPr>
            <w:r>
              <w:rPr>
                <w:sz w:val="20"/>
              </w:rPr>
              <w:t>0.88</w:t>
            </w:r>
          </w:p>
        </w:tc>
        <w:tc>
          <w:tcPr>
            <w:tcW w:w="1141" w:type="dxa"/>
          </w:tcPr>
          <w:p w14:paraId="70BA976A" w14:textId="77777777" w:rsidR="00216FB7" w:rsidRDefault="00216FB7">
            <w:pPr>
              <w:pStyle w:val="TableParagraph"/>
              <w:spacing w:before="5"/>
              <w:rPr>
                <w:sz w:val="19"/>
              </w:rPr>
            </w:pPr>
          </w:p>
          <w:p w14:paraId="414FB971" w14:textId="77777777" w:rsidR="00216FB7" w:rsidRDefault="00000000">
            <w:pPr>
              <w:pStyle w:val="TableParagraph"/>
              <w:ind w:left="174" w:right="164"/>
              <w:jc w:val="center"/>
              <w:rPr>
                <w:sz w:val="20"/>
              </w:rPr>
            </w:pPr>
            <w:r>
              <w:rPr>
                <w:sz w:val="20"/>
              </w:rPr>
              <w:t>0.80</w:t>
            </w:r>
          </w:p>
        </w:tc>
        <w:tc>
          <w:tcPr>
            <w:tcW w:w="1015" w:type="dxa"/>
          </w:tcPr>
          <w:p w14:paraId="2A89E850" w14:textId="77777777" w:rsidR="00216FB7" w:rsidRDefault="00216FB7">
            <w:pPr>
              <w:pStyle w:val="TableParagraph"/>
              <w:spacing w:before="5"/>
              <w:rPr>
                <w:sz w:val="19"/>
              </w:rPr>
            </w:pPr>
          </w:p>
          <w:p w14:paraId="07A20AC0" w14:textId="77777777" w:rsidR="00216FB7" w:rsidRDefault="00000000">
            <w:pPr>
              <w:pStyle w:val="TableParagraph"/>
              <w:ind w:left="333"/>
              <w:rPr>
                <w:sz w:val="20"/>
              </w:rPr>
            </w:pPr>
            <w:r>
              <w:rPr>
                <w:sz w:val="20"/>
              </w:rPr>
              <w:t>0.64</w:t>
            </w:r>
          </w:p>
        </w:tc>
        <w:tc>
          <w:tcPr>
            <w:tcW w:w="1081" w:type="dxa"/>
          </w:tcPr>
          <w:p w14:paraId="6E831860" w14:textId="77777777" w:rsidR="00216FB7" w:rsidRDefault="00216FB7">
            <w:pPr>
              <w:pStyle w:val="TableParagraph"/>
              <w:spacing w:before="5"/>
              <w:rPr>
                <w:sz w:val="19"/>
              </w:rPr>
            </w:pPr>
          </w:p>
          <w:p w14:paraId="364B16A8" w14:textId="77777777" w:rsidR="00216FB7" w:rsidRDefault="00000000">
            <w:pPr>
              <w:pStyle w:val="TableParagraph"/>
              <w:ind w:left="349" w:right="332"/>
              <w:jc w:val="center"/>
              <w:rPr>
                <w:sz w:val="20"/>
              </w:rPr>
            </w:pPr>
            <w:r>
              <w:rPr>
                <w:sz w:val="20"/>
              </w:rPr>
              <w:t>0.71</w:t>
            </w:r>
          </w:p>
        </w:tc>
        <w:tc>
          <w:tcPr>
            <w:tcW w:w="1140" w:type="dxa"/>
          </w:tcPr>
          <w:p w14:paraId="79B10791" w14:textId="77777777" w:rsidR="00216FB7" w:rsidRDefault="00216FB7">
            <w:pPr>
              <w:pStyle w:val="TableParagraph"/>
              <w:spacing w:before="5"/>
              <w:rPr>
                <w:sz w:val="19"/>
              </w:rPr>
            </w:pPr>
          </w:p>
          <w:p w14:paraId="177C2C08" w14:textId="77777777" w:rsidR="00216FB7" w:rsidRDefault="00000000">
            <w:pPr>
              <w:pStyle w:val="TableParagraph"/>
              <w:ind w:left="180" w:right="162"/>
              <w:jc w:val="center"/>
              <w:rPr>
                <w:sz w:val="20"/>
              </w:rPr>
            </w:pPr>
            <w:r>
              <w:rPr>
                <w:sz w:val="20"/>
              </w:rPr>
              <w:t>0.84</w:t>
            </w:r>
          </w:p>
        </w:tc>
        <w:tc>
          <w:tcPr>
            <w:tcW w:w="1020" w:type="dxa"/>
          </w:tcPr>
          <w:p w14:paraId="11B1E72E" w14:textId="77777777" w:rsidR="00216FB7" w:rsidRDefault="00216FB7">
            <w:pPr>
              <w:pStyle w:val="TableParagraph"/>
              <w:spacing w:before="5"/>
              <w:rPr>
                <w:sz w:val="19"/>
              </w:rPr>
            </w:pPr>
          </w:p>
          <w:p w14:paraId="70FE92FE" w14:textId="77777777" w:rsidR="00216FB7" w:rsidRDefault="00000000">
            <w:pPr>
              <w:pStyle w:val="TableParagraph"/>
              <w:ind w:right="318"/>
              <w:jc w:val="right"/>
              <w:rPr>
                <w:sz w:val="20"/>
              </w:rPr>
            </w:pPr>
            <w:r>
              <w:rPr>
                <w:sz w:val="20"/>
              </w:rPr>
              <w:t>0.86</w:t>
            </w:r>
          </w:p>
        </w:tc>
        <w:tc>
          <w:tcPr>
            <w:tcW w:w="1080" w:type="dxa"/>
          </w:tcPr>
          <w:p w14:paraId="715A1ED2" w14:textId="77777777" w:rsidR="00216FB7" w:rsidRDefault="00216FB7">
            <w:pPr>
              <w:pStyle w:val="TableParagraph"/>
              <w:spacing w:before="5"/>
              <w:rPr>
                <w:sz w:val="19"/>
              </w:rPr>
            </w:pPr>
          </w:p>
          <w:p w14:paraId="295D4491" w14:textId="77777777" w:rsidR="00216FB7" w:rsidRDefault="00000000">
            <w:pPr>
              <w:pStyle w:val="TableParagraph"/>
              <w:ind w:left="344" w:right="323"/>
              <w:jc w:val="center"/>
              <w:rPr>
                <w:sz w:val="20"/>
              </w:rPr>
            </w:pPr>
            <w:r>
              <w:rPr>
                <w:sz w:val="20"/>
              </w:rPr>
              <w:t>0.85</w:t>
            </w:r>
          </w:p>
        </w:tc>
      </w:tr>
      <w:tr w:rsidR="00216FB7" w14:paraId="365520E1" w14:textId="77777777">
        <w:trPr>
          <w:trHeight w:val="581"/>
        </w:trPr>
        <w:tc>
          <w:tcPr>
            <w:tcW w:w="1157" w:type="dxa"/>
          </w:tcPr>
          <w:p w14:paraId="29C08582" w14:textId="77777777" w:rsidR="00216FB7" w:rsidRDefault="00216FB7">
            <w:pPr>
              <w:pStyle w:val="TableParagraph"/>
              <w:spacing w:before="2"/>
              <w:rPr>
                <w:sz w:val="19"/>
              </w:rPr>
            </w:pPr>
          </w:p>
          <w:p w14:paraId="59CE87CB" w14:textId="77777777" w:rsidR="00216FB7" w:rsidRDefault="00000000">
            <w:pPr>
              <w:pStyle w:val="TableParagraph"/>
              <w:ind w:right="200"/>
              <w:jc w:val="right"/>
              <w:rPr>
                <w:sz w:val="20"/>
              </w:rPr>
            </w:pPr>
            <w:r>
              <w:rPr>
                <w:sz w:val="20"/>
              </w:rPr>
              <w:t>R.</w:t>
            </w:r>
            <w:r>
              <w:rPr>
                <w:spacing w:val="-2"/>
                <w:sz w:val="20"/>
              </w:rPr>
              <w:t xml:space="preserve"> </w:t>
            </w:r>
            <w:r>
              <w:rPr>
                <w:sz w:val="20"/>
              </w:rPr>
              <w:t>Forest</w:t>
            </w:r>
          </w:p>
        </w:tc>
        <w:tc>
          <w:tcPr>
            <w:tcW w:w="1096" w:type="dxa"/>
          </w:tcPr>
          <w:p w14:paraId="633C6018" w14:textId="77777777" w:rsidR="00216FB7" w:rsidRDefault="00216FB7">
            <w:pPr>
              <w:pStyle w:val="TableParagraph"/>
              <w:spacing w:before="2"/>
              <w:rPr>
                <w:sz w:val="19"/>
              </w:rPr>
            </w:pPr>
          </w:p>
          <w:p w14:paraId="1E3F6165" w14:textId="77777777" w:rsidR="00216FB7" w:rsidRDefault="00000000">
            <w:pPr>
              <w:pStyle w:val="TableParagraph"/>
              <w:ind w:left="134" w:right="123"/>
              <w:jc w:val="center"/>
              <w:rPr>
                <w:sz w:val="20"/>
              </w:rPr>
            </w:pPr>
            <w:r>
              <w:rPr>
                <w:sz w:val="20"/>
              </w:rPr>
              <w:t>0.87</w:t>
            </w:r>
          </w:p>
        </w:tc>
        <w:tc>
          <w:tcPr>
            <w:tcW w:w="990" w:type="dxa"/>
          </w:tcPr>
          <w:p w14:paraId="00883005" w14:textId="77777777" w:rsidR="00216FB7" w:rsidRDefault="00216FB7">
            <w:pPr>
              <w:pStyle w:val="TableParagraph"/>
              <w:spacing w:before="2"/>
              <w:rPr>
                <w:sz w:val="19"/>
              </w:rPr>
            </w:pPr>
          </w:p>
          <w:p w14:paraId="03A6D882" w14:textId="77777777" w:rsidR="00216FB7" w:rsidRDefault="00000000">
            <w:pPr>
              <w:pStyle w:val="TableParagraph"/>
              <w:ind w:left="320"/>
              <w:rPr>
                <w:sz w:val="20"/>
              </w:rPr>
            </w:pPr>
            <w:r>
              <w:rPr>
                <w:sz w:val="20"/>
              </w:rPr>
              <w:t>0.82</w:t>
            </w:r>
          </w:p>
        </w:tc>
        <w:tc>
          <w:tcPr>
            <w:tcW w:w="1080" w:type="dxa"/>
          </w:tcPr>
          <w:p w14:paraId="32CC988B" w14:textId="77777777" w:rsidR="00216FB7" w:rsidRDefault="00216FB7">
            <w:pPr>
              <w:pStyle w:val="TableParagraph"/>
              <w:spacing w:before="2"/>
              <w:rPr>
                <w:sz w:val="19"/>
              </w:rPr>
            </w:pPr>
          </w:p>
          <w:p w14:paraId="6E04DD00" w14:textId="77777777" w:rsidR="00216FB7" w:rsidRDefault="00000000">
            <w:pPr>
              <w:pStyle w:val="TableParagraph"/>
              <w:ind w:left="338" w:right="329"/>
              <w:jc w:val="center"/>
              <w:rPr>
                <w:sz w:val="20"/>
              </w:rPr>
            </w:pPr>
            <w:r>
              <w:rPr>
                <w:sz w:val="20"/>
              </w:rPr>
              <w:t>0.84</w:t>
            </w:r>
          </w:p>
        </w:tc>
        <w:tc>
          <w:tcPr>
            <w:tcW w:w="1141" w:type="dxa"/>
          </w:tcPr>
          <w:p w14:paraId="4B9F3502" w14:textId="77777777" w:rsidR="00216FB7" w:rsidRDefault="00216FB7">
            <w:pPr>
              <w:pStyle w:val="TableParagraph"/>
              <w:spacing w:before="2"/>
              <w:rPr>
                <w:sz w:val="19"/>
              </w:rPr>
            </w:pPr>
          </w:p>
          <w:p w14:paraId="35C17474" w14:textId="77777777" w:rsidR="00216FB7" w:rsidRDefault="00000000">
            <w:pPr>
              <w:pStyle w:val="TableParagraph"/>
              <w:ind w:left="174" w:right="164"/>
              <w:jc w:val="center"/>
              <w:rPr>
                <w:sz w:val="20"/>
              </w:rPr>
            </w:pPr>
            <w:r>
              <w:rPr>
                <w:sz w:val="20"/>
              </w:rPr>
              <w:t>0.82</w:t>
            </w:r>
          </w:p>
        </w:tc>
        <w:tc>
          <w:tcPr>
            <w:tcW w:w="1015" w:type="dxa"/>
          </w:tcPr>
          <w:p w14:paraId="599D611A" w14:textId="77777777" w:rsidR="00216FB7" w:rsidRDefault="00216FB7">
            <w:pPr>
              <w:pStyle w:val="TableParagraph"/>
              <w:spacing w:before="2"/>
              <w:rPr>
                <w:sz w:val="19"/>
              </w:rPr>
            </w:pPr>
          </w:p>
          <w:p w14:paraId="05A30FEB" w14:textId="77777777" w:rsidR="00216FB7" w:rsidRDefault="00000000">
            <w:pPr>
              <w:pStyle w:val="TableParagraph"/>
              <w:ind w:left="333"/>
              <w:rPr>
                <w:sz w:val="20"/>
              </w:rPr>
            </w:pPr>
            <w:r>
              <w:rPr>
                <w:sz w:val="20"/>
              </w:rPr>
              <w:t>0.82</w:t>
            </w:r>
          </w:p>
        </w:tc>
        <w:tc>
          <w:tcPr>
            <w:tcW w:w="1081" w:type="dxa"/>
          </w:tcPr>
          <w:p w14:paraId="5BA66C4E" w14:textId="77777777" w:rsidR="00216FB7" w:rsidRDefault="00216FB7">
            <w:pPr>
              <w:pStyle w:val="TableParagraph"/>
              <w:spacing w:before="2"/>
              <w:rPr>
                <w:sz w:val="19"/>
              </w:rPr>
            </w:pPr>
          </w:p>
          <w:p w14:paraId="1A95E68C" w14:textId="77777777" w:rsidR="00216FB7" w:rsidRDefault="00000000">
            <w:pPr>
              <w:pStyle w:val="TableParagraph"/>
              <w:ind w:left="349" w:right="332"/>
              <w:jc w:val="center"/>
              <w:rPr>
                <w:sz w:val="20"/>
              </w:rPr>
            </w:pPr>
            <w:r>
              <w:rPr>
                <w:sz w:val="20"/>
              </w:rPr>
              <w:t>0.82</w:t>
            </w:r>
          </w:p>
        </w:tc>
        <w:tc>
          <w:tcPr>
            <w:tcW w:w="1140" w:type="dxa"/>
          </w:tcPr>
          <w:p w14:paraId="03BA4628" w14:textId="77777777" w:rsidR="00216FB7" w:rsidRDefault="00216FB7">
            <w:pPr>
              <w:pStyle w:val="TableParagraph"/>
              <w:spacing w:before="2"/>
              <w:rPr>
                <w:sz w:val="19"/>
              </w:rPr>
            </w:pPr>
          </w:p>
          <w:p w14:paraId="1C220FFA" w14:textId="77777777" w:rsidR="00216FB7" w:rsidRDefault="00000000">
            <w:pPr>
              <w:pStyle w:val="TableParagraph"/>
              <w:ind w:left="180" w:right="162"/>
              <w:jc w:val="center"/>
              <w:rPr>
                <w:sz w:val="20"/>
              </w:rPr>
            </w:pPr>
            <w:r>
              <w:rPr>
                <w:sz w:val="20"/>
              </w:rPr>
              <w:t>0.91</w:t>
            </w:r>
          </w:p>
        </w:tc>
        <w:tc>
          <w:tcPr>
            <w:tcW w:w="1020" w:type="dxa"/>
          </w:tcPr>
          <w:p w14:paraId="61CB9A13" w14:textId="77777777" w:rsidR="00216FB7" w:rsidRDefault="00216FB7">
            <w:pPr>
              <w:pStyle w:val="TableParagraph"/>
              <w:spacing w:before="2"/>
              <w:rPr>
                <w:sz w:val="19"/>
              </w:rPr>
            </w:pPr>
          </w:p>
          <w:p w14:paraId="5AE2A3D7" w14:textId="77777777" w:rsidR="00216FB7" w:rsidRDefault="00000000">
            <w:pPr>
              <w:pStyle w:val="TableParagraph"/>
              <w:ind w:right="318"/>
              <w:jc w:val="right"/>
              <w:rPr>
                <w:sz w:val="20"/>
              </w:rPr>
            </w:pPr>
            <w:r>
              <w:rPr>
                <w:sz w:val="20"/>
              </w:rPr>
              <w:t>0.91</w:t>
            </w:r>
          </w:p>
        </w:tc>
        <w:tc>
          <w:tcPr>
            <w:tcW w:w="1080" w:type="dxa"/>
          </w:tcPr>
          <w:p w14:paraId="43B4603F" w14:textId="77777777" w:rsidR="00216FB7" w:rsidRDefault="00216FB7">
            <w:pPr>
              <w:pStyle w:val="TableParagraph"/>
              <w:spacing w:before="2"/>
              <w:rPr>
                <w:sz w:val="19"/>
              </w:rPr>
            </w:pPr>
          </w:p>
          <w:p w14:paraId="79DD355D" w14:textId="77777777" w:rsidR="00216FB7" w:rsidRDefault="00000000">
            <w:pPr>
              <w:pStyle w:val="TableParagraph"/>
              <w:ind w:left="344" w:right="323"/>
              <w:jc w:val="center"/>
              <w:rPr>
                <w:sz w:val="20"/>
              </w:rPr>
            </w:pPr>
            <w:r>
              <w:rPr>
                <w:sz w:val="20"/>
              </w:rPr>
              <w:t>0.91</w:t>
            </w:r>
          </w:p>
        </w:tc>
      </w:tr>
      <w:bookmarkEnd w:id="11"/>
    </w:tbl>
    <w:p w14:paraId="13C42097" w14:textId="77777777" w:rsidR="00216FB7" w:rsidRDefault="00216FB7">
      <w:pPr>
        <w:jc w:val="center"/>
      </w:pPr>
    </w:p>
    <w:p w14:paraId="66FB676D" w14:textId="77777777" w:rsidR="00B8377E" w:rsidRPr="00B8377E" w:rsidRDefault="00B8377E" w:rsidP="00B8377E">
      <w:pPr>
        <w:rPr>
          <w:sz w:val="20"/>
        </w:rPr>
      </w:pPr>
    </w:p>
    <w:p w14:paraId="403CFC4D" w14:textId="77777777" w:rsidR="00B8377E" w:rsidRDefault="00B8377E" w:rsidP="00B8377E"/>
    <w:p w14:paraId="08FE8EE3" w14:textId="77777777" w:rsidR="00B8377E" w:rsidRDefault="00B8377E" w:rsidP="00B8377E"/>
    <w:p w14:paraId="3E3E7928" w14:textId="77777777" w:rsidR="00B8377E" w:rsidRDefault="00B8377E" w:rsidP="00B8377E">
      <w:pPr>
        <w:ind w:left="720"/>
        <w:rPr>
          <w:sz w:val="20"/>
        </w:rPr>
      </w:pPr>
      <w:r w:rsidRPr="00B8377E">
        <w:rPr>
          <w:sz w:val="20"/>
        </w:rPr>
        <w:t>Classification accuracy measures the effectiveness of different classification methods in correctly assigning labels to instances, with higher accuracy indicating better performance. The metrics are essential tools for evaluating the performance of classification models and are often used in conjunction to gain a comprehensive understanding of a model’s effectiveness.</w:t>
      </w:r>
    </w:p>
    <w:p w14:paraId="7FB965F6" w14:textId="77777777" w:rsidR="00B8377E" w:rsidRDefault="00B8377E" w:rsidP="00B8377E">
      <w:pPr>
        <w:rPr>
          <w:sz w:val="20"/>
        </w:rPr>
      </w:pPr>
    </w:p>
    <w:p w14:paraId="639FE645" w14:textId="77777777" w:rsidR="00B8377E" w:rsidRDefault="00B8377E" w:rsidP="00B8377E">
      <w:pPr>
        <w:rPr>
          <w:sz w:val="20"/>
        </w:rPr>
      </w:pPr>
    </w:p>
    <w:p w14:paraId="48B561F3" w14:textId="667FAFC9" w:rsidR="00B8377E" w:rsidRDefault="00B8377E" w:rsidP="00B8377E">
      <w:pPr>
        <w:jc w:val="center"/>
        <w:rPr>
          <w:sz w:val="20"/>
        </w:rPr>
      </w:pPr>
      <w:r>
        <w:rPr>
          <w:sz w:val="20"/>
        </w:rPr>
        <w:t xml:space="preserve"> </w:t>
      </w:r>
      <w:bookmarkStart w:id="12" w:name="_Hlk166157030"/>
      <w:r w:rsidRPr="00B8377E">
        <w:rPr>
          <w:sz w:val="20"/>
        </w:rPr>
        <w:t>Table 4: “Comparison study of deep learning models for myelitis detection</w:t>
      </w:r>
      <w:bookmarkEnd w:id="12"/>
    </w:p>
    <w:p w14:paraId="572F0F79" w14:textId="4B8793BA" w:rsidR="00B8377E" w:rsidRDefault="00B8377E" w:rsidP="00B8377E">
      <w:pPr>
        <w:jc w:val="both"/>
        <w:rPr>
          <w:sz w:val="20"/>
        </w:rPr>
      </w:pPr>
      <w:r>
        <w:rPr>
          <w:sz w:val="20"/>
        </w:rPr>
        <w:t xml:space="preserve"> </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3119"/>
        <w:gridCol w:w="1701"/>
      </w:tblGrid>
      <w:tr w:rsidR="00B8377E" w14:paraId="314D9C3A" w14:textId="77777777" w:rsidTr="0039021C">
        <w:tc>
          <w:tcPr>
            <w:tcW w:w="1413" w:type="dxa"/>
          </w:tcPr>
          <w:p w14:paraId="5C186C16" w14:textId="2B3B1B04" w:rsidR="00B8377E" w:rsidRDefault="00B8377E" w:rsidP="0039021C">
            <w:pPr>
              <w:spacing w:after="86" w:line="258" w:lineRule="auto"/>
              <w:rPr>
                <w:b/>
                <w:bCs/>
                <w:color w:val="2D74B5"/>
                <w:sz w:val="28"/>
                <w:szCs w:val="28"/>
              </w:rPr>
            </w:pPr>
            <w:bookmarkStart w:id="13" w:name="_Hlk166157049"/>
            <w:r>
              <w:rPr>
                <w:b/>
              </w:rPr>
              <w:t xml:space="preserve"> SL No.</w:t>
            </w:r>
          </w:p>
        </w:tc>
        <w:tc>
          <w:tcPr>
            <w:tcW w:w="2693" w:type="dxa"/>
          </w:tcPr>
          <w:p w14:paraId="2FF77949" w14:textId="77777777" w:rsidR="00B8377E" w:rsidRDefault="00B8377E" w:rsidP="0039021C">
            <w:pPr>
              <w:spacing w:after="86" w:line="258" w:lineRule="auto"/>
              <w:rPr>
                <w:b/>
                <w:bCs/>
                <w:color w:val="2D74B5"/>
                <w:sz w:val="28"/>
                <w:szCs w:val="28"/>
              </w:rPr>
            </w:pPr>
            <w:r>
              <w:rPr>
                <w:b/>
              </w:rPr>
              <w:t>Authors</w:t>
            </w:r>
          </w:p>
        </w:tc>
        <w:tc>
          <w:tcPr>
            <w:tcW w:w="3119" w:type="dxa"/>
          </w:tcPr>
          <w:p w14:paraId="43F4B192" w14:textId="77777777" w:rsidR="00B8377E" w:rsidRDefault="00B8377E" w:rsidP="0039021C">
            <w:pPr>
              <w:spacing w:after="86" w:line="258" w:lineRule="auto"/>
              <w:rPr>
                <w:b/>
                <w:bCs/>
                <w:color w:val="2D74B5"/>
                <w:sz w:val="28"/>
                <w:szCs w:val="28"/>
              </w:rPr>
            </w:pPr>
            <w:r>
              <w:rPr>
                <w:b/>
              </w:rPr>
              <w:t>Methodology Used</w:t>
            </w:r>
          </w:p>
        </w:tc>
        <w:tc>
          <w:tcPr>
            <w:tcW w:w="1701" w:type="dxa"/>
          </w:tcPr>
          <w:p w14:paraId="1D4D15E4" w14:textId="77777777" w:rsidR="00B8377E" w:rsidRDefault="00B8377E" w:rsidP="0039021C">
            <w:pPr>
              <w:spacing w:after="86" w:line="258" w:lineRule="auto"/>
              <w:rPr>
                <w:b/>
                <w:bCs/>
                <w:color w:val="2D74B5"/>
                <w:sz w:val="28"/>
                <w:szCs w:val="28"/>
              </w:rPr>
            </w:pPr>
            <w:r>
              <w:rPr>
                <w:b/>
              </w:rPr>
              <w:t>Accuracy</w:t>
            </w:r>
          </w:p>
        </w:tc>
      </w:tr>
      <w:tr w:rsidR="00B8377E" w:rsidRPr="00CC0EBA" w14:paraId="22376D33" w14:textId="77777777" w:rsidTr="0039021C">
        <w:tc>
          <w:tcPr>
            <w:tcW w:w="1413" w:type="dxa"/>
          </w:tcPr>
          <w:p w14:paraId="096F3317" w14:textId="77777777" w:rsidR="00B8377E" w:rsidRDefault="00B8377E" w:rsidP="0039021C">
            <w:pPr>
              <w:spacing w:after="86" w:line="258" w:lineRule="auto"/>
              <w:rPr>
                <w:b/>
                <w:bCs/>
                <w:color w:val="2D74B5"/>
                <w:sz w:val="28"/>
                <w:szCs w:val="28"/>
              </w:rPr>
            </w:pPr>
            <w:r>
              <w:t xml:space="preserve">1. </w:t>
            </w:r>
          </w:p>
        </w:tc>
        <w:tc>
          <w:tcPr>
            <w:tcW w:w="2693" w:type="dxa"/>
          </w:tcPr>
          <w:p w14:paraId="0A07C0EA" w14:textId="77777777" w:rsidR="00B8377E" w:rsidRPr="004A0F32" w:rsidRDefault="00B8377E" w:rsidP="0039021C">
            <w:pPr>
              <w:spacing w:after="86" w:line="258" w:lineRule="auto"/>
            </w:pPr>
            <w:r w:rsidRPr="004A0F32">
              <w:t xml:space="preserve">J.E. Small </w:t>
            </w:r>
          </w:p>
          <w:p w14:paraId="66809664" w14:textId="77777777" w:rsidR="00B8377E" w:rsidRDefault="00B8377E" w:rsidP="0039021C">
            <w:pPr>
              <w:spacing w:after="86" w:line="258" w:lineRule="auto"/>
              <w:rPr>
                <w:b/>
                <w:bCs/>
                <w:color w:val="2D74B5"/>
                <w:sz w:val="28"/>
                <w:szCs w:val="28"/>
              </w:rPr>
            </w:pPr>
            <w:r w:rsidRPr="004A0F32">
              <w:t>(2021</w:t>
            </w:r>
            <w:r>
              <w:t>)</w:t>
            </w:r>
          </w:p>
        </w:tc>
        <w:tc>
          <w:tcPr>
            <w:tcW w:w="3119" w:type="dxa"/>
          </w:tcPr>
          <w:p w14:paraId="6E165BCF" w14:textId="77777777" w:rsidR="00B8377E" w:rsidRDefault="00B8377E" w:rsidP="0039021C">
            <w:pPr>
              <w:spacing w:line="259" w:lineRule="auto"/>
              <w:ind w:left="95"/>
            </w:pPr>
            <w:r>
              <w:t xml:space="preserve">Deep </w:t>
            </w:r>
          </w:p>
          <w:p w14:paraId="6ACCFA19" w14:textId="77777777" w:rsidR="00B8377E" w:rsidRDefault="00B8377E" w:rsidP="0039021C">
            <w:pPr>
              <w:spacing w:after="86" w:line="258" w:lineRule="auto"/>
              <w:rPr>
                <w:b/>
                <w:bCs/>
                <w:color w:val="2D74B5"/>
                <w:sz w:val="28"/>
                <w:szCs w:val="28"/>
              </w:rPr>
            </w:pPr>
            <w:r>
              <w:t xml:space="preserve">Learning </w:t>
            </w:r>
          </w:p>
        </w:tc>
        <w:tc>
          <w:tcPr>
            <w:tcW w:w="1701" w:type="dxa"/>
          </w:tcPr>
          <w:p w14:paraId="54A3927B" w14:textId="77777777" w:rsidR="00B8377E" w:rsidRPr="00CC0EBA" w:rsidRDefault="00B8377E" w:rsidP="0039021C">
            <w:pPr>
              <w:spacing w:after="86" w:line="258" w:lineRule="auto"/>
              <w:rPr>
                <w:color w:val="000000" w:themeColor="text1"/>
                <w:szCs w:val="24"/>
              </w:rPr>
            </w:pPr>
            <w:r>
              <w:rPr>
                <w:color w:val="000000" w:themeColor="text1"/>
                <w:szCs w:val="24"/>
              </w:rPr>
              <w:t>77.36%</w:t>
            </w:r>
          </w:p>
        </w:tc>
      </w:tr>
      <w:tr w:rsidR="00B8377E" w:rsidRPr="00CC0EBA" w14:paraId="46C02E51" w14:textId="77777777" w:rsidTr="0039021C">
        <w:tc>
          <w:tcPr>
            <w:tcW w:w="1413" w:type="dxa"/>
          </w:tcPr>
          <w:p w14:paraId="43650250" w14:textId="77777777" w:rsidR="00B8377E" w:rsidRDefault="00B8377E" w:rsidP="0039021C">
            <w:pPr>
              <w:spacing w:after="86" w:line="258" w:lineRule="auto"/>
              <w:rPr>
                <w:b/>
                <w:bCs/>
                <w:color w:val="2D74B5"/>
                <w:sz w:val="28"/>
                <w:szCs w:val="28"/>
              </w:rPr>
            </w:pPr>
            <w:r>
              <w:t xml:space="preserve">2. </w:t>
            </w:r>
          </w:p>
        </w:tc>
        <w:tc>
          <w:tcPr>
            <w:tcW w:w="2693" w:type="dxa"/>
          </w:tcPr>
          <w:p w14:paraId="1516872A" w14:textId="77777777" w:rsidR="00B8377E" w:rsidRPr="00205654" w:rsidRDefault="00B8377E" w:rsidP="0039021C">
            <w:pPr>
              <w:spacing w:after="86" w:line="258" w:lineRule="auto"/>
              <w:rPr>
                <w:szCs w:val="24"/>
              </w:rPr>
            </w:pPr>
            <w:r w:rsidRPr="00205654">
              <w:rPr>
                <w:szCs w:val="24"/>
              </w:rPr>
              <w:t>Elsevier Inc</w:t>
            </w:r>
          </w:p>
          <w:p w14:paraId="1C4C1068" w14:textId="77777777" w:rsidR="00B8377E" w:rsidRDefault="00B8377E" w:rsidP="0039021C">
            <w:pPr>
              <w:spacing w:after="86" w:line="258" w:lineRule="auto"/>
              <w:rPr>
                <w:b/>
                <w:bCs/>
                <w:color w:val="2D74B5"/>
                <w:sz w:val="28"/>
                <w:szCs w:val="28"/>
              </w:rPr>
            </w:pPr>
            <w:r w:rsidRPr="00205654">
              <w:rPr>
                <w:szCs w:val="24"/>
              </w:rPr>
              <w:t>(2023)</w:t>
            </w:r>
          </w:p>
        </w:tc>
        <w:tc>
          <w:tcPr>
            <w:tcW w:w="3119" w:type="dxa"/>
            <w:vAlign w:val="center"/>
          </w:tcPr>
          <w:p w14:paraId="2D1E1776" w14:textId="77777777" w:rsidR="00B8377E" w:rsidRPr="00205654" w:rsidRDefault="00B8377E" w:rsidP="0039021C">
            <w:pPr>
              <w:spacing w:after="86" w:line="258" w:lineRule="auto"/>
              <w:rPr>
                <w:color w:val="2D74B5"/>
                <w:szCs w:val="24"/>
              </w:rPr>
            </w:pPr>
            <w:r w:rsidRPr="00205654">
              <w:rPr>
                <w:szCs w:val="24"/>
              </w:rPr>
              <w:t>CNN</w:t>
            </w:r>
          </w:p>
        </w:tc>
        <w:tc>
          <w:tcPr>
            <w:tcW w:w="1701" w:type="dxa"/>
          </w:tcPr>
          <w:p w14:paraId="7676CDC0" w14:textId="77777777" w:rsidR="00B8377E" w:rsidRPr="00CC0EBA" w:rsidRDefault="00B8377E" w:rsidP="0039021C">
            <w:pPr>
              <w:spacing w:after="86" w:line="258" w:lineRule="auto"/>
              <w:rPr>
                <w:color w:val="000000" w:themeColor="text1"/>
                <w:szCs w:val="24"/>
              </w:rPr>
            </w:pPr>
            <w:r>
              <w:rPr>
                <w:color w:val="000000" w:themeColor="text1"/>
                <w:szCs w:val="24"/>
              </w:rPr>
              <w:t>92</w:t>
            </w:r>
            <w:r w:rsidRPr="00CC0EBA">
              <w:rPr>
                <w:color w:val="000000" w:themeColor="text1"/>
                <w:szCs w:val="24"/>
              </w:rPr>
              <w:t>.75</w:t>
            </w:r>
            <w:r>
              <w:rPr>
                <w:color w:val="000000" w:themeColor="text1"/>
                <w:szCs w:val="24"/>
              </w:rPr>
              <w:t>%</w:t>
            </w:r>
          </w:p>
        </w:tc>
      </w:tr>
      <w:tr w:rsidR="00B8377E" w:rsidRPr="00607C08" w14:paraId="67317894" w14:textId="77777777" w:rsidTr="0039021C">
        <w:tc>
          <w:tcPr>
            <w:tcW w:w="1413" w:type="dxa"/>
          </w:tcPr>
          <w:p w14:paraId="55BDC519" w14:textId="77777777" w:rsidR="00B8377E" w:rsidRDefault="00B8377E" w:rsidP="0039021C">
            <w:pPr>
              <w:spacing w:after="86" w:line="258" w:lineRule="auto"/>
              <w:rPr>
                <w:b/>
                <w:bCs/>
                <w:color w:val="2D74B5"/>
                <w:sz w:val="28"/>
                <w:szCs w:val="28"/>
              </w:rPr>
            </w:pPr>
            <w:r>
              <w:t xml:space="preserve">3. </w:t>
            </w:r>
          </w:p>
        </w:tc>
        <w:tc>
          <w:tcPr>
            <w:tcW w:w="2693" w:type="dxa"/>
          </w:tcPr>
          <w:p w14:paraId="6C3F2A98" w14:textId="77777777" w:rsidR="00B8377E" w:rsidRPr="00205654" w:rsidRDefault="00B8377E" w:rsidP="0039021C">
            <w:pPr>
              <w:spacing w:after="86" w:line="258" w:lineRule="auto"/>
              <w:rPr>
                <w:szCs w:val="24"/>
              </w:rPr>
            </w:pPr>
            <w:r w:rsidRPr="00205654">
              <w:rPr>
                <w:szCs w:val="24"/>
              </w:rPr>
              <w:t>Raghavendra et al.</w:t>
            </w:r>
          </w:p>
          <w:p w14:paraId="4E51F33E" w14:textId="77777777" w:rsidR="00B8377E" w:rsidRPr="00607C08" w:rsidRDefault="00B8377E" w:rsidP="0039021C">
            <w:pPr>
              <w:spacing w:after="86" w:line="258" w:lineRule="auto"/>
              <w:rPr>
                <w:szCs w:val="24"/>
              </w:rPr>
            </w:pPr>
            <w:r w:rsidRPr="00607C08">
              <w:rPr>
                <w:szCs w:val="24"/>
              </w:rPr>
              <w:t>(2021)</w:t>
            </w:r>
          </w:p>
        </w:tc>
        <w:tc>
          <w:tcPr>
            <w:tcW w:w="3119" w:type="dxa"/>
          </w:tcPr>
          <w:p w14:paraId="38ED6C43" w14:textId="77777777" w:rsidR="00B8377E" w:rsidRPr="00607C08" w:rsidRDefault="00B8377E" w:rsidP="0039021C">
            <w:pPr>
              <w:spacing w:after="86" w:line="258" w:lineRule="auto"/>
              <w:rPr>
                <w:szCs w:val="24"/>
              </w:rPr>
            </w:pPr>
            <w:r w:rsidRPr="00607C08">
              <w:rPr>
                <w:szCs w:val="24"/>
              </w:rPr>
              <w:t>Crow Search-Rider optimization</w:t>
            </w:r>
          </w:p>
        </w:tc>
        <w:tc>
          <w:tcPr>
            <w:tcW w:w="1701" w:type="dxa"/>
          </w:tcPr>
          <w:p w14:paraId="075F1EE9" w14:textId="77777777" w:rsidR="00B8377E" w:rsidRPr="00607C08" w:rsidRDefault="00B8377E" w:rsidP="0039021C">
            <w:pPr>
              <w:spacing w:after="86" w:line="258" w:lineRule="auto"/>
              <w:rPr>
                <w:szCs w:val="24"/>
              </w:rPr>
            </w:pPr>
            <w:r w:rsidRPr="00607C08">
              <w:rPr>
                <w:szCs w:val="24"/>
              </w:rPr>
              <w:t>88.82%</w:t>
            </w:r>
          </w:p>
        </w:tc>
      </w:tr>
      <w:tr w:rsidR="00B8377E" w:rsidRPr="00607C08" w14:paraId="7E786628" w14:textId="77777777" w:rsidTr="0039021C">
        <w:tc>
          <w:tcPr>
            <w:tcW w:w="1413" w:type="dxa"/>
          </w:tcPr>
          <w:p w14:paraId="6FEBBED9" w14:textId="77777777" w:rsidR="00B8377E" w:rsidRDefault="00B8377E" w:rsidP="0039021C">
            <w:pPr>
              <w:spacing w:after="86" w:line="258" w:lineRule="auto"/>
              <w:rPr>
                <w:b/>
                <w:bCs/>
                <w:color w:val="2D74B5"/>
                <w:sz w:val="28"/>
                <w:szCs w:val="28"/>
              </w:rPr>
            </w:pPr>
            <w:r>
              <w:t xml:space="preserve">4. </w:t>
            </w:r>
          </w:p>
        </w:tc>
        <w:tc>
          <w:tcPr>
            <w:tcW w:w="2693" w:type="dxa"/>
          </w:tcPr>
          <w:p w14:paraId="4205790D" w14:textId="77777777" w:rsidR="00B8377E" w:rsidRPr="00205654" w:rsidRDefault="00B8377E" w:rsidP="0039021C">
            <w:pPr>
              <w:spacing w:after="86" w:line="258" w:lineRule="auto"/>
              <w:rPr>
                <w:szCs w:val="24"/>
              </w:rPr>
            </w:pPr>
            <w:r w:rsidRPr="00205654">
              <w:rPr>
                <w:szCs w:val="24"/>
              </w:rPr>
              <w:t>Naofumi Tomita </w:t>
            </w:r>
          </w:p>
          <w:p w14:paraId="6701C90D" w14:textId="77777777" w:rsidR="00B8377E" w:rsidRPr="00607C08" w:rsidRDefault="00B8377E" w:rsidP="0039021C">
            <w:pPr>
              <w:spacing w:after="86" w:line="258" w:lineRule="auto"/>
              <w:rPr>
                <w:szCs w:val="24"/>
              </w:rPr>
            </w:pPr>
            <w:r w:rsidRPr="00607C08">
              <w:rPr>
                <w:szCs w:val="24"/>
              </w:rPr>
              <w:t>(2020)</w:t>
            </w:r>
          </w:p>
        </w:tc>
        <w:tc>
          <w:tcPr>
            <w:tcW w:w="3119" w:type="dxa"/>
          </w:tcPr>
          <w:p w14:paraId="4A8AF60D" w14:textId="77777777" w:rsidR="00B8377E" w:rsidRPr="00205654" w:rsidRDefault="00B8377E" w:rsidP="0039021C">
            <w:pPr>
              <w:spacing w:after="86" w:line="258" w:lineRule="auto"/>
              <w:rPr>
                <w:szCs w:val="24"/>
                <w:lang w:val="en-IN"/>
              </w:rPr>
            </w:pPr>
            <w:r w:rsidRPr="00205654">
              <w:rPr>
                <w:szCs w:val="24"/>
              </w:rPr>
              <w:t>Deep Learning (CNN)</w:t>
            </w:r>
          </w:p>
          <w:p w14:paraId="500E3401" w14:textId="77777777" w:rsidR="00B8377E" w:rsidRPr="00607C08" w:rsidRDefault="00B8377E" w:rsidP="0039021C">
            <w:pPr>
              <w:spacing w:after="86" w:line="258" w:lineRule="auto"/>
              <w:rPr>
                <w:szCs w:val="24"/>
              </w:rPr>
            </w:pPr>
          </w:p>
        </w:tc>
        <w:tc>
          <w:tcPr>
            <w:tcW w:w="1701" w:type="dxa"/>
          </w:tcPr>
          <w:p w14:paraId="4BEDD7B0" w14:textId="77777777" w:rsidR="00B8377E" w:rsidRPr="00607C08" w:rsidRDefault="00B8377E" w:rsidP="0039021C">
            <w:pPr>
              <w:spacing w:after="86" w:line="258" w:lineRule="auto"/>
              <w:rPr>
                <w:szCs w:val="24"/>
              </w:rPr>
            </w:pPr>
            <w:r w:rsidRPr="00607C08">
              <w:rPr>
                <w:szCs w:val="24"/>
              </w:rPr>
              <w:t>89.28%</w:t>
            </w:r>
          </w:p>
        </w:tc>
      </w:tr>
      <w:tr w:rsidR="00B8377E" w:rsidRPr="00607C08" w14:paraId="05343976" w14:textId="77777777" w:rsidTr="0039021C">
        <w:tc>
          <w:tcPr>
            <w:tcW w:w="1413" w:type="dxa"/>
          </w:tcPr>
          <w:p w14:paraId="6BF409F5" w14:textId="77777777" w:rsidR="00B8377E" w:rsidRDefault="00B8377E" w:rsidP="0039021C">
            <w:pPr>
              <w:spacing w:after="86" w:line="258" w:lineRule="auto"/>
              <w:rPr>
                <w:b/>
                <w:bCs/>
                <w:color w:val="2D74B5"/>
                <w:sz w:val="28"/>
                <w:szCs w:val="28"/>
              </w:rPr>
            </w:pPr>
            <w:r>
              <w:t xml:space="preserve">5. </w:t>
            </w:r>
          </w:p>
        </w:tc>
        <w:tc>
          <w:tcPr>
            <w:tcW w:w="2693" w:type="dxa"/>
            <w:vAlign w:val="center"/>
          </w:tcPr>
          <w:p w14:paraId="0C2EFEE8" w14:textId="77777777" w:rsidR="00B8377E" w:rsidRPr="00205654" w:rsidRDefault="00B8377E" w:rsidP="0039021C">
            <w:pPr>
              <w:spacing w:after="86" w:line="258" w:lineRule="auto"/>
              <w:rPr>
                <w:szCs w:val="24"/>
                <w:lang w:val="en-IN"/>
              </w:rPr>
            </w:pPr>
            <w:r w:rsidRPr="00205654">
              <w:rPr>
                <w:szCs w:val="24"/>
                <w:lang w:val="en-IN"/>
              </w:rPr>
              <w:t>A.B. Paul and M. Kunst (2021)</w:t>
            </w:r>
          </w:p>
          <w:p w14:paraId="01F5CA59" w14:textId="77777777" w:rsidR="00B8377E" w:rsidRPr="00607C08" w:rsidRDefault="00B8377E" w:rsidP="0039021C">
            <w:pPr>
              <w:spacing w:after="86" w:line="258" w:lineRule="auto"/>
              <w:rPr>
                <w:szCs w:val="24"/>
              </w:rPr>
            </w:pPr>
          </w:p>
        </w:tc>
        <w:tc>
          <w:tcPr>
            <w:tcW w:w="3119" w:type="dxa"/>
            <w:vAlign w:val="center"/>
          </w:tcPr>
          <w:p w14:paraId="4D60776C" w14:textId="77777777" w:rsidR="00B8377E" w:rsidRPr="00607C08" w:rsidRDefault="00B8377E" w:rsidP="0039021C">
            <w:pPr>
              <w:spacing w:after="86" w:line="258" w:lineRule="auto"/>
              <w:rPr>
                <w:szCs w:val="24"/>
              </w:rPr>
            </w:pPr>
            <w:r w:rsidRPr="00607C08">
              <w:rPr>
                <w:szCs w:val="24"/>
              </w:rPr>
              <w:t>Convolutional Neural Network (CNN</w:t>
            </w:r>
          </w:p>
        </w:tc>
        <w:tc>
          <w:tcPr>
            <w:tcW w:w="1701" w:type="dxa"/>
          </w:tcPr>
          <w:p w14:paraId="08D241D5" w14:textId="77777777" w:rsidR="00B8377E" w:rsidRPr="00607C08" w:rsidRDefault="00B8377E" w:rsidP="0039021C">
            <w:pPr>
              <w:spacing w:after="86" w:line="258" w:lineRule="auto"/>
              <w:rPr>
                <w:szCs w:val="24"/>
              </w:rPr>
            </w:pPr>
            <w:r w:rsidRPr="00607C08">
              <w:rPr>
                <w:szCs w:val="24"/>
              </w:rPr>
              <w:t>92%</w:t>
            </w:r>
          </w:p>
        </w:tc>
      </w:tr>
      <w:tr w:rsidR="00B8377E" w:rsidRPr="00CC0EBA" w14:paraId="7282832F" w14:textId="77777777" w:rsidTr="0039021C">
        <w:tc>
          <w:tcPr>
            <w:tcW w:w="1413" w:type="dxa"/>
          </w:tcPr>
          <w:p w14:paraId="3F8D165F" w14:textId="77777777" w:rsidR="00B8377E" w:rsidRDefault="00B8377E" w:rsidP="0039021C">
            <w:pPr>
              <w:spacing w:after="86" w:line="258" w:lineRule="auto"/>
              <w:rPr>
                <w:b/>
                <w:bCs/>
                <w:color w:val="2D74B5"/>
                <w:sz w:val="28"/>
                <w:szCs w:val="28"/>
              </w:rPr>
            </w:pPr>
            <w:r>
              <w:t xml:space="preserve">6. </w:t>
            </w:r>
          </w:p>
        </w:tc>
        <w:tc>
          <w:tcPr>
            <w:tcW w:w="2693" w:type="dxa"/>
          </w:tcPr>
          <w:p w14:paraId="229FFE53" w14:textId="77777777" w:rsidR="00B8377E" w:rsidRPr="00205654" w:rsidRDefault="00B8377E" w:rsidP="0039021C">
            <w:pPr>
              <w:spacing w:line="259" w:lineRule="auto"/>
              <w:ind w:left="5"/>
              <w:rPr>
                <w:lang w:val="en-IN"/>
              </w:rPr>
            </w:pPr>
            <w:r w:rsidRPr="00205654">
              <w:rPr>
                <w:lang w:val="en-IN"/>
              </w:rPr>
              <w:t>S. Benetos and John Vlamis (2020)</w:t>
            </w:r>
          </w:p>
          <w:p w14:paraId="6EEC7863" w14:textId="77777777" w:rsidR="00B8377E" w:rsidRDefault="00B8377E" w:rsidP="0039021C">
            <w:pPr>
              <w:spacing w:after="86" w:line="258" w:lineRule="auto"/>
              <w:rPr>
                <w:b/>
                <w:bCs/>
                <w:color w:val="2D74B5"/>
                <w:sz w:val="28"/>
                <w:szCs w:val="28"/>
              </w:rPr>
            </w:pPr>
          </w:p>
        </w:tc>
        <w:tc>
          <w:tcPr>
            <w:tcW w:w="3119" w:type="dxa"/>
          </w:tcPr>
          <w:p w14:paraId="00D35DB0" w14:textId="77777777" w:rsidR="00B8377E" w:rsidRPr="00205654" w:rsidRDefault="00B8377E" w:rsidP="0039021C">
            <w:pPr>
              <w:spacing w:after="86" w:line="258" w:lineRule="auto"/>
              <w:rPr>
                <w:lang w:val="en-IN"/>
              </w:rPr>
            </w:pPr>
            <w:r w:rsidRPr="00205654">
              <w:rPr>
                <w:lang w:val="en-IN"/>
              </w:rPr>
              <w:t>ANN (Artificial neural networks)</w:t>
            </w:r>
          </w:p>
          <w:p w14:paraId="47BDD5D2" w14:textId="77777777" w:rsidR="00B8377E" w:rsidRDefault="00B8377E" w:rsidP="0039021C">
            <w:pPr>
              <w:spacing w:after="86" w:line="258" w:lineRule="auto"/>
              <w:rPr>
                <w:b/>
                <w:bCs/>
                <w:color w:val="2D74B5"/>
                <w:sz w:val="28"/>
                <w:szCs w:val="28"/>
              </w:rPr>
            </w:pPr>
          </w:p>
        </w:tc>
        <w:tc>
          <w:tcPr>
            <w:tcW w:w="1701" w:type="dxa"/>
          </w:tcPr>
          <w:p w14:paraId="58C0AB8F" w14:textId="77777777" w:rsidR="00B8377E" w:rsidRPr="00CC0EBA" w:rsidRDefault="00B8377E" w:rsidP="0039021C">
            <w:pPr>
              <w:spacing w:after="86" w:line="258" w:lineRule="auto"/>
              <w:rPr>
                <w:color w:val="000000" w:themeColor="text1"/>
                <w:szCs w:val="24"/>
              </w:rPr>
            </w:pPr>
            <w:r>
              <w:rPr>
                <w:color w:val="000000" w:themeColor="text1"/>
                <w:szCs w:val="24"/>
              </w:rPr>
              <w:t>85.1%</w:t>
            </w:r>
          </w:p>
        </w:tc>
      </w:tr>
      <w:tr w:rsidR="00B8377E" w:rsidRPr="00CC0EBA" w14:paraId="395C5B06" w14:textId="77777777" w:rsidTr="0039021C">
        <w:tc>
          <w:tcPr>
            <w:tcW w:w="1413" w:type="dxa"/>
          </w:tcPr>
          <w:p w14:paraId="13EF940B" w14:textId="77777777" w:rsidR="00B8377E" w:rsidRDefault="00B8377E" w:rsidP="0039021C">
            <w:pPr>
              <w:spacing w:after="86" w:line="258" w:lineRule="auto"/>
              <w:rPr>
                <w:b/>
                <w:bCs/>
                <w:color w:val="2D74B5"/>
                <w:sz w:val="28"/>
                <w:szCs w:val="28"/>
              </w:rPr>
            </w:pPr>
            <w:r>
              <w:t xml:space="preserve">7. </w:t>
            </w:r>
          </w:p>
        </w:tc>
        <w:tc>
          <w:tcPr>
            <w:tcW w:w="2693" w:type="dxa"/>
          </w:tcPr>
          <w:p w14:paraId="690F281C" w14:textId="77777777" w:rsidR="00B8377E" w:rsidRPr="00205654" w:rsidRDefault="00B8377E" w:rsidP="0039021C">
            <w:pPr>
              <w:spacing w:after="86" w:line="258" w:lineRule="auto"/>
              <w:rPr>
                <w:lang w:val="en-IN"/>
              </w:rPr>
            </w:pPr>
            <w:r w:rsidRPr="00205654">
              <w:rPr>
                <w:lang w:val="en-IN"/>
              </w:rPr>
              <w:t>Showmick Guha Paul (2021)</w:t>
            </w:r>
          </w:p>
          <w:p w14:paraId="0582AA45" w14:textId="77777777" w:rsidR="00B8377E" w:rsidRDefault="00B8377E" w:rsidP="0039021C">
            <w:pPr>
              <w:spacing w:after="86" w:line="258" w:lineRule="auto"/>
              <w:rPr>
                <w:b/>
                <w:bCs/>
                <w:color w:val="2D74B5"/>
                <w:sz w:val="28"/>
                <w:szCs w:val="28"/>
              </w:rPr>
            </w:pPr>
          </w:p>
        </w:tc>
        <w:tc>
          <w:tcPr>
            <w:tcW w:w="3119" w:type="dxa"/>
          </w:tcPr>
          <w:p w14:paraId="00CAC25B" w14:textId="77777777" w:rsidR="00B8377E" w:rsidRPr="00205654" w:rsidRDefault="00B8377E" w:rsidP="0039021C">
            <w:pPr>
              <w:spacing w:after="86" w:line="258" w:lineRule="auto"/>
              <w:rPr>
                <w:lang w:val="en-IN"/>
              </w:rPr>
            </w:pPr>
            <w:r w:rsidRPr="00205654">
              <w:rPr>
                <w:lang w:val="en-IN"/>
              </w:rPr>
              <w:t xml:space="preserve">Deep learning, Computed tomography </w:t>
            </w:r>
          </w:p>
          <w:p w14:paraId="7D8ED3C1" w14:textId="77777777" w:rsidR="00B8377E" w:rsidRDefault="00B8377E" w:rsidP="0039021C">
            <w:pPr>
              <w:spacing w:after="86" w:line="258" w:lineRule="auto"/>
              <w:rPr>
                <w:b/>
                <w:bCs/>
                <w:color w:val="2D74B5"/>
                <w:sz w:val="28"/>
                <w:szCs w:val="28"/>
              </w:rPr>
            </w:pPr>
          </w:p>
        </w:tc>
        <w:tc>
          <w:tcPr>
            <w:tcW w:w="1701" w:type="dxa"/>
          </w:tcPr>
          <w:p w14:paraId="6B5E83E1" w14:textId="77777777" w:rsidR="00B8377E" w:rsidRDefault="00B8377E" w:rsidP="0039021C">
            <w:pPr>
              <w:spacing w:after="86" w:line="258" w:lineRule="auto"/>
              <w:rPr>
                <w:color w:val="000000" w:themeColor="text1"/>
                <w:szCs w:val="24"/>
              </w:rPr>
            </w:pPr>
            <w:r>
              <w:rPr>
                <w:color w:val="000000" w:themeColor="text1"/>
                <w:szCs w:val="24"/>
              </w:rPr>
              <w:t>90.75%</w:t>
            </w:r>
          </w:p>
          <w:p w14:paraId="23F6425B" w14:textId="77777777" w:rsidR="00B8377E" w:rsidRPr="00CC0EBA" w:rsidRDefault="00B8377E" w:rsidP="0039021C">
            <w:pPr>
              <w:spacing w:after="86" w:line="258" w:lineRule="auto"/>
              <w:rPr>
                <w:color w:val="000000" w:themeColor="text1"/>
                <w:szCs w:val="24"/>
              </w:rPr>
            </w:pPr>
          </w:p>
        </w:tc>
      </w:tr>
      <w:tr w:rsidR="00B8377E" w:rsidRPr="00CC0EBA" w14:paraId="63CEE91A" w14:textId="77777777" w:rsidTr="0039021C">
        <w:tc>
          <w:tcPr>
            <w:tcW w:w="1413" w:type="dxa"/>
          </w:tcPr>
          <w:p w14:paraId="4E7BAE48" w14:textId="77777777" w:rsidR="00B8377E" w:rsidRDefault="00B8377E" w:rsidP="0039021C">
            <w:pPr>
              <w:spacing w:after="86" w:line="258" w:lineRule="auto"/>
            </w:pPr>
            <w:r>
              <w:t xml:space="preserve">9. </w:t>
            </w:r>
          </w:p>
        </w:tc>
        <w:tc>
          <w:tcPr>
            <w:tcW w:w="2693" w:type="dxa"/>
          </w:tcPr>
          <w:p w14:paraId="3D318AA5" w14:textId="6BA6B091" w:rsidR="00B8377E" w:rsidRDefault="00B8377E" w:rsidP="00B8377E">
            <w:pPr>
              <w:spacing w:line="259" w:lineRule="auto"/>
              <w:ind w:left="5"/>
            </w:pPr>
            <w:r>
              <w:t xml:space="preserve">Saman Ebrahimi </w:t>
            </w:r>
          </w:p>
        </w:tc>
        <w:tc>
          <w:tcPr>
            <w:tcW w:w="3119" w:type="dxa"/>
          </w:tcPr>
          <w:p w14:paraId="30A0B029" w14:textId="77777777" w:rsidR="00B8377E" w:rsidRDefault="00B8377E" w:rsidP="0039021C">
            <w:pPr>
              <w:spacing w:after="86" w:line="258" w:lineRule="auto"/>
            </w:pPr>
            <w:r>
              <w:t>CNN</w:t>
            </w:r>
          </w:p>
        </w:tc>
        <w:tc>
          <w:tcPr>
            <w:tcW w:w="1701" w:type="dxa"/>
          </w:tcPr>
          <w:p w14:paraId="1F92F508" w14:textId="77777777" w:rsidR="00B8377E" w:rsidRPr="00CC0EBA" w:rsidRDefault="00B8377E" w:rsidP="0039021C">
            <w:pPr>
              <w:spacing w:after="86" w:line="258" w:lineRule="auto"/>
              <w:rPr>
                <w:color w:val="2D74B5"/>
                <w:szCs w:val="24"/>
              </w:rPr>
            </w:pPr>
            <w:r w:rsidRPr="00CC0EBA">
              <w:rPr>
                <w:color w:val="000000" w:themeColor="text1"/>
                <w:szCs w:val="24"/>
              </w:rPr>
              <w:t>84</w:t>
            </w:r>
            <w:r>
              <w:rPr>
                <w:color w:val="000000" w:themeColor="text1"/>
                <w:szCs w:val="24"/>
              </w:rPr>
              <w:t>%</w:t>
            </w:r>
          </w:p>
        </w:tc>
      </w:tr>
      <w:tr w:rsidR="00B8377E" w:rsidRPr="000F6476" w14:paraId="48FCDE76" w14:textId="77777777" w:rsidTr="0039021C">
        <w:tc>
          <w:tcPr>
            <w:tcW w:w="1413" w:type="dxa"/>
          </w:tcPr>
          <w:p w14:paraId="13D1894D" w14:textId="77777777" w:rsidR="00B8377E" w:rsidRDefault="00B8377E" w:rsidP="0039021C">
            <w:pPr>
              <w:spacing w:after="86" w:line="258" w:lineRule="auto"/>
            </w:pPr>
            <w:r>
              <w:lastRenderedPageBreak/>
              <w:t xml:space="preserve">10. </w:t>
            </w:r>
          </w:p>
        </w:tc>
        <w:tc>
          <w:tcPr>
            <w:tcW w:w="2693" w:type="dxa"/>
          </w:tcPr>
          <w:p w14:paraId="688D164D" w14:textId="77777777" w:rsidR="00B8377E" w:rsidRDefault="00B8377E" w:rsidP="0039021C">
            <w:pPr>
              <w:spacing w:after="86" w:line="258" w:lineRule="auto"/>
            </w:pPr>
            <w:r>
              <w:t xml:space="preserve">Sunanda Biradar  </w:t>
            </w:r>
          </w:p>
          <w:p w14:paraId="079D852E" w14:textId="193655DE" w:rsidR="00B8377E" w:rsidRDefault="00B8377E" w:rsidP="0039021C">
            <w:pPr>
              <w:spacing w:after="86" w:line="258" w:lineRule="auto"/>
            </w:pPr>
            <w:r>
              <w:t>(2020)</w:t>
            </w:r>
          </w:p>
        </w:tc>
        <w:tc>
          <w:tcPr>
            <w:tcW w:w="3119" w:type="dxa"/>
          </w:tcPr>
          <w:p w14:paraId="410AFD31" w14:textId="77777777" w:rsidR="00B8377E" w:rsidRDefault="00B8377E" w:rsidP="0039021C">
            <w:pPr>
              <w:spacing w:after="5" w:line="238" w:lineRule="auto"/>
            </w:pPr>
            <w:r>
              <w:t xml:space="preserve">Support Vector Machines </w:t>
            </w:r>
          </w:p>
          <w:p w14:paraId="5DA02594" w14:textId="77777777" w:rsidR="00B8377E" w:rsidRDefault="00B8377E" w:rsidP="0039021C">
            <w:pPr>
              <w:spacing w:line="259" w:lineRule="auto"/>
              <w:ind w:right="27"/>
            </w:pPr>
            <w:r>
              <w:t xml:space="preserve">(SVM), Random </w:t>
            </w:r>
          </w:p>
          <w:p w14:paraId="63CE845E" w14:textId="77777777" w:rsidR="00B8377E" w:rsidRDefault="00B8377E" w:rsidP="0039021C">
            <w:pPr>
              <w:spacing w:line="259" w:lineRule="auto"/>
              <w:ind w:right="35"/>
            </w:pPr>
            <w:r>
              <w:t xml:space="preserve">Forests, </w:t>
            </w:r>
          </w:p>
          <w:p w14:paraId="04B8EFAE" w14:textId="77777777" w:rsidR="00B8377E" w:rsidRDefault="00B8377E" w:rsidP="0039021C">
            <w:pPr>
              <w:spacing w:after="86" w:line="258" w:lineRule="auto"/>
            </w:pPr>
            <w:r>
              <w:t xml:space="preserve">CNNs </w:t>
            </w:r>
          </w:p>
        </w:tc>
        <w:tc>
          <w:tcPr>
            <w:tcW w:w="1701" w:type="dxa"/>
          </w:tcPr>
          <w:p w14:paraId="45CF9E68" w14:textId="77777777" w:rsidR="00B8377E" w:rsidRPr="000F6476" w:rsidRDefault="00B8377E" w:rsidP="0039021C">
            <w:pPr>
              <w:spacing w:after="86" w:line="258" w:lineRule="auto"/>
              <w:rPr>
                <w:color w:val="000000" w:themeColor="text1"/>
                <w:szCs w:val="24"/>
              </w:rPr>
            </w:pPr>
            <w:r w:rsidRPr="000F6476">
              <w:rPr>
                <w:color w:val="000000" w:themeColor="text1"/>
                <w:szCs w:val="24"/>
              </w:rPr>
              <w:t>98.5%</w:t>
            </w:r>
          </w:p>
        </w:tc>
      </w:tr>
      <w:bookmarkEnd w:id="13"/>
    </w:tbl>
    <w:p w14:paraId="141D1B88" w14:textId="77777777" w:rsidR="00B8377E" w:rsidRDefault="00B8377E" w:rsidP="00B8377E">
      <w:pPr>
        <w:jc w:val="both"/>
        <w:rPr>
          <w:sz w:val="20"/>
        </w:rPr>
      </w:pPr>
    </w:p>
    <w:p w14:paraId="4DEB3024" w14:textId="77777777" w:rsidR="00B8377E" w:rsidRDefault="00B8377E" w:rsidP="00B8377E">
      <w:pPr>
        <w:jc w:val="both"/>
        <w:rPr>
          <w:sz w:val="20"/>
        </w:rPr>
      </w:pPr>
    </w:p>
    <w:p w14:paraId="47341280" w14:textId="77777777" w:rsidR="00B8377E" w:rsidRDefault="00B8377E" w:rsidP="00B8377E">
      <w:pPr>
        <w:jc w:val="both"/>
        <w:rPr>
          <w:sz w:val="20"/>
        </w:rPr>
      </w:pPr>
    </w:p>
    <w:p w14:paraId="7B9DA1DB" w14:textId="77777777" w:rsidR="00B8377E" w:rsidRDefault="00B8377E" w:rsidP="00B8377E">
      <w:pPr>
        <w:jc w:val="both"/>
        <w:rPr>
          <w:sz w:val="20"/>
        </w:rPr>
      </w:pPr>
    </w:p>
    <w:p w14:paraId="53E5D27D" w14:textId="77777777" w:rsidR="00B8377E" w:rsidRDefault="00B8377E" w:rsidP="00B8377E">
      <w:pPr>
        <w:jc w:val="both"/>
        <w:rPr>
          <w:sz w:val="20"/>
        </w:rPr>
      </w:pPr>
    </w:p>
    <w:p w14:paraId="5EB39139" w14:textId="77777777" w:rsidR="00B8377E" w:rsidRDefault="00B8377E" w:rsidP="00B8377E">
      <w:pPr>
        <w:jc w:val="both"/>
        <w:rPr>
          <w:sz w:val="20"/>
        </w:rPr>
      </w:pPr>
    </w:p>
    <w:p w14:paraId="1CC20F2A" w14:textId="77777777" w:rsidR="00B8377E" w:rsidRDefault="00B8377E" w:rsidP="00B8377E">
      <w:pPr>
        <w:jc w:val="both"/>
        <w:rPr>
          <w:sz w:val="20"/>
        </w:rPr>
      </w:pPr>
      <w:r>
        <w:rPr>
          <w:sz w:val="20"/>
        </w:rPr>
        <w:t xml:space="preserve">   </w:t>
      </w:r>
      <w:r>
        <w:rPr>
          <w:noProof/>
          <w:sz w:val="20"/>
        </w:rPr>
        <w:drawing>
          <wp:inline distT="0" distB="0" distL="0" distR="0" wp14:anchorId="3ABBD36A" wp14:editId="4552ADB5">
            <wp:extent cx="6712585" cy="2767965"/>
            <wp:effectExtent l="0" t="0" r="0" b="0"/>
            <wp:docPr id="394838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2585" cy="2767965"/>
                    </a:xfrm>
                    <a:prstGeom prst="rect">
                      <a:avLst/>
                    </a:prstGeom>
                    <a:noFill/>
                  </pic:spPr>
                </pic:pic>
              </a:graphicData>
            </a:graphic>
          </wp:inline>
        </w:drawing>
      </w:r>
    </w:p>
    <w:p w14:paraId="511C5DF6" w14:textId="77777777" w:rsidR="00B8377E" w:rsidRDefault="00B8377E" w:rsidP="00B8377E">
      <w:pPr>
        <w:jc w:val="both"/>
        <w:rPr>
          <w:sz w:val="20"/>
        </w:rPr>
      </w:pPr>
    </w:p>
    <w:p w14:paraId="63B75AD5" w14:textId="77777777" w:rsidR="00B8377E" w:rsidRDefault="00B8377E" w:rsidP="00B8377E">
      <w:pPr>
        <w:jc w:val="center"/>
        <w:rPr>
          <w:sz w:val="20"/>
        </w:rPr>
      </w:pPr>
    </w:p>
    <w:p w14:paraId="5C72CCCB" w14:textId="77777777" w:rsidR="00B8377E" w:rsidRPr="00B8377E" w:rsidRDefault="00B8377E" w:rsidP="00B8377E">
      <w:pPr>
        <w:jc w:val="center"/>
        <w:rPr>
          <w:sz w:val="20"/>
        </w:rPr>
      </w:pPr>
      <w:r w:rsidRPr="00B8377E">
        <w:rPr>
          <w:sz w:val="20"/>
        </w:rPr>
        <w:t>Fig 6:   Comparative study of six shallow deep learning models for myelitis detection</w:t>
      </w:r>
    </w:p>
    <w:p w14:paraId="723ED8FF" w14:textId="77777777" w:rsidR="00B8377E" w:rsidRDefault="00B8377E" w:rsidP="00B8377E">
      <w:pPr>
        <w:jc w:val="both"/>
        <w:rPr>
          <w:sz w:val="20"/>
        </w:rPr>
      </w:pPr>
    </w:p>
    <w:p w14:paraId="55147D06" w14:textId="77777777" w:rsidR="00B8377E" w:rsidRDefault="00B8377E" w:rsidP="00B8377E">
      <w:pPr>
        <w:jc w:val="both"/>
        <w:rPr>
          <w:sz w:val="20"/>
        </w:rPr>
      </w:pPr>
    </w:p>
    <w:p w14:paraId="2CEDD3D5" w14:textId="77777777" w:rsidR="00B8377E" w:rsidRDefault="00B8377E" w:rsidP="00B8377E">
      <w:pPr>
        <w:jc w:val="both"/>
        <w:rPr>
          <w:sz w:val="20"/>
        </w:rPr>
      </w:pPr>
    </w:p>
    <w:p w14:paraId="7ADB2762" w14:textId="5E452236" w:rsidR="00B8377E" w:rsidRPr="00B8377E" w:rsidRDefault="00B8377E" w:rsidP="00B8377E">
      <w:pPr>
        <w:ind w:left="720"/>
        <w:rPr>
          <w:sz w:val="20"/>
        </w:rPr>
        <w:sectPr w:rsidR="00B8377E" w:rsidRPr="00B8377E" w:rsidSect="00762523">
          <w:pgSz w:w="12240" w:h="15840"/>
          <w:pgMar w:top="1360" w:right="240" w:bottom="280" w:left="620" w:header="720" w:footer="720" w:gutter="0"/>
          <w:cols w:space="720"/>
        </w:sectPr>
      </w:pPr>
      <w:r w:rsidRPr="00B8377E">
        <w:rPr>
          <w:sz w:val="20"/>
        </w:rPr>
        <w:t>It is observed from the Figure 6 that CNN provides a recognition accuracy of 92 percent and outperforms better than existing algorithms for myelitis detection.</w:t>
      </w:r>
    </w:p>
    <w:p w14:paraId="5CB14857" w14:textId="77777777" w:rsidR="00216FB7" w:rsidRDefault="00216FB7">
      <w:pPr>
        <w:pStyle w:val="BodyText"/>
        <w:spacing w:before="8"/>
        <w:rPr>
          <w:sz w:val="13"/>
        </w:rPr>
      </w:pPr>
    </w:p>
    <w:p w14:paraId="1831157D" w14:textId="737771A3" w:rsidR="00216FB7" w:rsidRDefault="00000000">
      <w:pPr>
        <w:pStyle w:val="Heading1"/>
        <w:numPr>
          <w:ilvl w:val="0"/>
          <w:numId w:val="3"/>
        </w:numPr>
        <w:tabs>
          <w:tab w:val="left" w:pos="1033"/>
        </w:tabs>
        <w:spacing w:before="90"/>
        <w:ind w:left="1032" w:hanging="228"/>
        <w:jc w:val="left"/>
      </w:pPr>
      <w:r>
        <w:t>Advantages</w:t>
      </w:r>
      <w:r>
        <w:rPr>
          <w:spacing w:val="-3"/>
        </w:rPr>
        <w:t xml:space="preserve"> </w:t>
      </w:r>
      <w:r>
        <w:t>of</w:t>
      </w:r>
      <w:r>
        <w:rPr>
          <w:spacing w:val="-2"/>
        </w:rPr>
        <w:t xml:space="preserve"> </w:t>
      </w:r>
      <w:r>
        <w:t>Machine</w:t>
      </w:r>
      <w:r>
        <w:rPr>
          <w:spacing w:val="-3"/>
        </w:rPr>
        <w:t xml:space="preserve"> </w:t>
      </w:r>
      <w:r>
        <w:t>Learning</w:t>
      </w:r>
      <w:r>
        <w:rPr>
          <w:spacing w:val="-2"/>
        </w:rPr>
        <w:t xml:space="preserve"> </w:t>
      </w:r>
      <w:r>
        <w:t>Models</w:t>
      </w:r>
      <w:r>
        <w:rPr>
          <w:spacing w:val="-3"/>
        </w:rPr>
        <w:t xml:space="preserve"> </w:t>
      </w:r>
      <w:r>
        <w:t>for</w:t>
      </w:r>
      <w:r>
        <w:rPr>
          <w:spacing w:val="-7"/>
        </w:rPr>
        <w:t xml:space="preserve"> </w:t>
      </w:r>
      <w:proofErr w:type="gramStart"/>
      <w:r w:rsidR="00A318EA">
        <w:t xml:space="preserve">Myelitis </w:t>
      </w:r>
      <w:r>
        <w:rPr>
          <w:spacing w:val="-2"/>
        </w:rPr>
        <w:t xml:space="preserve"> </w:t>
      </w:r>
      <w:r>
        <w:t>Detection</w:t>
      </w:r>
      <w:proofErr w:type="gramEnd"/>
    </w:p>
    <w:p w14:paraId="2E1214C2" w14:textId="72911462" w:rsidR="00216FB7" w:rsidRDefault="00B8377E">
      <w:pPr>
        <w:pStyle w:val="BodyText"/>
        <w:spacing w:before="58" w:line="266" w:lineRule="auto"/>
        <w:ind w:left="916" w:right="1043"/>
      </w:pPr>
      <w:r w:rsidRPr="00B8377E">
        <w:t>Utilizing deep learning models for myelitis detection offers numerous benefits that contribute to more precise, efficient, and scalable diagnostic procedures:</w:t>
      </w:r>
    </w:p>
    <w:p w14:paraId="06B320BC" w14:textId="77777777" w:rsidR="00216FB7" w:rsidRDefault="00216FB7">
      <w:pPr>
        <w:pStyle w:val="BodyText"/>
        <w:spacing w:before="4"/>
        <w:rPr>
          <w:sz w:val="21"/>
        </w:rPr>
      </w:pPr>
    </w:p>
    <w:p w14:paraId="20FB8000" w14:textId="4253EFF4" w:rsidR="00216FB7" w:rsidRDefault="00B8377E">
      <w:pPr>
        <w:pStyle w:val="ListParagraph"/>
        <w:numPr>
          <w:ilvl w:val="1"/>
          <w:numId w:val="3"/>
        </w:numPr>
        <w:tabs>
          <w:tab w:val="left" w:pos="1648"/>
        </w:tabs>
        <w:spacing w:line="266" w:lineRule="auto"/>
        <w:ind w:right="1234"/>
        <w:rPr>
          <w:sz w:val="20"/>
        </w:rPr>
      </w:pPr>
      <w:r>
        <w:rPr>
          <w:sz w:val="20"/>
        </w:rPr>
        <w:t>A</w:t>
      </w:r>
      <w:r w:rsidRPr="00B8377E">
        <w:rPr>
          <w:sz w:val="20"/>
        </w:rPr>
        <w:t>utomated Detection: Deep learning models automate the identification of myelitis lesions on medical imaging scans, reducing the reliance on manual interpretation by radiologists and healthcare providers. This automation accelerates diagnostic processes, leading to quicker turnaround times and timely interventions for patients suspected of having myelitis</w:t>
      </w:r>
    </w:p>
    <w:p w14:paraId="6B6A4036" w14:textId="77777777" w:rsidR="00216FB7" w:rsidRDefault="00216FB7">
      <w:pPr>
        <w:pStyle w:val="BodyText"/>
        <w:spacing w:before="4"/>
        <w:rPr>
          <w:sz w:val="26"/>
        </w:rPr>
      </w:pPr>
    </w:p>
    <w:p w14:paraId="662E4B01" w14:textId="20715187" w:rsidR="00216FB7" w:rsidRDefault="00B8377E">
      <w:pPr>
        <w:pStyle w:val="ListParagraph"/>
        <w:numPr>
          <w:ilvl w:val="1"/>
          <w:numId w:val="3"/>
        </w:numPr>
        <w:tabs>
          <w:tab w:val="left" w:pos="1648"/>
        </w:tabs>
        <w:spacing w:line="266" w:lineRule="auto"/>
        <w:ind w:right="1235"/>
        <w:rPr>
          <w:sz w:val="20"/>
        </w:rPr>
      </w:pPr>
      <w:r w:rsidRPr="00B8377E">
        <w:rPr>
          <w:sz w:val="20"/>
        </w:rPr>
        <w:t>Improved Sensitivity and Specificity: Deep learning models utilize intricate neural architectures to learn distinctive features and patterns indicative of myelitis on magnetic resonance imaging (MRI) scans. These models can achieve heightened sensitivity and specificity in detecting lesions, surpassing traditional image analysis techniques and decreasing the likelihood of false positives or negatives</w:t>
      </w:r>
      <w:r>
        <w:rPr>
          <w:sz w:val="20"/>
        </w:rPr>
        <w:t>.</w:t>
      </w:r>
    </w:p>
    <w:p w14:paraId="19005B14" w14:textId="77777777" w:rsidR="00216FB7" w:rsidRDefault="00216FB7">
      <w:pPr>
        <w:pStyle w:val="BodyText"/>
        <w:spacing w:before="4"/>
        <w:rPr>
          <w:sz w:val="26"/>
        </w:rPr>
      </w:pPr>
    </w:p>
    <w:p w14:paraId="3DB2CF74" w14:textId="6A3C4E78" w:rsidR="00216FB7" w:rsidRDefault="00B8377E">
      <w:pPr>
        <w:pStyle w:val="ListParagraph"/>
        <w:numPr>
          <w:ilvl w:val="1"/>
          <w:numId w:val="3"/>
        </w:numPr>
        <w:tabs>
          <w:tab w:val="left" w:pos="1648"/>
        </w:tabs>
        <w:spacing w:line="266" w:lineRule="auto"/>
        <w:ind w:right="1236"/>
        <w:rPr>
          <w:sz w:val="20"/>
        </w:rPr>
      </w:pPr>
      <w:r w:rsidRPr="00B8377E">
        <w:rPr>
          <w:sz w:val="20"/>
        </w:rPr>
        <w:t>Quantitative Analysis: Deep learning models enable the quantitative analysis of myelitis lesions, offering objective metrics such as lesion volume, distribution, and spatial extent. This quantitative assessment facilitates longitudinal monitoring of disease progression, treatment response evaluation, and detection of subtle changes in lesion morphology over time</w:t>
      </w:r>
      <w:r>
        <w:rPr>
          <w:sz w:val="20"/>
        </w:rPr>
        <w:t>.</w:t>
      </w:r>
    </w:p>
    <w:p w14:paraId="0FCD7008" w14:textId="77777777" w:rsidR="00216FB7" w:rsidRDefault="00216FB7">
      <w:pPr>
        <w:pStyle w:val="BodyText"/>
        <w:spacing w:before="2"/>
        <w:rPr>
          <w:sz w:val="26"/>
        </w:rPr>
      </w:pPr>
    </w:p>
    <w:p w14:paraId="4EE75470" w14:textId="77777777" w:rsidR="00DD6D18" w:rsidRDefault="00B8377E">
      <w:pPr>
        <w:pStyle w:val="ListParagraph"/>
        <w:numPr>
          <w:ilvl w:val="1"/>
          <w:numId w:val="3"/>
        </w:numPr>
        <w:tabs>
          <w:tab w:val="left" w:pos="1648"/>
        </w:tabs>
        <w:spacing w:before="1" w:line="268" w:lineRule="auto"/>
        <w:ind w:right="1235"/>
        <w:rPr>
          <w:sz w:val="20"/>
        </w:rPr>
      </w:pPr>
      <w:r w:rsidRPr="00B8377E">
        <w:rPr>
          <w:sz w:val="20"/>
        </w:rPr>
        <w:t xml:space="preserve">Early Detection and Intervention: By </w:t>
      </w:r>
      <w:proofErr w:type="spellStart"/>
      <w:r w:rsidRPr="00B8377E">
        <w:rPr>
          <w:sz w:val="20"/>
        </w:rPr>
        <w:t>facili</w:t>
      </w:r>
      <w:proofErr w:type="spellEnd"/>
    </w:p>
    <w:p w14:paraId="1B9F3D88" w14:textId="77777777" w:rsidR="00DD6D18" w:rsidRPr="00DD6D18" w:rsidRDefault="00DD6D18" w:rsidP="00DD6D18">
      <w:pPr>
        <w:pStyle w:val="ListParagraph"/>
        <w:rPr>
          <w:sz w:val="20"/>
        </w:rPr>
      </w:pPr>
    </w:p>
    <w:p w14:paraId="0AFA7B43" w14:textId="77777777" w:rsidR="00DD6D18" w:rsidRDefault="00DD6D18">
      <w:pPr>
        <w:pStyle w:val="ListParagraph"/>
        <w:numPr>
          <w:ilvl w:val="1"/>
          <w:numId w:val="3"/>
        </w:numPr>
        <w:tabs>
          <w:tab w:val="left" w:pos="1648"/>
        </w:tabs>
        <w:spacing w:before="1" w:line="268" w:lineRule="auto"/>
        <w:ind w:right="1235"/>
        <w:rPr>
          <w:sz w:val="20"/>
        </w:rPr>
      </w:pPr>
    </w:p>
    <w:p w14:paraId="4657828B" w14:textId="77777777" w:rsidR="00DD6D18" w:rsidRPr="00DD6D18" w:rsidRDefault="00DD6D18" w:rsidP="00DD6D18">
      <w:pPr>
        <w:pStyle w:val="ListParagraph"/>
        <w:rPr>
          <w:sz w:val="20"/>
        </w:rPr>
      </w:pPr>
    </w:p>
    <w:p w14:paraId="574FA30B" w14:textId="212E5EE0" w:rsidR="00216FB7" w:rsidRDefault="00B8377E">
      <w:pPr>
        <w:pStyle w:val="ListParagraph"/>
        <w:numPr>
          <w:ilvl w:val="1"/>
          <w:numId w:val="3"/>
        </w:numPr>
        <w:tabs>
          <w:tab w:val="left" w:pos="1648"/>
        </w:tabs>
        <w:spacing w:before="1" w:line="268" w:lineRule="auto"/>
        <w:ind w:right="1235"/>
        <w:rPr>
          <w:sz w:val="20"/>
        </w:rPr>
      </w:pPr>
      <w:proofErr w:type="spellStart"/>
      <w:r w:rsidRPr="00B8377E">
        <w:rPr>
          <w:sz w:val="20"/>
        </w:rPr>
        <w:t>tating</w:t>
      </w:r>
      <w:proofErr w:type="spellEnd"/>
      <w:r w:rsidRPr="00B8377E">
        <w:rPr>
          <w:sz w:val="20"/>
        </w:rPr>
        <w:t xml:space="preserve"> early identification of myelitis lesions, deep learning models empower healthcare professionals to initiate timely treatment and implement preventive measures to mitigate disease-related complications. Early intervention can enhance patient outcomes, minimize neurological deficits, and prevent irreversible spinal cord damage</w:t>
      </w:r>
      <w:r>
        <w:rPr>
          <w:sz w:val="20"/>
        </w:rPr>
        <w:t>.</w:t>
      </w:r>
    </w:p>
    <w:p w14:paraId="252EC96B" w14:textId="77777777" w:rsidR="00216FB7" w:rsidRDefault="00216FB7">
      <w:pPr>
        <w:pStyle w:val="BodyText"/>
        <w:spacing w:before="6"/>
        <w:rPr>
          <w:sz w:val="25"/>
        </w:rPr>
      </w:pPr>
    </w:p>
    <w:p w14:paraId="0EF1E158" w14:textId="00E266C3" w:rsidR="00216FB7" w:rsidRDefault="00B8377E">
      <w:pPr>
        <w:pStyle w:val="ListParagraph"/>
        <w:numPr>
          <w:ilvl w:val="1"/>
          <w:numId w:val="3"/>
        </w:numPr>
        <w:tabs>
          <w:tab w:val="left" w:pos="1648"/>
        </w:tabs>
        <w:spacing w:line="266" w:lineRule="auto"/>
        <w:ind w:right="1234"/>
        <w:rPr>
          <w:sz w:val="20"/>
        </w:rPr>
      </w:pPr>
      <w:r w:rsidRPr="00B8377E">
        <w:rPr>
          <w:sz w:val="20"/>
        </w:rPr>
        <w:t>Personalized Treatment Planning: Deep learning models facilitate personalized treatment planning by stratifying patients based on the severity and extent of myelitis lesions, along with other clinical factors like disease subtype, comorbidities, and treatment response. Personalized treatment algorithms optimize therapeutic decisions, tailoring interventions to meet individual patient requirements and maximize treatment efficacy</w:t>
      </w:r>
      <w:r>
        <w:rPr>
          <w:sz w:val="20"/>
        </w:rPr>
        <w:t>.</w:t>
      </w:r>
    </w:p>
    <w:p w14:paraId="705EADC7" w14:textId="77777777" w:rsidR="00216FB7" w:rsidRDefault="00216FB7">
      <w:pPr>
        <w:pStyle w:val="BodyText"/>
        <w:spacing w:before="3"/>
        <w:rPr>
          <w:sz w:val="26"/>
        </w:rPr>
      </w:pPr>
    </w:p>
    <w:p w14:paraId="7B3DB010" w14:textId="2FA602A1" w:rsidR="00216FB7" w:rsidRDefault="00B8377E">
      <w:pPr>
        <w:pStyle w:val="ListParagraph"/>
        <w:numPr>
          <w:ilvl w:val="1"/>
          <w:numId w:val="3"/>
        </w:numPr>
        <w:tabs>
          <w:tab w:val="left" w:pos="1648"/>
        </w:tabs>
        <w:spacing w:before="1" w:line="266" w:lineRule="auto"/>
        <w:ind w:right="1235"/>
        <w:rPr>
          <w:sz w:val="20"/>
        </w:rPr>
      </w:pPr>
      <w:r w:rsidRPr="00B8377E">
        <w:rPr>
          <w:sz w:val="20"/>
        </w:rPr>
        <w:t xml:space="preserve">Data-driven Insights: Deep learning models generate data-driven insights into the pathophysiology and radiological characteristics of myelitis, offering valuable information on disease mechanisms, biomarkers, and prognostic factors. These insights enhance our understanding of myelitis </w:t>
      </w:r>
      <w:r w:rsidR="00E009FA" w:rsidRPr="00B8377E">
        <w:rPr>
          <w:sz w:val="20"/>
        </w:rPr>
        <w:t>a etiology</w:t>
      </w:r>
      <w:r w:rsidRPr="00B8377E">
        <w:rPr>
          <w:sz w:val="20"/>
        </w:rPr>
        <w:t xml:space="preserve">, inform clinical decision-making, and drive research </w:t>
      </w:r>
      <w:r w:rsidR="00E009FA" w:rsidRPr="00B8377E">
        <w:rPr>
          <w:sz w:val="20"/>
        </w:rPr>
        <w:t>endeavors</w:t>
      </w:r>
      <w:r w:rsidRPr="00B8377E">
        <w:rPr>
          <w:sz w:val="20"/>
        </w:rPr>
        <w:t xml:space="preserve"> aimed at developing innovative diagnostic and therapeutic approaches</w:t>
      </w:r>
      <w:r>
        <w:rPr>
          <w:sz w:val="20"/>
        </w:rPr>
        <w:t>.</w:t>
      </w:r>
    </w:p>
    <w:p w14:paraId="52613F13" w14:textId="77777777" w:rsidR="00216FB7" w:rsidRDefault="00216FB7">
      <w:pPr>
        <w:pStyle w:val="BodyText"/>
        <w:spacing w:before="9"/>
        <w:rPr>
          <w:sz w:val="22"/>
        </w:rPr>
      </w:pPr>
    </w:p>
    <w:p w14:paraId="43005F56" w14:textId="5CF1A409" w:rsidR="00216FB7" w:rsidRDefault="00B8377E" w:rsidP="00B8377E">
      <w:pPr>
        <w:pStyle w:val="BodyText"/>
        <w:spacing w:line="266" w:lineRule="auto"/>
        <w:ind w:left="916" w:right="1043"/>
        <w:sectPr w:rsidR="00216FB7" w:rsidSect="00762523">
          <w:pgSz w:w="12240" w:h="15840"/>
          <w:pgMar w:top="1440" w:right="240" w:bottom="280" w:left="620" w:header="720" w:footer="720" w:gutter="0"/>
          <w:cols w:space="720"/>
        </w:sectPr>
      </w:pPr>
      <w:r w:rsidRPr="00B8377E">
        <w:t>Overall, the application of deep learning models in myelitis detection holds immense promise for revolutionizing diagnostic practices, improving patient care, and advancing our understanding of spinal cord inflammation and related neurological disorders. As research and development efforts continue, deep learning-based approaches are poised to play a pivotal role in the management of myelitis and other neuroinflammatory conditions in clinical settings.</w:t>
      </w:r>
    </w:p>
    <w:p w14:paraId="08B9EDBC" w14:textId="77777777" w:rsidR="00216FB7" w:rsidRDefault="00216FB7">
      <w:pPr>
        <w:pStyle w:val="BodyText"/>
        <w:rPr>
          <w:sz w:val="22"/>
        </w:rPr>
      </w:pPr>
    </w:p>
    <w:p w14:paraId="5FE1FA45" w14:textId="77777777" w:rsidR="00216FB7" w:rsidRDefault="00000000">
      <w:pPr>
        <w:pStyle w:val="Heading1"/>
        <w:numPr>
          <w:ilvl w:val="0"/>
          <w:numId w:val="3"/>
        </w:numPr>
        <w:tabs>
          <w:tab w:val="left" w:pos="1166"/>
        </w:tabs>
        <w:spacing w:before="157"/>
        <w:ind w:left="1165" w:hanging="241"/>
        <w:jc w:val="both"/>
      </w:pPr>
      <w:r>
        <w:t>Conclusion</w:t>
      </w:r>
    </w:p>
    <w:p w14:paraId="0C4CDF4F" w14:textId="6A143C18" w:rsidR="00216FB7" w:rsidRDefault="00E009FA">
      <w:pPr>
        <w:pStyle w:val="BodyText"/>
        <w:spacing w:before="95" w:line="266" w:lineRule="auto"/>
        <w:ind w:left="916" w:right="1234"/>
        <w:jc w:val="both"/>
        <w:rPr>
          <w:sz w:val="24"/>
        </w:rPr>
      </w:pPr>
      <w:bookmarkStart w:id="14" w:name="_Hlk166159435"/>
      <w:r w:rsidRPr="00E009FA">
        <w:t>The incorporation of deep learning models in myelitis detection marks a significant progression in medical imaging and diagnostic methodologies. These models present automated, highly sensitive, and specific approaches to identify inflammatory lesions within the spinal cord, thereby simplifying diagnostic processes and facilitating prompt interventions. Deep learning's ability to offer quantitative analysis and personalized insights enables early detection, individualized treatment planning, and continual monitoring of myelitis patients. Additionally, insights derived from deep learning contribute to our comprehension of myelitis pathophysiology and guide research endeavors aimed at refining diagnostic and therapeutic approaches. As deep learning algorithms continue to advance, their role in myelitis detection is expected to broaden, leading to improved clinical decision-making, optimized patient care, and ultimately better outcomes for those affected by spinal cord inflammation. Sustained research efforts and collaborative initiatives are vital to further develop and validate these models for widespread clinical.  This research paper showcases the transformative potential of AI and ML in revolutionizing medical diagnostics, improving patient outcomes, and enhancing efficiency of the healthcare</w:t>
      </w:r>
      <w:r>
        <w:rPr>
          <w:sz w:val="24"/>
        </w:rPr>
        <w:t>.</w:t>
      </w:r>
    </w:p>
    <w:bookmarkEnd w:id="14"/>
    <w:p w14:paraId="7C1F956A" w14:textId="77777777" w:rsidR="00216FB7" w:rsidRDefault="00000000">
      <w:pPr>
        <w:pStyle w:val="Heading1"/>
        <w:spacing w:before="194"/>
        <w:ind w:left="805" w:firstLine="0"/>
      </w:pPr>
      <w:r>
        <w:t>References</w:t>
      </w:r>
    </w:p>
    <w:p w14:paraId="75203606" w14:textId="13AD401C" w:rsidR="00216FB7" w:rsidRDefault="00000000" w:rsidP="00E009FA">
      <w:pPr>
        <w:pStyle w:val="BodyText"/>
        <w:spacing w:before="57" w:line="266" w:lineRule="auto"/>
        <w:ind w:left="916" w:right="1043"/>
      </w:pPr>
      <w:r>
        <w:t>[1].</w:t>
      </w:r>
      <w:r>
        <w:rPr>
          <w:spacing w:val="12"/>
        </w:rPr>
        <w:t xml:space="preserve"> </w:t>
      </w:r>
      <w:bookmarkStart w:id="15" w:name="_Hlk166159398"/>
      <w:r w:rsidR="00E009FA" w:rsidRPr="00E009FA">
        <w:t>J E Small, P Osler, A B Paul, M Kunst,” CT Cervical Spine Fracture Detection Using a Convolutional Neural Network”, Apr,202</w:t>
      </w:r>
      <w:r w:rsidR="00E009FA">
        <w:t>1.</w:t>
      </w:r>
    </w:p>
    <w:p w14:paraId="6FC5735F" w14:textId="77777777" w:rsidR="00216FB7" w:rsidRDefault="00216FB7">
      <w:pPr>
        <w:pStyle w:val="BodyText"/>
        <w:spacing w:before="2"/>
        <w:rPr>
          <w:sz w:val="24"/>
        </w:rPr>
      </w:pPr>
    </w:p>
    <w:p w14:paraId="04E7F2A2" w14:textId="25DEB0B6" w:rsidR="00216FB7" w:rsidRDefault="00E009FA">
      <w:pPr>
        <w:pStyle w:val="ListParagraph"/>
        <w:numPr>
          <w:ilvl w:val="0"/>
          <w:numId w:val="1"/>
        </w:numPr>
        <w:tabs>
          <w:tab w:val="left" w:pos="1542"/>
        </w:tabs>
        <w:spacing w:line="266" w:lineRule="auto"/>
        <w:ind w:left="916" w:right="1239" w:firstLine="0"/>
        <w:jc w:val="both"/>
        <w:rPr>
          <w:sz w:val="20"/>
        </w:rPr>
      </w:pPr>
      <w:r w:rsidRPr="00E009FA">
        <w:rPr>
          <w:sz w:val="20"/>
        </w:rPr>
        <w:t>Showmick Guha Paul, Arpa Saha, Md Assaduzzaman, “A real-time deep learning approach for classifying cervical spine fractures”, Dec,2023</w:t>
      </w:r>
      <w:r>
        <w:rPr>
          <w:sz w:val="20"/>
        </w:rPr>
        <w:t>.</w:t>
      </w:r>
    </w:p>
    <w:p w14:paraId="5153F2B6" w14:textId="729C3171" w:rsidR="00216FB7" w:rsidRDefault="00E009FA">
      <w:pPr>
        <w:pStyle w:val="ListParagraph"/>
        <w:numPr>
          <w:ilvl w:val="0"/>
          <w:numId w:val="1"/>
        </w:numPr>
        <w:tabs>
          <w:tab w:val="left" w:pos="1542"/>
        </w:tabs>
        <w:spacing w:before="149" w:line="266" w:lineRule="auto"/>
        <w:ind w:left="916" w:right="1236" w:firstLine="0"/>
        <w:jc w:val="both"/>
        <w:rPr>
          <w:sz w:val="20"/>
        </w:rPr>
      </w:pPr>
      <w:r w:rsidRPr="00E009FA">
        <w:rPr>
          <w:sz w:val="20"/>
        </w:rPr>
        <w:t>Munavar Jasim, Thomas Brindha, “Spinal cord segmentation and injury detection using a Crow Search-Rider optimization algorithm”, Dec,2020</w:t>
      </w:r>
      <w:r>
        <w:rPr>
          <w:sz w:val="20"/>
        </w:rPr>
        <w:t>.</w:t>
      </w:r>
    </w:p>
    <w:p w14:paraId="1C93235C" w14:textId="77777777" w:rsidR="00216FB7" w:rsidRDefault="00216FB7">
      <w:pPr>
        <w:pStyle w:val="BodyText"/>
        <w:spacing w:before="1"/>
        <w:rPr>
          <w:sz w:val="22"/>
        </w:rPr>
      </w:pPr>
    </w:p>
    <w:p w14:paraId="53C041D5" w14:textId="2CB2FEC9" w:rsidR="00216FB7" w:rsidRDefault="00E009FA">
      <w:pPr>
        <w:pStyle w:val="ListParagraph"/>
        <w:numPr>
          <w:ilvl w:val="0"/>
          <w:numId w:val="1"/>
        </w:numPr>
        <w:tabs>
          <w:tab w:val="left" w:pos="1542"/>
        </w:tabs>
        <w:spacing w:line="266" w:lineRule="auto"/>
        <w:ind w:left="916" w:right="1235" w:firstLine="0"/>
        <w:jc w:val="both"/>
        <w:rPr>
          <w:sz w:val="20"/>
        </w:rPr>
      </w:pPr>
      <w:r w:rsidRPr="00E009FA">
        <w:rPr>
          <w:sz w:val="20"/>
        </w:rPr>
        <w:t>Naofumi Tomita , Yvonne Y Cheung , Saeed Hassanpour, “Deep neural networks for automatic detection of osteoporotic vertebral fractures on CT scans”, May,2018</w:t>
      </w:r>
      <w:r>
        <w:rPr>
          <w:sz w:val="20"/>
        </w:rPr>
        <w:t>.</w:t>
      </w:r>
    </w:p>
    <w:p w14:paraId="11AA782D" w14:textId="77777777" w:rsidR="00216FB7" w:rsidRDefault="00216FB7">
      <w:pPr>
        <w:pStyle w:val="BodyText"/>
        <w:spacing w:before="2"/>
        <w:rPr>
          <w:sz w:val="22"/>
        </w:rPr>
      </w:pPr>
    </w:p>
    <w:p w14:paraId="53D10A1F" w14:textId="190222CE" w:rsidR="00216FB7" w:rsidRDefault="00E009FA">
      <w:pPr>
        <w:pStyle w:val="ListParagraph"/>
        <w:numPr>
          <w:ilvl w:val="0"/>
          <w:numId w:val="1"/>
        </w:numPr>
        <w:tabs>
          <w:tab w:val="left" w:pos="1542"/>
        </w:tabs>
        <w:spacing w:line="266" w:lineRule="auto"/>
        <w:ind w:left="916" w:right="1237" w:firstLine="0"/>
        <w:jc w:val="both"/>
        <w:rPr>
          <w:sz w:val="20"/>
        </w:rPr>
      </w:pPr>
      <w:r w:rsidRPr="00E009FA">
        <w:rPr>
          <w:sz w:val="20"/>
        </w:rPr>
        <w:t>Themistoklis Tragaris, Ioannis S Benetos, John Vlamis, and Spyridon Pneumaticos, “Deep Learning Applications in Spine Surgery”, Oct,2023</w:t>
      </w:r>
      <w:r>
        <w:rPr>
          <w:sz w:val="20"/>
        </w:rPr>
        <w:t>.</w:t>
      </w:r>
    </w:p>
    <w:p w14:paraId="157E34CF" w14:textId="77777777" w:rsidR="00216FB7" w:rsidRDefault="00216FB7">
      <w:pPr>
        <w:pStyle w:val="BodyText"/>
        <w:spacing w:before="11"/>
        <w:rPr>
          <w:sz w:val="25"/>
        </w:rPr>
      </w:pPr>
    </w:p>
    <w:p w14:paraId="53098588" w14:textId="4F20378D" w:rsidR="00216FB7" w:rsidRPr="00E009FA" w:rsidRDefault="00E009FA" w:rsidP="00E009FA">
      <w:pPr>
        <w:pStyle w:val="ListParagraph"/>
        <w:numPr>
          <w:ilvl w:val="0"/>
          <w:numId w:val="1"/>
        </w:numPr>
        <w:tabs>
          <w:tab w:val="left" w:pos="1542"/>
        </w:tabs>
        <w:jc w:val="both"/>
        <w:rPr>
          <w:sz w:val="20"/>
        </w:rPr>
      </w:pPr>
      <w:r w:rsidRPr="00E009FA">
        <w:rPr>
          <w:sz w:val="20"/>
          <w:szCs w:val="20"/>
        </w:rPr>
        <w:t>Anu Jacob, Brian G. Weinshenker, “An Approach to the Diagnosis of Acute Transverse Myelitis”, Dec,2018</w:t>
      </w:r>
      <w:r>
        <w:t>.</w:t>
      </w:r>
    </w:p>
    <w:p w14:paraId="2F549670" w14:textId="77777777" w:rsidR="00216FB7" w:rsidRDefault="00216FB7">
      <w:pPr>
        <w:pStyle w:val="BodyText"/>
        <w:spacing w:before="1"/>
        <w:rPr>
          <w:sz w:val="22"/>
        </w:rPr>
      </w:pPr>
    </w:p>
    <w:p w14:paraId="5B1C0CF8" w14:textId="140A86F5" w:rsidR="00216FB7" w:rsidRDefault="00E009FA">
      <w:pPr>
        <w:pStyle w:val="ListParagraph"/>
        <w:numPr>
          <w:ilvl w:val="0"/>
          <w:numId w:val="1"/>
        </w:numPr>
        <w:tabs>
          <w:tab w:val="left" w:pos="1542"/>
        </w:tabs>
        <w:spacing w:before="1" w:line="266" w:lineRule="auto"/>
        <w:ind w:left="916" w:right="1235" w:firstLine="0"/>
        <w:jc w:val="both"/>
        <w:rPr>
          <w:sz w:val="20"/>
        </w:rPr>
      </w:pPr>
      <w:r w:rsidRPr="00E009FA">
        <w:rPr>
          <w:sz w:val="20"/>
        </w:rPr>
        <w:t>Lee YJ, Terbrugge KG, Saliou G, Krings T. “Clinical features and outcomes of spinal cord arteriovenous malformations”, Oct,2019</w:t>
      </w:r>
      <w:r>
        <w:rPr>
          <w:sz w:val="20"/>
        </w:rPr>
        <w:t>.</w:t>
      </w:r>
    </w:p>
    <w:p w14:paraId="5E2A6E78" w14:textId="77777777" w:rsidR="00216FB7" w:rsidRDefault="00216FB7">
      <w:pPr>
        <w:pStyle w:val="BodyText"/>
        <w:spacing w:before="10"/>
        <w:rPr>
          <w:sz w:val="25"/>
        </w:rPr>
      </w:pPr>
    </w:p>
    <w:p w14:paraId="1CDCCC69" w14:textId="29205AA3" w:rsidR="00216FB7" w:rsidRDefault="00E009FA">
      <w:pPr>
        <w:pStyle w:val="ListParagraph"/>
        <w:numPr>
          <w:ilvl w:val="0"/>
          <w:numId w:val="1"/>
        </w:numPr>
        <w:tabs>
          <w:tab w:val="left" w:pos="1542"/>
        </w:tabs>
        <w:jc w:val="both"/>
        <w:rPr>
          <w:sz w:val="20"/>
        </w:rPr>
      </w:pPr>
      <w:r w:rsidRPr="00E009FA">
        <w:rPr>
          <w:sz w:val="20"/>
        </w:rPr>
        <w:t>Samir Alkabie , Courtney S. Casserly , Sarah A. Morrow , Juan M. Racosta, “Identifying specific myelopathy etiologies in the evaluation of suspected myelitis”, Jul,2023</w:t>
      </w:r>
      <w:r>
        <w:rPr>
          <w:sz w:val="20"/>
        </w:rPr>
        <w:t>.</w:t>
      </w:r>
    </w:p>
    <w:p w14:paraId="5D9A9150" w14:textId="77777777" w:rsidR="00216FB7" w:rsidRDefault="00216FB7">
      <w:pPr>
        <w:pStyle w:val="BodyText"/>
        <w:spacing w:before="8"/>
        <w:rPr>
          <w:sz w:val="24"/>
        </w:rPr>
      </w:pPr>
    </w:p>
    <w:p w14:paraId="0DC59A9C" w14:textId="605ED84D" w:rsidR="00216FB7" w:rsidRDefault="00E009FA">
      <w:pPr>
        <w:pStyle w:val="ListParagraph"/>
        <w:numPr>
          <w:ilvl w:val="0"/>
          <w:numId w:val="1"/>
        </w:numPr>
        <w:tabs>
          <w:tab w:val="left" w:pos="1542"/>
        </w:tabs>
        <w:spacing w:line="266" w:lineRule="auto"/>
        <w:ind w:left="916" w:right="1235" w:firstLine="0"/>
        <w:jc w:val="both"/>
        <w:rPr>
          <w:sz w:val="20"/>
        </w:rPr>
      </w:pPr>
      <w:r w:rsidRPr="00E009FA">
        <w:rPr>
          <w:sz w:val="20"/>
        </w:rPr>
        <w:t xml:space="preserve">Yo Huh, Eun-Jung Park, Ju-Won Jung, </w:t>
      </w:r>
      <w:proofErr w:type="spellStart"/>
      <w:r w:rsidRPr="00E009FA">
        <w:rPr>
          <w:sz w:val="20"/>
        </w:rPr>
        <w:t>Sungho</w:t>
      </w:r>
      <w:proofErr w:type="spellEnd"/>
      <w:r w:rsidRPr="00E009FA">
        <w:rPr>
          <w:sz w:val="20"/>
        </w:rPr>
        <w:t xml:space="preserve"> Oh, Sang-Cheon Choi, “Clinical insights for early detection of acute transverse myelitis in the emergency department”, Mar,2018</w:t>
      </w:r>
      <w:r>
        <w:rPr>
          <w:sz w:val="20"/>
        </w:rPr>
        <w:t>.</w:t>
      </w:r>
    </w:p>
    <w:p w14:paraId="70C8FF67" w14:textId="77777777" w:rsidR="00216FB7" w:rsidRDefault="00216FB7">
      <w:pPr>
        <w:pStyle w:val="BodyText"/>
        <w:spacing w:before="2"/>
        <w:rPr>
          <w:sz w:val="22"/>
        </w:rPr>
      </w:pPr>
    </w:p>
    <w:p w14:paraId="69FAFD1D" w14:textId="3D0B9AD8" w:rsidR="00216FB7" w:rsidRDefault="00E009FA">
      <w:pPr>
        <w:pStyle w:val="ListParagraph"/>
        <w:numPr>
          <w:ilvl w:val="0"/>
          <w:numId w:val="1"/>
        </w:numPr>
        <w:tabs>
          <w:tab w:val="left" w:pos="1542"/>
        </w:tabs>
        <w:spacing w:line="266" w:lineRule="auto"/>
        <w:ind w:left="916" w:right="1238" w:firstLine="0"/>
        <w:jc w:val="both"/>
        <w:rPr>
          <w:sz w:val="20"/>
        </w:rPr>
      </w:pPr>
      <w:r w:rsidRPr="00E009FA">
        <w:rPr>
          <w:sz w:val="20"/>
        </w:rPr>
        <w:t>V P Chandnani, J Beltran, C S Morris, S N Khalil, C F Mueller, J M Burk, W F Bennett, P B Shaffer, “Acute experimental osteomyelitis and abscesses: detection with MR imaging versus CT”, Mar,2019</w:t>
      </w:r>
      <w:r>
        <w:rPr>
          <w:sz w:val="20"/>
        </w:rPr>
        <w:t>.</w:t>
      </w:r>
    </w:p>
    <w:p w14:paraId="2CFBEE07" w14:textId="77777777" w:rsidR="00E009FA" w:rsidRPr="00E009FA" w:rsidRDefault="00E009FA" w:rsidP="00E009FA">
      <w:pPr>
        <w:pStyle w:val="ListParagraph"/>
        <w:rPr>
          <w:sz w:val="20"/>
        </w:rPr>
      </w:pPr>
    </w:p>
    <w:p w14:paraId="1502F19E" w14:textId="1D53A41F" w:rsidR="00E009FA" w:rsidRDefault="00E009FA">
      <w:pPr>
        <w:pStyle w:val="ListParagraph"/>
        <w:numPr>
          <w:ilvl w:val="0"/>
          <w:numId w:val="1"/>
        </w:numPr>
        <w:tabs>
          <w:tab w:val="left" w:pos="1542"/>
        </w:tabs>
        <w:spacing w:line="266" w:lineRule="auto"/>
        <w:ind w:left="916" w:right="1238" w:firstLine="0"/>
        <w:jc w:val="both"/>
        <w:rPr>
          <w:sz w:val="20"/>
        </w:rPr>
      </w:pPr>
      <w:r w:rsidRPr="00E009FA">
        <w:rPr>
          <w:sz w:val="20"/>
        </w:rPr>
        <w:t>Divyanshu Dubey, MD1,2; Sean J. Pittock, MD1,2; Karl N. Krecke, “Radiologic, Features of Myelitis Associated with Myelin Oligodendrocyte Glycoprotein Autoantibody”, Dec,2018</w:t>
      </w:r>
      <w:r>
        <w:rPr>
          <w:sz w:val="20"/>
        </w:rPr>
        <w:t>.</w:t>
      </w:r>
    </w:p>
    <w:p w14:paraId="5986C347" w14:textId="77777777" w:rsidR="00E009FA" w:rsidRPr="00E009FA" w:rsidRDefault="00E009FA" w:rsidP="00E009FA">
      <w:pPr>
        <w:pStyle w:val="ListParagraph"/>
        <w:rPr>
          <w:sz w:val="20"/>
        </w:rPr>
      </w:pPr>
    </w:p>
    <w:p w14:paraId="7BADE713" w14:textId="6B7451F8" w:rsidR="00E009FA" w:rsidRDefault="00E009FA">
      <w:pPr>
        <w:pStyle w:val="ListParagraph"/>
        <w:numPr>
          <w:ilvl w:val="0"/>
          <w:numId w:val="1"/>
        </w:numPr>
        <w:tabs>
          <w:tab w:val="left" w:pos="1542"/>
        </w:tabs>
        <w:spacing w:line="266" w:lineRule="auto"/>
        <w:ind w:left="916" w:right="1238" w:firstLine="0"/>
        <w:jc w:val="both"/>
        <w:rPr>
          <w:sz w:val="20"/>
        </w:rPr>
      </w:pPr>
      <w:r w:rsidRPr="00E009FA">
        <w:rPr>
          <w:sz w:val="20"/>
        </w:rPr>
        <w:t>Zajicek JP, Scolding NJ, Foster O, “Central nervous system sarcoidosis: diagnosis and management”. Mar,2020</w:t>
      </w:r>
      <w:r>
        <w:rPr>
          <w:sz w:val="20"/>
        </w:rPr>
        <w:t>.</w:t>
      </w:r>
    </w:p>
    <w:p w14:paraId="66420FF1" w14:textId="77777777" w:rsidR="00E009FA" w:rsidRPr="00E009FA" w:rsidRDefault="00E009FA" w:rsidP="00E009FA">
      <w:pPr>
        <w:pStyle w:val="ListParagraph"/>
        <w:rPr>
          <w:sz w:val="20"/>
        </w:rPr>
      </w:pPr>
    </w:p>
    <w:p w14:paraId="1ACDDA72" w14:textId="29A43989" w:rsidR="00E009FA" w:rsidRDefault="00E009FA">
      <w:pPr>
        <w:pStyle w:val="ListParagraph"/>
        <w:numPr>
          <w:ilvl w:val="0"/>
          <w:numId w:val="1"/>
        </w:numPr>
        <w:tabs>
          <w:tab w:val="left" w:pos="1542"/>
        </w:tabs>
        <w:spacing w:line="266" w:lineRule="auto"/>
        <w:ind w:left="916" w:right="1238" w:firstLine="0"/>
        <w:jc w:val="both"/>
        <w:rPr>
          <w:sz w:val="20"/>
        </w:rPr>
      </w:pPr>
      <w:r w:rsidRPr="00E009FA">
        <w:rPr>
          <w:sz w:val="20"/>
        </w:rPr>
        <w:t>Birnbaum J, Petri M, Thompson R, Izbudak I, Kerr D, “Distinct subtypes of myelitis in systemic lupus erythematosus”, May,2018</w:t>
      </w:r>
    </w:p>
    <w:p w14:paraId="19A24D6F" w14:textId="77777777" w:rsidR="00E009FA" w:rsidRPr="00E009FA" w:rsidRDefault="00E009FA" w:rsidP="00E009FA">
      <w:pPr>
        <w:pStyle w:val="ListParagraph"/>
        <w:rPr>
          <w:sz w:val="20"/>
        </w:rPr>
      </w:pPr>
    </w:p>
    <w:p w14:paraId="0F06F99A" w14:textId="61D67128" w:rsidR="00E009FA" w:rsidRDefault="00E009FA">
      <w:pPr>
        <w:pStyle w:val="ListParagraph"/>
        <w:numPr>
          <w:ilvl w:val="0"/>
          <w:numId w:val="1"/>
        </w:numPr>
        <w:tabs>
          <w:tab w:val="left" w:pos="1542"/>
        </w:tabs>
        <w:spacing w:line="266" w:lineRule="auto"/>
        <w:ind w:left="916" w:right="1238" w:firstLine="0"/>
        <w:jc w:val="both"/>
        <w:rPr>
          <w:sz w:val="20"/>
        </w:rPr>
      </w:pPr>
      <w:r w:rsidRPr="00E009FA">
        <w:rPr>
          <w:sz w:val="20"/>
        </w:rPr>
        <w:lastRenderedPageBreak/>
        <w:t>Gailloud P, Gregg L, Galan P, Becker D, Pardo C. Periconal, “Arterial anastomotic circle and posterior lumbosacral watershed zone of the spinal cord”, Jun,2015</w:t>
      </w:r>
      <w:r>
        <w:rPr>
          <w:sz w:val="20"/>
        </w:rPr>
        <w:t>.</w:t>
      </w:r>
    </w:p>
    <w:p w14:paraId="43FF48AF" w14:textId="646113BB" w:rsidR="00E009FA" w:rsidRPr="00E009FA" w:rsidRDefault="00E009FA" w:rsidP="00E009FA">
      <w:pPr>
        <w:pStyle w:val="ListParagraph"/>
        <w:rPr>
          <w:sz w:val="20"/>
        </w:rPr>
      </w:pPr>
      <w:r w:rsidRPr="00E009FA">
        <w:rPr>
          <w:sz w:val="20"/>
        </w:rPr>
        <w:t>Li J, Jiang B, Fine JP, “Multicategory reclassification statistics for assessing improvements in diagnostic accuracy. Biostatistics”, May, 2013</w:t>
      </w:r>
    </w:p>
    <w:bookmarkEnd w:id="15"/>
    <w:p w14:paraId="2FB814B6" w14:textId="77777777" w:rsidR="00E009FA" w:rsidRDefault="00E009FA" w:rsidP="00391B2A">
      <w:pPr>
        <w:tabs>
          <w:tab w:val="left" w:pos="1542"/>
        </w:tabs>
        <w:spacing w:line="266" w:lineRule="auto"/>
        <w:ind w:right="1238"/>
        <w:jc w:val="both"/>
        <w:rPr>
          <w:sz w:val="20"/>
        </w:rPr>
      </w:pPr>
    </w:p>
    <w:p w14:paraId="779D01DB" w14:textId="77777777" w:rsidR="00391B2A" w:rsidRDefault="00391B2A" w:rsidP="00391B2A">
      <w:pPr>
        <w:tabs>
          <w:tab w:val="left" w:pos="1542"/>
        </w:tabs>
        <w:spacing w:line="266" w:lineRule="auto"/>
        <w:ind w:right="1238"/>
        <w:jc w:val="both"/>
        <w:rPr>
          <w:sz w:val="20"/>
        </w:rPr>
      </w:pPr>
    </w:p>
    <w:p w14:paraId="572EAABF" w14:textId="77777777" w:rsidR="00391B2A" w:rsidRDefault="00391B2A" w:rsidP="00391B2A">
      <w:pPr>
        <w:tabs>
          <w:tab w:val="left" w:pos="1542"/>
        </w:tabs>
        <w:spacing w:line="266" w:lineRule="auto"/>
        <w:ind w:right="1238"/>
        <w:jc w:val="both"/>
        <w:rPr>
          <w:sz w:val="20"/>
        </w:rPr>
      </w:pPr>
    </w:p>
    <w:p w14:paraId="5F58C532" w14:textId="796D03BA" w:rsidR="00391B2A" w:rsidRPr="00391B2A" w:rsidRDefault="00391B2A" w:rsidP="00391B2A">
      <w:pPr>
        <w:tabs>
          <w:tab w:val="left" w:pos="1542"/>
        </w:tabs>
        <w:spacing w:line="266" w:lineRule="auto"/>
        <w:ind w:right="1238"/>
        <w:jc w:val="both"/>
        <w:rPr>
          <w:sz w:val="20"/>
        </w:rPr>
      </w:pPr>
    </w:p>
    <w:sectPr w:rsidR="00391B2A" w:rsidRPr="00391B2A">
      <w:pgSz w:w="12240" w:h="15840"/>
      <w:pgMar w:top="1360" w:right="2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E396F"/>
    <w:multiLevelType w:val="multilevel"/>
    <w:tmpl w:val="4D62226A"/>
    <w:lvl w:ilvl="0">
      <w:start w:val="2"/>
      <w:numFmt w:val="decimal"/>
      <w:lvlText w:val="%1"/>
      <w:lvlJc w:val="left"/>
      <w:pPr>
        <w:ind w:left="1228" w:hanging="302"/>
        <w:jc w:val="left"/>
      </w:pPr>
      <w:rPr>
        <w:rFonts w:hint="default"/>
        <w:lang w:val="en-US" w:eastAsia="en-US" w:bidi="ar-SA"/>
      </w:rPr>
    </w:lvl>
    <w:lvl w:ilvl="1">
      <w:start w:val="1"/>
      <w:numFmt w:val="decimal"/>
      <w:lvlText w:val="%1.%2"/>
      <w:lvlJc w:val="left"/>
      <w:pPr>
        <w:ind w:left="1228" w:hanging="302"/>
        <w:jc w:val="left"/>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647" w:hanging="361"/>
      </w:pPr>
      <w:rPr>
        <w:rFonts w:ascii="Arial MT" w:eastAsia="Arial MT" w:hAnsi="Arial MT" w:cs="Arial MT" w:hint="default"/>
        <w:w w:val="100"/>
        <w:sz w:val="20"/>
        <w:szCs w:val="20"/>
        <w:lang w:val="en-US" w:eastAsia="en-US" w:bidi="ar-SA"/>
      </w:rPr>
    </w:lvl>
    <w:lvl w:ilvl="3">
      <w:numFmt w:val="bullet"/>
      <w:lvlText w:val="•"/>
      <w:lvlJc w:val="left"/>
      <w:pPr>
        <w:ind w:left="3804" w:hanging="361"/>
      </w:pPr>
      <w:rPr>
        <w:rFonts w:hint="default"/>
        <w:lang w:val="en-US" w:eastAsia="en-US" w:bidi="ar-SA"/>
      </w:rPr>
    </w:lvl>
    <w:lvl w:ilvl="4">
      <w:numFmt w:val="bullet"/>
      <w:lvlText w:val="•"/>
      <w:lvlJc w:val="left"/>
      <w:pPr>
        <w:ind w:left="488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51" w:hanging="361"/>
      </w:pPr>
      <w:rPr>
        <w:rFonts w:hint="default"/>
        <w:lang w:val="en-US" w:eastAsia="en-US" w:bidi="ar-SA"/>
      </w:rPr>
    </w:lvl>
    <w:lvl w:ilvl="7">
      <w:numFmt w:val="bullet"/>
      <w:lvlText w:val="•"/>
      <w:lvlJc w:val="left"/>
      <w:pPr>
        <w:ind w:left="8133" w:hanging="361"/>
      </w:pPr>
      <w:rPr>
        <w:rFonts w:hint="default"/>
        <w:lang w:val="en-US" w:eastAsia="en-US" w:bidi="ar-SA"/>
      </w:rPr>
    </w:lvl>
    <w:lvl w:ilvl="8">
      <w:numFmt w:val="bullet"/>
      <w:lvlText w:val="•"/>
      <w:lvlJc w:val="left"/>
      <w:pPr>
        <w:ind w:left="9215" w:hanging="361"/>
      </w:pPr>
      <w:rPr>
        <w:rFonts w:hint="default"/>
        <w:lang w:val="en-US" w:eastAsia="en-US" w:bidi="ar-SA"/>
      </w:rPr>
    </w:lvl>
  </w:abstractNum>
  <w:abstractNum w:abstractNumId="1" w15:restartNumberingAfterBreak="0">
    <w:nsid w:val="33AE69CB"/>
    <w:multiLevelType w:val="hybridMultilevel"/>
    <w:tmpl w:val="B9243864"/>
    <w:lvl w:ilvl="0" w:tplc="C346E354">
      <w:start w:val="2"/>
      <w:numFmt w:val="decimal"/>
      <w:lvlText w:val="%1."/>
      <w:lvlJc w:val="left"/>
      <w:pPr>
        <w:ind w:left="1015" w:hanging="294"/>
        <w:jc w:val="right"/>
      </w:pPr>
      <w:rPr>
        <w:rFonts w:hint="default"/>
        <w:b/>
        <w:bCs/>
        <w:spacing w:val="-1"/>
        <w:w w:val="99"/>
        <w:lang w:val="en-US" w:eastAsia="en-US" w:bidi="ar-SA"/>
      </w:rPr>
    </w:lvl>
    <w:lvl w:ilvl="1" w:tplc="A54CF464">
      <w:numFmt w:val="bullet"/>
      <w:lvlText w:val="•"/>
      <w:lvlJc w:val="left"/>
      <w:pPr>
        <w:ind w:left="1427" w:hanging="361"/>
      </w:pPr>
      <w:rPr>
        <w:rFonts w:ascii="Arial MT" w:eastAsia="Arial MT" w:hAnsi="Arial MT" w:cs="Arial MT" w:hint="default"/>
        <w:w w:val="100"/>
        <w:sz w:val="20"/>
        <w:szCs w:val="20"/>
        <w:lang w:val="en-US" w:eastAsia="en-US" w:bidi="ar-SA"/>
      </w:rPr>
    </w:lvl>
    <w:lvl w:ilvl="2" w:tplc="659A4FB2">
      <w:numFmt w:val="bullet"/>
      <w:lvlText w:val="•"/>
      <w:lvlJc w:val="left"/>
      <w:pPr>
        <w:ind w:left="2502" w:hanging="361"/>
      </w:pPr>
      <w:rPr>
        <w:rFonts w:hint="default"/>
        <w:lang w:val="en-US" w:eastAsia="en-US" w:bidi="ar-SA"/>
      </w:rPr>
    </w:lvl>
    <w:lvl w:ilvl="3" w:tplc="E1F8A2A0">
      <w:numFmt w:val="bullet"/>
      <w:lvlText w:val="•"/>
      <w:lvlJc w:val="left"/>
      <w:pPr>
        <w:ind w:left="3584" w:hanging="361"/>
      </w:pPr>
      <w:rPr>
        <w:rFonts w:hint="default"/>
        <w:lang w:val="en-US" w:eastAsia="en-US" w:bidi="ar-SA"/>
      </w:rPr>
    </w:lvl>
    <w:lvl w:ilvl="4" w:tplc="4D9488E6">
      <w:numFmt w:val="bullet"/>
      <w:lvlText w:val="•"/>
      <w:lvlJc w:val="left"/>
      <w:pPr>
        <w:ind w:left="4666" w:hanging="361"/>
      </w:pPr>
      <w:rPr>
        <w:rFonts w:hint="default"/>
        <w:lang w:val="en-US" w:eastAsia="en-US" w:bidi="ar-SA"/>
      </w:rPr>
    </w:lvl>
    <w:lvl w:ilvl="5" w:tplc="677C7E10">
      <w:numFmt w:val="bullet"/>
      <w:lvlText w:val="•"/>
      <w:lvlJc w:val="left"/>
      <w:pPr>
        <w:ind w:left="5748" w:hanging="361"/>
      </w:pPr>
      <w:rPr>
        <w:rFonts w:hint="default"/>
        <w:lang w:val="en-US" w:eastAsia="en-US" w:bidi="ar-SA"/>
      </w:rPr>
    </w:lvl>
    <w:lvl w:ilvl="6" w:tplc="A880AECE">
      <w:numFmt w:val="bullet"/>
      <w:lvlText w:val="•"/>
      <w:lvlJc w:val="left"/>
      <w:pPr>
        <w:ind w:left="6831" w:hanging="361"/>
      </w:pPr>
      <w:rPr>
        <w:rFonts w:hint="default"/>
        <w:lang w:val="en-US" w:eastAsia="en-US" w:bidi="ar-SA"/>
      </w:rPr>
    </w:lvl>
    <w:lvl w:ilvl="7" w:tplc="BE74025A">
      <w:numFmt w:val="bullet"/>
      <w:lvlText w:val="•"/>
      <w:lvlJc w:val="left"/>
      <w:pPr>
        <w:ind w:left="7913" w:hanging="361"/>
      </w:pPr>
      <w:rPr>
        <w:rFonts w:hint="default"/>
        <w:lang w:val="en-US" w:eastAsia="en-US" w:bidi="ar-SA"/>
      </w:rPr>
    </w:lvl>
    <w:lvl w:ilvl="8" w:tplc="835AAF8C">
      <w:numFmt w:val="bullet"/>
      <w:lvlText w:val="•"/>
      <w:lvlJc w:val="left"/>
      <w:pPr>
        <w:ind w:left="8995" w:hanging="361"/>
      </w:pPr>
      <w:rPr>
        <w:rFonts w:hint="default"/>
        <w:lang w:val="en-US" w:eastAsia="en-US" w:bidi="ar-SA"/>
      </w:rPr>
    </w:lvl>
  </w:abstractNum>
  <w:abstractNum w:abstractNumId="2" w15:restartNumberingAfterBreak="0">
    <w:nsid w:val="48C326F4"/>
    <w:multiLevelType w:val="hybridMultilevel"/>
    <w:tmpl w:val="3530CFAC"/>
    <w:lvl w:ilvl="0" w:tplc="800E0BF4">
      <w:start w:val="1"/>
      <w:numFmt w:val="decimal"/>
      <w:lvlText w:val="%1."/>
      <w:lvlJc w:val="left"/>
      <w:pPr>
        <w:ind w:left="1541" w:hanging="361"/>
        <w:jc w:val="left"/>
      </w:pPr>
      <w:rPr>
        <w:rFonts w:ascii="Times New Roman" w:eastAsia="Times New Roman" w:hAnsi="Times New Roman" w:cs="Times New Roman" w:hint="default"/>
        <w:w w:val="100"/>
        <w:sz w:val="20"/>
        <w:szCs w:val="20"/>
        <w:lang w:val="en-US" w:eastAsia="en-US" w:bidi="ar-SA"/>
      </w:rPr>
    </w:lvl>
    <w:lvl w:ilvl="1" w:tplc="F53C81D4">
      <w:numFmt w:val="bullet"/>
      <w:lvlText w:val="•"/>
      <w:lvlJc w:val="left"/>
      <w:pPr>
        <w:ind w:left="2524" w:hanging="361"/>
      </w:pPr>
      <w:rPr>
        <w:rFonts w:hint="default"/>
        <w:lang w:val="en-US" w:eastAsia="en-US" w:bidi="ar-SA"/>
      </w:rPr>
    </w:lvl>
    <w:lvl w:ilvl="2" w:tplc="45F2EC2C">
      <w:numFmt w:val="bullet"/>
      <w:lvlText w:val="•"/>
      <w:lvlJc w:val="left"/>
      <w:pPr>
        <w:ind w:left="3508" w:hanging="361"/>
      </w:pPr>
      <w:rPr>
        <w:rFonts w:hint="default"/>
        <w:lang w:val="en-US" w:eastAsia="en-US" w:bidi="ar-SA"/>
      </w:rPr>
    </w:lvl>
    <w:lvl w:ilvl="3" w:tplc="1AB2A204">
      <w:numFmt w:val="bullet"/>
      <w:lvlText w:val="•"/>
      <w:lvlJc w:val="left"/>
      <w:pPr>
        <w:ind w:left="4492" w:hanging="361"/>
      </w:pPr>
      <w:rPr>
        <w:rFonts w:hint="default"/>
        <w:lang w:val="en-US" w:eastAsia="en-US" w:bidi="ar-SA"/>
      </w:rPr>
    </w:lvl>
    <w:lvl w:ilvl="4" w:tplc="F296ED4E">
      <w:numFmt w:val="bullet"/>
      <w:lvlText w:val="•"/>
      <w:lvlJc w:val="left"/>
      <w:pPr>
        <w:ind w:left="5476" w:hanging="361"/>
      </w:pPr>
      <w:rPr>
        <w:rFonts w:hint="default"/>
        <w:lang w:val="en-US" w:eastAsia="en-US" w:bidi="ar-SA"/>
      </w:rPr>
    </w:lvl>
    <w:lvl w:ilvl="5" w:tplc="7444F418">
      <w:numFmt w:val="bullet"/>
      <w:lvlText w:val="•"/>
      <w:lvlJc w:val="left"/>
      <w:pPr>
        <w:ind w:left="6460" w:hanging="361"/>
      </w:pPr>
      <w:rPr>
        <w:rFonts w:hint="default"/>
        <w:lang w:val="en-US" w:eastAsia="en-US" w:bidi="ar-SA"/>
      </w:rPr>
    </w:lvl>
    <w:lvl w:ilvl="6" w:tplc="F60AA72E">
      <w:numFmt w:val="bullet"/>
      <w:lvlText w:val="•"/>
      <w:lvlJc w:val="left"/>
      <w:pPr>
        <w:ind w:left="7444" w:hanging="361"/>
      </w:pPr>
      <w:rPr>
        <w:rFonts w:hint="default"/>
        <w:lang w:val="en-US" w:eastAsia="en-US" w:bidi="ar-SA"/>
      </w:rPr>
    </w:lvl>
    <w:lvl w:ilvl="7" w:tplc="40E05E8E">
      <w:numFmt w:val="bullet"/>
      <w:lvlText w:val="•"/>
      <w:lvlJc w:val="left"/>
      <w:pPr>
        <w:ind w:left="8428" w:hanging="361"/>
      </w:pPr>
      <w:rPr>
        <w:rFonts w:hint="default"/>
        <w:lang w:val="en-US" w:eastAsia="en-US" w:bidi="ar-SA"/>
      </w:rPr>
    </w:lvl>
    <w:lvl w:ilvl="8" w:tplc="058E7C22">
      <w:numFmt w:val="bullet"/>
      <w:lvlText w:val="•"/>
      <w:lvlJc w:val="left"/>
      <w:pPr>
        <w:ind w:left="9412" w:hanging="361"/>
      </w:pPr>
      <w:rPr>
        <w:rFonts w:hint="default"/>
        <w:lang w:val="en-US" w:eastAsia="en-US" w:bidi="ar-SA"/>
      </w:rPr>
    </w:lvl>
  </w:abstractNum>
  <w:abstractNum w:abstractNumId="3" w15:restartNumberingAfterBreak="0">
    <w:nsid w:val="68A300E7"/>
    <w:multiLevelType w:val="multilevel"/>
    <w:tmpl w:val="99CE1160"/>
    <w:lvl w:ilvl="0">
      <w:start w:val="1"/>
      <w:numFmt w:val="decimal"/>
      <w:lvlText w:val="%1."/>
      <w:lvlJc w:val="left"/>
      <w:pPr>
        <w:ind w:left="1045" w:hanging="24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27" w:hanging="301"/>
        <w:jc w:val="left"/>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647" w:hanging="361"/>
      </w:pPr>
      <w:rPr>
        <w:rFonts w:ascii="Arial MT" w:eastAsia="Arial MT" w:hAnsi="Arial MT" w:cs="Arial MT" w:hint="default"/>
        <w:w w:val="100"/>
        <w:sz w:val="20"/>
        <w:szCs w:val="20"/>
        <w:lang w:val="en-US" w:eastAsia="en-US" w:bidi="ar-SA"/>
      </w:rPr>
    </w:lvl>
    <w:lvl w:ilvl="3">
      <w:numFmt w:val="bullet"/>
      <w:lvlText w:val="•"/>
      <w:lvlJc w:val="left"/>
      <w:pPr>
        <w:ind w:left="2857" w:hanging="361"/>
      </w:pPr>
      <w:rPr>
        <w:rFonts w:hint="default"/>
        <w:lang w:val="en-US" w:eastAsia="en-US" w:bidi="ar-SA"/>
      </w:rPr>
    </w:lvl>
    <w:lvl w:ilvl="4">
      <w:numFmt w:val="bullet"/>
      <w:lvlText w:val="•"/>
      <w:lvlJc w:val="left"/>
      <w:pPr>
        <w:ind w:left="4075" w:hanging="361"/>
      </w:pPr>
      <w:rPr>
        <w:rFonts w:hint="default"/>
        <w:lang w:val="en-US" w:eastAsia="en-US" w:bidi="ar-SA"/>
      </w:rPr>
    </w:lvl>
    <w:lvl w:ilvl="5">
      <w:numFmt w:val="bullet"/>
      <w:lvlText w:val="•"/>
      <w:lvlJc w:val="left"/>
      <w:pPr>
        <w:ind w:left="5292" w:hanging="361"/>
      </w:pPr>
      <w:rPr>
        <w:rFonts w:hint="default"/>
        <w:lang w:val="en-US" w:eastAsia="en-US" w:bidi="ar-SA"/>
      </w:rPr>
    </w:lvl>
    <w:lvl w:ilvl="6">
      <w:numFmt w:val="bullet"/>
      <w:lvlText w:val="•"/>
      <w:lvlJc w:val="left"/>
      <w:pPr>
        <w:ind w:left="6510" w:hanging="361"/>
      </w:pPr>
      <w:rPr>
        <w:rFonts w:hint="default"/>
        <w:lang w:val="en-US" w:eastAsia="en-US" w:bidi="ar-SA"/>
      </w:rPr>
    </w:lvl>
    <w:lvl w:ilvl="7">
      <w:numFmt w:val="bullet"/>
      <w:lvlText w:val="•"/>
      <w:lvlJc w:val="left"/>
      <w:pPr>
        <w:ind w:left="7727" w:hanging="361"/>
      </w:pPr>
      <w:rPr>
        <w:rFonts w:hint="default"/>
        <w:lang w:val="en-US" w:eastAsia="en-US" w:bidi="ar-SA"/>
      </w:rPr>
    </w:lvl>
    <w:lvl w:ilvl="8">
      <w:numFmt w:val="bullet"/>
      <w:lvlText w:val="•"/>
      <w:lvlJc w:val="left"/>
      <w:pPr>
        <w:ind w:left="8945" w:hanging="361"/>
      </w:pPr>
      <w:rPr>
        <w:rFonts w:hint="default"/>
        <w:lang w:val="en-US" w:eastAsia="en-US" w:bidi="ar-SA"/>
      </w:rPr>
    </w:lvl>
  </w:abstractNum>
  <w:abstractNum w:abstractNumId="4" w15:restartNumberingAfterBreak="0">
    <w:nsid w:val="79F17259"/>
    <w:multiLevelType w:val="hybridMultilevel"/>
    <w:tmpl w:val="23E2FA86"/>
    <w:lvl w:ilvl="0" w:tplc="82324C74">
      <w:start w:val="2"/>
      <w:numFmt w:val="decimal"/>
      <w:lvlText w:val="[%1]"/>
      <w:lvlJc w:val="left"/>
      <w:pPr>
        <w:ind w:left="1541" w:hanging="626"/>
        <w:jc w:val="left"/>
      </w:pPr>
      <w:rPr>
        <w:rFonts w:ascii="Times New Roman" w:eastAsia="Times New Roman" w:hAnsi="Times New Roman" w:cs="Times New Roman" w:hint="default"/>
        <w:w w:val="100"/>
        <w:sz w:val="20"/>
        <w:szCs w:val="20"/>
        <w:lang w:val="en-US" w:eastAsia="en-US" w:bidi="ar-SA"/>
      </w:rPr>
    </w:lvl>
    <w:lvl w:ilvl="1" w:tplc="922050E0">
      <w:numFmt w:val="bullet"/>
      <w:lvlText w:val="•"/>
      <w:lvlJc w:val="left"/>
      <w:pPr>
        <w:ind w:left="2524" w:hanging="626"/>
      </w:pPr>
      <w:rPr>
        <w:rFonts w:hint="default"/>
        <w:lang w:val="en-US" w:eastAsia="en-US" w:bidi="ar-SA"/>
      </w:rPr>
    </w:lvl>
    <w:lvl w:ilvl="2" w:tplc="F5E4F33A">
      <w:numFmt w:val="bullet"/>
      <w:lvlText w:val="•"/>
      <w:lvlJc w:val="left"/>
      <w:pPr>
        <w:ind w:left="3508" w:hanging="626"/>
      </w:pPr>
      <w:rPr>
        <w:rFonts w:hint="default"/>
        <w:lang w:val="en-US" w:eastAsia="en-US" w:bidi="ar-SA"/>
      </w:rPr>
    </w:lvl>
    <w:lvl w:ilvl="3" w:tplc="9B1065DC">
      <w:numFmt w:val="bullet"/>
      <w:lvlText w:val="•"/>
      <w:lvlJc w:val="left"/>
      <w:pPr>
        <w:ind w:left="4492" w:hanging="626"/>
      </w:pPr>
      <w:rPr>
        <w:rFonts w:hint="default"/>
        <w:lang w:val="en-US" w:eastAsia="en-US" w:bidi="ar-SA"/>
      </w:rPr>
    </w:lvl>
    <w:lvl w:ilvl="4" w:tplc="25F6AD08">
      <w:numFmt w:val="bullet"/>
      <w:lvlText w:val="•"/>
      <w:lvlJc w:val="left"/>
      <w:pPr>
        <w:ind w:left="5476" w:hanging="626"/>
      </w:pPr>
      <w:rPr>
        <w:rFonts w:hint="default"/>
        <w:lang w:val="en-US" w:eastAsia="en-US" w:bidi="ar-SA"/>
      </w:rPr>
    </w:lvl>
    <w:lvl w:ilvl="5" w:tplc="7E7268A0">
      <w:numFmt w:val="bullet"/>
      <w:lvlText w:val="•"/>
      <w:lvlJc w:val="left"/>
      <w:pPr>
        <w:ind w:left="6460" w:hanging="626"/>
      </w:pPr>
      <w:rPr>
        <w:rFonts w:hint="default"/>
        <w:lang w:val="en-US" w:eastAsia="en-US" w:bidi="ar-SA"/>
      </w:rPr>
    </w:lvl>
    <w:lvl w:ilvl="6" w:tplc="5678A12C">
      <w:numFmt w:val="bullet"/>
      <w:lvlText w:val="•"/>
      <w:lvlJc w:val="left"/>
      <w:pPr>
        <w:ind w:left="7444" w:hanging="626"/>
      </w:pPr>
      <w:rPr>
        <w:rFonts w:hint="default"/>
        <w:lang w:val="en-US" w:eastAsia="en-US" w:bidi="ar-SA"/>
      </w:rPr>
    </w:lvl>
    <w:lvl w:ilvl="7" w:tplc="B9CEA1AE">
      <w:numFmt w:val="bullet"/>
      <w:lvlText w:val="•"/>
      <w:lvlJc w:val="left"/>
      <w:pPr>
        <w:ind w:left="8428" w:hanging="626"/>
      </w:pPr>
      <w:rPr>
        <w:rFonts w:hint="default"/>
        <w:lang w:val="en-US" w:eastAsia="en-US" w:bidi="ar-SA"/>
      </w:rPr>
    </w:lvl>
    <w:lvl w:ilvl="8" w:tplc="2304A33E">
      <w:numFmt w:val="bullet"/>
      <w:lvlText w:val="•"/>
      <w:lvlJc w:val="left"/>
      <w:pPr>
        <w:ind w:left="9412" w:hanging="626"/>
      </w:pPr>
      <w:rPr>
        <w:rFonts w:hint="default"/>
        <w:lang w:val="en-US" w:eastAsia="en-US" w:bidi="ar-SA"/>
      </w:rPr>
    </w:lvl>
  </w:abstractNum>
  <w:num w:numId="1" w16cid:durableId="664749031">
    <w:abstractNumId w:val="4"/>
  </w:num>
  <w:num w:numId="2" w16cid:durableId="402526729">
    <w:abstractNumId w:val="0"/>
  </w:num>
  <w:num w:numId="3" w16cid:durableId="707528624">
    <w:abstractNumId w:val="1"/>
  </w:num>
  <w:num w:numId="4" w16cid:durableId="890729572">
    <w:abstractNumId w:val="2"/>
  </w:num>
  <w:num w:numId="5" w16cid:durableId="169256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16FB7"/>
    <w:rsid w:val="00216FB7"/>
    <w:rsid w:val="00321D6D"/>
    <w:rsid w:val="00391B2A"/>
    <w:rsid w:val="00476699"/>
    <w:rsid w:val="004C3AEC"/>
    <w:rsid w:val="0066745C"/>
    <w:rsid w:val="00762523"/>
    <w:rsid w:val="00931129"/>
    <w:rsid w:val="00A318EA"/>
    <w:rsid w:val="00A7796F"/>
    <w:rsid w:val="00B8377E"/>
    <w:rsid w:val="00B837A8"/>
    <w:rsid w:val="00BB6FFB"/>
    <w:rsid w:val="00C861C5"/>
    <w:rsid w:val="00CF089C"/>
    <w:rsid w:val="00DA4BFC"/>
    <w:rsid w:val="00DD6D18"/>
    <w:rsid w:val="00E00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946F7"/>
  <w15:docId w15:val="{5C99AD41-F1F5-4FB8-B9EE-02C72A94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5" w:hanging="241"/>
      <w:outlineLvl w:val="0"/>
    </w:pPr>
    <w:rPr>
      <w:b/>
      <w:bCs/>
      <w:sz w:val="24"/>
      <w:szCs w:val="24"/>
    </w:rPr>
  </w:style>
  <w:style w:type="paragraph" w:styleId="Heading2">
    <w:name w:val="heading 2"/>
    <w:basedOn w:val="Normal"/>
    <w:uiPriority w:val="9"/>
    <w:unhideWhenUsed/>
    <w:qFormat/>
    <w:pPr>
      <w:spacing w:before="1"/>
      <w:ind w:left="1227" w:hanging="30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 w:line="400" w:lineRule="exact"/>
      <w:ind w:left="912" w:right="1165"/>
      <w:jc w:val="center"/>
    </w:pPr>
    <w:rPr>
      <w:b/>
      <w:bCs/>
      <w:sz w:val="28"/>
      <w:szCs w:val="28"/>
    </w:rPr>
  </w:style>
  <w:style w:type="paragraph" w:styleId="ListParagraph">
    <w:name w:val="List Paragraph"/>
    <w:basedOn w:val="Normal"/>
    <w:uiPriority w:val="1"/>
    <w:qFormat/>
    <w:pPr>
      <w:ind w:left="1647" w:hanging="361"/>
      <w:jc w:val="both"/>
    </w:pPr>
  </w:style>
  <w:style w:type="paragraph" w:customStyle="1" w:styleId="TableParagraph">
    <w:name w:val="Table Paragraph"/>
    <w:basedOn w:val="Normal"/>
    <w:uiPriority w:val="1"/>
    <w:qFormat/>
  </w:style>
  <w:style w:type="table" w:styleId="TableGridLight">
    <w:name w:val="Grid Table Light"/>
    <w:basedOn w:val="TableNormal"/>
    <w:uiPriority w:val="40"/>
    <w:rsid w:val="00B8377E"/>
    <w:pPr>
      <w:widowControl/>
      <w:autoSpaceDE/>
      <w:autoSpaceDN/>
    </w:pPr>
    <w:rPr>
      <w:rFonts w:eastAsiaTheme="minorEastAsia"/>
      <w:kern w:val="2"/>
      <w:lang w:val="en-GB" w:eastAsia="en-GB"/>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13</Pages>
  <Words>3833</Words>
  <Characters>24304</Characters>
  <Application>Microsoft Office Word</Application>
  <DocSecurity>0</DocSecurity>
  <Lines>623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Eshanye Srinivas</dc:creator>
  <cp:lastModifiedBy>Abhishek L</cp:lastModifiedBy>
  <cp:revision>3</cp:revision>
  <dcterms:created xsi:type="dcterms:W3CDTF">2024-03-30T11:37:00Z</dcterms:created>
  <dcterms:modified xsi:type="dcterms:W3CDTF">2024-05-09T18:22:00Z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2024-02-10T00:00:00Z</vt:filetime>
  </property>
  <property fmtid="{D5CDD505-2E9C-101B-9397-08002B2CF9AE}" pid="3" name="Creator">
    <vt:lpwstr>Microsoft® Word 2021</vt:lpwstr>
  </property>
  <property fmtid="{D5CDD505-2E9C-101B-9397-08002B2CF9AE}" pid="4" name="LastSaved">
    <vt:filetime>2024-03-30T00:00:00Z</vt:filetime>
  </property>
  <property fmtid="{D5CDD505-2E9C-101B-9397-08002B2CF9AE}" pid="5" name="GrammarlyDocumentId">
    <vt:lpwstr>9a4adb90a1fb3e60d71aac0b770dd706ecce20e4d44792c78d2fff0e4c575c62</vt:lpwstr>
  </property>
</Properties>
</file>