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200"/>
        <w:jc w:val="center"/>
      </w:pPr>
      <w:r>
        <w:drawing>
          <wp:anchor xmlns:wp="http://schemas.openxmlformats.org/drawingml/2006/wordprocessingDrawing" distT="114300" distB="114300" distL="114300" distR="114300" simplePos="0" relativeHeight="251658240" behindDoc="0" locked="0" layoutInCell="1" allowOverlap="1">
            <wp:simplePos x="0" y="0"/>
            <wp:positionH relativeFrom="column">
              <wp:align>center</wp:align>
            </wp:positionH>
            <wp:positionV relativeFrom="paragraph">
              <wp:posOffset>0</wp:posOffset>
            </wp:positionV>
            <wp:extent cx="6223000" cy="6731000"/>
            <wp:effectExtent t="0" r="0" b="0" l="0"/>
            <wp:wrapTopAndBottom/>
            <wp:docPr id="99" name="ArchDiagram" descr="Architecture diagram"/>
            <wp:cNvGraphicFramePr/>
            <a:graphic xmlns:a="http://schemas.openxmlformats.org/drawingml/2006/main">
              <a:graphicData uri="http://schemas.microsoft.com/office/word/2010/wordprocessingGroup">
                <wpg:wgp xmlns:wpg="http://schemas.microsoft.com/office/word/2010/wordprocessingGroup">
                  <wpg:cNvGrpSpPr>
                    <a:grpSpLocks/>
                  </wpg:cNvGrpSpPr>
                  <wpg:grpSpPr>
                    <a:xfrm>
                      <a:off x="0" y="0"/>
                      <a:ext cx="6223000" cy="6731000"/>
                      <a:chOff x="0" y="0"/>
                      <a:chExt cx="6223000" cy="6731000"/>
                    </a:xfrm>
                  </wpg:grpSpPr>
                  <wps:wsp>
                    <wps:cNvSpPr>
                      <a:spLocks noChangeArrowheads="1"/>
                    </wps:cNvSpPr>
                    <wps:spPr>
                      <a:xfrm>
                        <a:off x="0" y="127000"/>
                        <a:ext cx="6223000" cy="1143000"/>
                      </a:xfrm>
                      <a:prstGeom prst="roundRect">
                        <a:avLst>
                          <a:gd name="adj" fmla="val 15000"/>
                        </a:avLst>
                      </a:prstGeom>
                      <a:solidFill>
                        <a:srgbClr val="E1F5EE"/>
                      </a:solidFill>
                      <a:ln w="6350">
                        <a:solidFill>
                          <a:srgbClr val="0F6E56"/>
                        </a:solidFill>
                      </a:ln>
                    </wps:spPr>
                    <wps:txbx>
                      <w:txbxContent>
                        <w:p>
                          <w:pPr>
                            <w:jc w:val="center"/>
                          </w:pPr>
                          <w:r>
                            <w:rPr>
                              <w:b/>
                              <w:color w:val="085041"/>
                              <w:sz w:val="18"/>
                              <w:szCs w:val="18"/>
                            </w:rPr>
                            <w:t>Layer 1 — Input</w:t>
                          </w:r>
                        </w:p>
                      </w:txbxContent>
                    </wps:txbx>
                    <wps:bodyPr anchor="t" lIns="45720" rIns="45720" tIns="60960" bIns="0"/>
                  </wps:wsp>
                  <wps:wsp>
                    <wps:cNvSpPr>
                      <a:spLocks noChangeArrowheads="1"/>
                    </wps:cNvSpPr>
                    <wps:spPr>
                      <a:xfrm>
                        <a:off x="0" y="1460500"/>
                        <a:ext cx="6223000" cy="1651000"/>
                      </a:xfrm>
                      <a:prstGeom prst="roundRect">
                        <a:avLst>
                          <a:gd name="adj" fmla="val 15000"/>
                        </a:avLst>
                      </a:prstGeom>
                      <a:solidFill>
                        <a:srgbClr val="EEEDFE"/>
                      </a:solidFill>
                      <a:ln w="6350">
                        <a:solidFill>
                          <a:srgbClr val="534AB7"/>
                        </a:solidFill>
                      </a:ln>
                    </wps:spPr>
                    <wps:txbx>
                      <w:txbxContent>
                        <w:p>
                          <w:pPr>
                            <w:jc w:val="center"/>
                          </w:pPr>
                          <w:r>
                            <w:rPr>
                              <w:b/>
                              <w:color w:val="26215C"/>
                              <w:sz w:val="18"/>
                              <w:szCs w:val="18"/>
                            </w:rPr>
                            <w:t>Layer 2 — Processing core</w:t>
                          </w:r>
                        </w:p>
                      </w:txbxContent>
                    </wps:txbx>
                    <wps:bodyPr anchor="t" lIns="45720" rIns="45720" tIns="60960" bIns="0"/>
                  </wps:wsp>
                  <wps:wsp>
                    <wps:cNvSpPr>
                      <a:spLocks noChangeArrowheads="1"/>
                    </wps:cNvSpPr>
                    <wps:spPr>
                      <a:xfrm>
                        <a:off x="0" y="3302000"/>
                        <a:ext cx="6223000" cy="2032000"/>
                      </a:xfrm>
                      <a:prstGeom prst="roundRect">
                        <a:avLst>
                          <a:gd name="adj" fmla="val 15000"/>
                        </a:avLst>
                      </a:prstGeom>
                      <a:solidFill>
                        <a:srgbClr val="FAEEDA"/>
                      </a:solidFill>
                      <a:ln w="6350">
                        <a:solidFill>
                          <a:srgbClr val="854F0B"/>
                        </a:solidFill>
                      </a:ln>
                    </wps:spPr>
                    <wps:txbx>
                      <w:txbxContent>
                        <w:p>
                          <w:pPr>
                            <w:jc w:val="center"/>
                          </w:pPr>
                          <w:r>
                            <w:rPr>
                              <w:b/>
                              <w:color w:val="412402"/>
                              <w:sz w:val="18"/>
                              <w:szCs w:val="18"/>
                            </w:rPr>
                            <w:t>Layer 3 — Output + GenAI</w:t>
                          </w:r>
                        </w:p>
                      </w:txbxContent>
                    </wps:txbx>
                    <wps:bodyPr anchor="t" lIns="45720" rIns="45720" tIns="60960" bIns="0"/>
                  </wps:wsp>
                  <wps:wsp>
                    <wps:cNvSpPr>
                      <a:spLocks noChangeArrowheads="1"/>
                    </wps:cNvSpPr>
                    <wps:spPr>
                      <a:xfrm>
                        <a:off x="254000" y="381000"/>
                        <a:ext cx="1778000" cy="825500"/>
                      </a:xfrm>
                      <a:prstGeom prst="roundRect">
                        <a:avLst>
                          <a:gd name="adj" fmla="val 6000"/>
                        </a:avLst>
                      </a:prstGeom>
                      <a:solidFill>
                        <a:srgbClr val="B5D4F4"/>
                      </a:solidFill>
                      <a:ln w="6350">
                        <a:solidFill>
                          <a:srgbClr val="185FA5"/>
                        </a:solidFill>
                      </a:ln>
                    </wps:spPr>
                    <wps:txbx>
                      <w:txbxContent>
                        <w:sdt>
                          <w:sdtPr>
                            <w:tag w:val="streamlit_ui"/>
                            <w:text/>
                          </w:sdtPr>
                          <w:sdtContent>
                            <w:p>
                              <w:pPr>
                                <w:jc w:val="center"/>
                              </w:pPr>
                              <w:r>
                                <w:rPr>
                                  <w:b/>
                                  <w:color w:val="0C447C"/>
                                  <w:sz w:val="18"/>
                                  <w:szCs w:val="18"/>
                                </w:rPr>
                                <w:t>Streamlit UI</w:t>
                              </w:r>
                            </w:p>
                          </w:sdtContent>
                        </w:sdt>
                        <w:p>
                          <w:pPr>
                            <w:jc w:val="center"/>
                          </w:pPr>
                          <w:r>
                            <w:rPr>
                              <w:color w:val="185FA5"/>
                              <w:sz w:val="14"/>
                              <w:szCs w:val="14"/>
                            </w:rPr>
                            <w:t>localhost:8501 · 200 MB limit</w:t>
                          </w:r>
                        </w:p>
                      </w:txbxContent>
                    </wps:txbx>
                    <wps:bodyPr anchor="ctr" lIns="45720" rIns="45720" tIns="45720" bIns="45720" wrap="square"/>
                  </wps:wsp>
                  <wps:wsp>
                    <wps:cNvSpPr>
                      <a:spLocks noChangeArrowheads="1"/>
                    </wps:cNvSpPr>
                    <wps:spPr>
                      <a:xfrm>
                        <a:off x="2222500" y="381000"/>
                        <a:ext cx="1778000" cy="825500"/>
                      </a:xfrm>
                      <a:prstGeom prst="roundRect">
                        <a:avLst>
                          <a:gd name="adj" fmla="val 6000"/>
                        </a:avLst>
                      </a:prstGeom>
                      <a:solidFill>
                        <a:srgbClr val="B5D4F4"/>
                      </a:solidFill>
                      <a:ln w="6350">
                        <a:solidFill>
                          <a:srgbClr val="185FA5"/>
                        </a:solidFill>
                      </a:ln>
                    </wps:spPr>
                    <wps:txbx>
                      <w:txbxContent>
                        <w:sdt>
                          <w:sdtPr>
                            <w:tag w:val="cli_input"/>
                            <w:text/>
                          </w:sdtPr>
                          <w:sdtContent>
                            <w:p>
                              <w:pPr>
                                <w:jc w:val="center"/>
                              </w:pPr>
                              <w:r>
                                <w:rPr>
                                  <w:b/>
                                  <w:color w:val="0C447C"/>
                                  <w:sz w:val="18"/>
                                  <w:szCs w:val="18"/>
                                </w:rPr>
                                <w:t>CLI</w:t>
                              </w:r>
                            </w:p>
                          </w:sdtContent>
                        </w:sdt>
                        <w:p>
                          <w:pPr>
                            <w:jc w:val="center"/>
                          </w:pPr>
                          <w:r>
                            <w:rPr>
                              <w:color w:val="185FA5"/>
                              <w:sz w:val="14"/>
                              <w:szCs w:val="14"/>
                            </w:rPr>
                            <w:t>Large batches · scripted runs</w:t>
                          </w:r>
                        </w:p>
                      </w:txbxContent>
                    </wps:txbx>
                    <wps:bodyPr anchor="ctr" lIns="45720" rIns="45720" tIns="45720" bIns="45720" wrap="square"/>
                  </wps:wsp>
                  <wps:wsp>
                    <wps:cNvSpPr>
                      <a:spLocks noChangeArrowheads="1"/>
                    </wps:cNvSpPr>
                    <wps:spPr>
                      <a:xfrm>
                        <a:off x="4191000" y="381000"/>
                        <a:ext cx="1778000" cy="825500"/>
                      </a:xfrm>
                      <a:prstGeom prst="roundRect">
                        <a:avLst>
                          <a:gd name="adj" fmla="val 6000"/>
                        </a:avLst>
                      </a:prstGeom>
                      <a:solidFill>
                        <a:srgbClr val="D3D1C7"/>
                      </a:solidFill>
                      <a:ln w="6350">
                        <a:solidFill>
                          <a:srgbClr val="5F5E5A"/>
                        </a:solidFill>
                      </a:ln>
                    </wps:spPr>
                    <wps:txbx>
                      <w:txbxContent>
                        <w:sdt>
                          <w:sdtPr>
                            <w:tag w:val="investors_xlsx"/>
                            <w:text/>
                          </w:sdtPr>
                          <w:sdtContent>
                            <w:p>
                              <w:pPr>
                                <w:jc w:val="center"/>
                              </w:pPr>
                              <w:r>
                                <w:rPr>
                                  <w:b/>
                                  <w:color w:val="2C2C2A"/>
                                  <w:sz w:val="18"/>
                                  <w:szCs w:val="18"/>
                                </w:rPr>
                                <w:t>investors.xlsx</w:t>
                              </w:r>
                            </w:p>
                          </w:sdtContent>
                        </w:sdt>
                        <w:p>
                          <w:pPr>
                            <w:jc w:val="center"/>
                          </w:pPr>
                          <w:r>
                            <w:rPr>
                              <w:color w:val="5F5E5A"/>
                              <w:sz w:val="14"/>
                              <w:szCs w:val="14"/>
                            </w:rPr>
                            <w:t>40 rows · 21 columns</w:t>
                          </w:r>
                        </w:p>
                      </w:txbxContent>
                    </wps:txbx>
                    <wps:bodyPr anchor="ctr" lIns="45720" rIns="45720" tIns="45720" bIns="45720" wrap="square"/>
                  </wps:wsp>
                  <wps:wsp>
                    <wps:cNvSpPr>
                      <a:spLocks noChangeArrowheads="1"/>
                    </wps:cNvSpPr>
                    <wps:spPr>
                      <a:xfrm flipH="0" flipV="0">
                        <a:off x="1143000" y="1206500"/>
                        <a:ext cx="1" cy="571500"/>
                      </a:xfrm>
                      <a:prstGeom prst="line">
                        <a:avLst/>
                      </a:prstGeom>
                      <a:noFill/>
                      <a:ln w="12700">
                        <a:solidFill>
                          <a:srgbClr val="555555"/>
                        </a:solidFill>
                        <a:tailEnd type="none"/>
                        <a:headEnd type="triangle" w="sm" len="sm"/>
                      </a:ln>
                    </wps:spPr>
                    <wps:txbx>
                      <w:txbxContent>
                        <w:p/>
                      </w:txbxContent>
                    </wps:txbx>
                    <wps:bodyPr/>
                  </wps:wsp>
                  <wps:wsp>
                    <wps:cNvSpPr>
                      <a:spLocks noChangeArrowheads="1"/>
                    </wps:cNvSpPr>
                    <wps:spPr>
                      <a:xfrm flipH="0" flipV="0">
                        <a:off x="3111500" y="1206500"/>
                        <a:ext cx="1" cy="571500"/>
                      </a:xfrm>
                      <a:prstGeom prst="line">
                        <a:avLst/>
                      </a:prstGeom>
                      <a:noFill/>
                      <a:ln w="12700">
                        <a:solidFill>
                          <a:srgbClr val="555555"/>
                        </a:solidFill>
                        <a:tailEnd type="none"/>
                        <a:headEnd type="triangle" w="sm" len="sm"/>
                      </a:ln>
                    </wps:spPr>
                    <wps:txbx>
                      <w:txbxContent>
                        <w:p/>
                      </w:txbxContent>
                    </wps:txbx>
                    <wps:bodyPr/>
                  </wps:wsp>
                  <wps:wsp>
                    <wps:cNvSpPr>
                      <a:spLocks noChangeArrowheads="1"/>
                    </wps:cNvSpPr>
                    <wps:spPr>
                      <a:xfrm flipH="0" flipV="0">
                        <a:off x="5080000" y="1206500"/>
                        <a:ext cx="1" cy="571500"/>
                      </a:xfrm>
                      <a:prstGeom prst="line">
                        <a:avLst/>
                      </a:prstGeom>
                      <a:noFill/>
                      <a:ln w="12700">
                        <a:solidFill>
                          <a:srgbClr val="555555"/>
                        </a:solidFill>
                        <a:tailEnd type="none"/>
                        <a:headEnd type="triangle" w="sm" len="sm"/>
                      </a:ln>
                    </wps:spPr>
                    <wps:txbx>
                      <w:txbxContent>
                        <w:p/>
                      </w:txbxContent>
                    </wps:txbx>
                    <wps:bodyPr/>
                  </wps:wsp>
                  <wps:wsp>
                    <wps:cNvSpPr>
                      <a:spLocks noChangeArrowheads="1"/>
                    </wps:cNvSpPr>
                    <wps:spPr>
                      <a:xfrm>
                        <a:off x="254000" y="1778000"/>
                        <a:ext cx="1778000" cy="1016000"/>
                      </a:xfrm>
                      <a:prstGeom prst="roundRect">
                        <a:avLst>
                          <a:gd name="adj" fmla="val 6000"/>
                        </a:avLst>
                      </a:prstGeom>
                      <a:solidFill>
                        <a:srgbClr val="CECBF6"/>
                      </a:solidFill>
                      <a:ln w="6350">
                        <a:solidFill>
                          <a:srgbClr val="534AB7"/>
                        </a:solidFill>
                      </a:ln>
                    </wps:spPr>
                    <wps:txbx>
                      <w:txbxContent>
                        <w:sdt>
                          <w:sdtPr>
                            <w:tag w:val="data_validation"/>
                            <w:text/>
                          </w:sdtPr>
                          <w:sdtContent>
                            <w:p>
                              <w:pPr>
                                <w:jc w:val="center"/>
                              </w:pPr>
                              <w:r>
                                <w:rPr>
                                  <w:b/>
                                  <w:color w:val="26215C"/>
                                  <w:sz w:val="18"/>
                                  <w:szCs w:val="18"/>
                                </w:rPr>
                                <w:t>Data validation</w:t>
                              </w:r>
                            </w:p>
                          </w:sdtContent>
                        </w:sdt>
                        <w:p>
                          <w:pPr>
                            <w:jc w:val="center"/>
                          </w:pPr>
                          <w:r>
                            <w:rPr>
                              <w:color w:val="3C3489"/>
                              <w:sz w:val="14"/>
                              <w:szCs w:val="14"/>
                            </w:rPr>
                            <w:t>Schema check · latest TO_DATE</w:t>
                          </w:r>
                        </w:p>
                      </w:txbxContent>
                    </wps:txbx>
                    <wps:bodyPr anchor="ctr" lIns="45720" rIns="45720" tIns="45720" bIns="45720" wrap="square"/>
                  </wps:wsp>
                  <wps:wsp>
                    <wps:cNvSpPr>
                      <a:spLocks noChangeArrowheads="1"/>
                    </wps:cNvSpPr>
                    <wps:spPr>
                      <a:xfrm>
                        <a:off x="2222500" y="1778000"/>
                        <a:ext cx="1778000" cy="1016000"/>
                      </a:xfrm>
                      <a:prstGeom prst="roundRect">
                        <a:avLst>
                          <a:gd name="adj" fmla="val 6000"/>
                        </a:avLst>
                      </a:prstGeom>
                      <a:solidFill>
                        <a:srgbClr val="CECBF6"/>
                      </a:solidFill>
                      <a:ln w="6350">
                        <a:solidFill>
                          <a:srgbClr val="534AB7"/>
                        </a:solidFill>
                      </a:ln>
                    </wps:spPr>
                    <wps:txbx>
                      <w:txbxContent>
                        <w:sdt>
                          <w:sdtPr>
                            <w:tag w:val="doc_assembly"/>
                            <w:text/>
                          </w:sdtPr>
                          <w:sdtContent>
                            <w:p>
                              <w:pPr>
                                <w:jc w:val="center"/>
                              </w:pPr>
                              <w:r>
                                <w:rPr>
                                  <w:b/>
                                  <w:color w:val="26215C"/>
                                  <w:sz w:val="18"/>
                                  <w:szCs w:val="18"/>
                                </w:rPr>
                                <w:t>Document assembly</w:t>
                              </w:r>
                            </w:p>
                          </w:sdtContent>
                        </w:sdt>
                        <w:p>
                          <w:pPr>
                            <w:jc w:val="center"/>
                          </w:pPr>
                          <w:r>
                            <w:rPr>
                              <w:color w:val="3C3489"/>
                              <w:sz w:val="14"/>
                              <w:szCs w:val="14"/>
                            </w:rPr>
                            <w:t>python-docx · 3-section .docx</w:t>
                          </w:r>
                        </w:p>
                      </w:txbxContent>
                    </wps:txbx>
                    <wps:bodyPr anchor="ctr" lIns="45720" rIns="45720" tIns="45720" bIns="45720" wrap="square"/>
                  </wps:wsp>
                  <wps:wsp>
                    <wps:cNvSpPr>
                      <a:spLocks noChangeArrowheads="1"/>
                    </wps:cNvSpPr>
                    <wps:spPr>
                      <a:xfrm>
                        <a:off x="4191000" y="1778000"/>
                        <a:ext cx="1778000" cy="1016000"/>
                      </a:xfrm>
                      <a:prstGeom prst="roundRect">
                        <a:avLst>
                          <a:gd name="adj" fmla="val 6000"/>
                        </a:avLst>
                      </a:prstGeom>
                      <a:solidFill>
                        <a:srgbClr val="CECBF6"/>
                      </a:solidFill>
                      <a:ln w="6350">
                        <a:solidFill>
                          <a:srgbClr val="534AB7"/>
                        </a:solidFill>
                      </a:ln>
                    </wps:spPr>
                    <wps:txbx>
                      <w:txbxContent>
                        <w:sdt>
                          <w:sdtPr>
                            <w:tag w:val="summary_export"/>
                            <w:text/>
                          </w:sdtPr>
                          <w:sdtContent>
                            <w:p>
                              <w:pPr>
                                <w:jc w:val="center"/>
                              </w:pPr>
                              <w:r>
                                <w:rPr>
                                  <w:b/>
                                  <w:color w:val="26215C"/>
                                  <w:sz w:val="18"/>
                                  <w:szCs w:val="18"/>
                                </w:rPr>
                                <w:t>Summary export</w:t>
                              </w:r>
                            </w:p>
                          </w:sdtContent>
                        </w:sdt>
                        <w:p>
                          <w:pPr>
                            <w:jc w:val="center"/>
                          </w:pPr>
                          <w:r>
                            <w:rPr>
                              <w:color w:val="3C3489"/>
                              <w:sz w:val="14"/>
                              <w:szCs w:val="14"/>
                            </w:rPr>
                            <w:t>openpyxl · 24 cols · 1 row/investor</w:t>
                          </w:r>
                        </w:p>
                      </w:txbxContent>
                    </wps:txbx>
                    <wps:bodyPr anchor="ctr" lIns="45720" rIns="45720" tIns="45720" bIns="45720" wrap="square"/>
                  </wps:wsp>
                  <wps:wsp>
                    <wps:cNvSpPr>
                      <a:spLocks noChangeArrowheads="1"/>
                    </wps:cNvSpPr>
                    <wps:spPr>
                      <a:xfrm flipH="0" flipV="0">
                        <a:off x="1143000" y="2794000"/>
                        <a:ext cx="1" cy="698500"/>
                      </a:xfrm>
                      <a:prstGeom prst="line">
                        <a:avLst/>
                      </a:prstGeom>
                      <a:noFill/>
                      <a:ln w="12700">
                        <a:solidFill>
                          <a:srgbClr val="555555"/>
                        </a:solidFill>
                        <a:tailEnd type="none"/>
                        <a:headEnd type="triangle" w="sm" len="sm"/>
                      </a:ln>
                    </wps:spPr>
                    <wps:txbx>
                      <w:txbxContent>
                        <w:p/>
                      </w:txbxContent>
                    </wps:txbx>
                    <wps:bodyPr/>
                  </wps:wsp>
                  <wps:wsp>
                    <wps:cNvSpPr>
                      <a:spLocks noChangeArrowheads="1"/>
                    </wps:cNvSpPr>
                    <wps:spPr>
                      <a:xfrm flipH="0" flipV="0">
                        <a:off x="3111500" y="2794000"/>
                        <a:ext cx="1" cy="698500"/>
                      </a:xfrm>
                      <a:prstGeom prst="line">
                        <a:avLst/>
                      </a:prstGeom>
                      <a:noFill/>
                      <a:ln w="12700">
                        <a:solidFill>
                          <a:srgbClr val="555555"/>
                        </a:solidFill>
                        <a:tailEnd type="none"/>
                        <a:headEnd type="triangle" w="sm" len="sm"/>
                      </a:ln>
                    </wps:spPr>
                    <wps:txbx>
                      <w:txbxContent>
                        <w:p/>
                      </w:txbxContent>
                    </wps:txbx>
                    <wps:bodyPr/>
                  </wps:wsp>
                  <wps:wsp>
                    <wps:cNvSpPr>
                      <a:spLocks noChangeArrowheads="1"/>
                    </wps:cNvSpPr>
                    <wps:spPr>
                      <a:xfrm flipH="0" flipV="0">
                        <a:off x="5080000" y="2794000"/>
                        <a:ext cx="1" cy="698500"/>
                      </a:xfrm>
                      <a:prstGeom prst="line">
                        <a:avLst/>
                      </a:prstGeom>
                      <a:noFill/>
                      <a:ln w="12700">
                        <a:solidFill>
                          <a:srgbClr val="555555"/>
                        </a:solidFill>
                        <a:tailEnd type="none"/>
                        <a:headEnd type="triangle" w="sm" len="sm"/>
                      </a:ln>
                    </wps:spPr>
                    <wps:txbx>
                      <w:txbxContent>
                        <w:p/>
                      </w:txbxContent>
                    </wps:txbx>
                    <wps:bodyPr/>
                  </wps:wsp>
                  <wps:wsp>
                    <wps:cNvSpPr>
                      <a:spLocks noChangeArrowheads="1"/>
                    </wps:cNvSpPr>
                    <wps:spPr>
                      <a:xfrm>
                        <a:off x="254000" y="3492500"/>
                        <a:ext cx="1778000" cy="825500"/>
                      </a:xfrm>
                      <a:prstGeom prst="roundRect">
                        <a:avLst>
                          <a:gd name="adj" fmla="val 6000"/>
                        </a:avLst>
                      </a:prstGeom>
                      <a:solidFill>
                        <a:srgbClr val="D3D1C7"/>
                      </a:solidFill>
                      <a:ln w="6350">
                        <a:solidFill>
                          <a:srgbClr val="5F5E5A"/>
                        </a:solidFill>
                      </a:ln>
                    </wps:spPr>
                    <wps:txbx>
                      <w:txbxContent>
                        <w:sdt>
                          <w:sdtPr>
                            <w:tag w:val="output_docx"/>
                            <w:text/>
                          </w:sdtPr>
                          <w:sdtContent>
                            <w:p>
                              <w:pPr>
                                <w:jc w:val="center"/>
                              </w:pPr>
                              <w:r>
                                <w:rPr>
                                  <w:b/>
                                  <w:color w:val="2C2C2A"/>
                                  <w:sz w:val="18"/>
                                  <w:szCs w:val="18"/>
                                </w:rPr>
                                <w:t>Per-investor .docx</w:t>
                              </w:r>
                            </w:p>
                          </w:sdtContent>
                        </w:sdt>
                        <w:p>
                          <w:pPr>
                            <w:jc w:val="center"/>
                          </w:pPr>
                          <w:r>
                            <w:rPr>
                              <w:color w:val="5F5E5A"/>
                              <w:sz w:val="14"/>
                              <w:szCs w:val="14"/>
                            </w:rPr>
                            <w:t>3-section statement</w:t>
                          </w:r>
                        </w:p>
                      </w:txbxContent>
                    </wps:txbx>
                    <wps:bodyPr anchor="ctr" lIns="45720" rIns="45720" tIns="45720" bIns="45720" wrap="square"/>
                  </wps:wsp>
                  <wps:wsp>
                    <wps:cNvSpPr>
                      <a:spLocks noChangeArrowheads="1"/>
                    </wps:cNvSpPr>
                    <wps:spPr>
                      <a:xfrm>
                        <a:off x="2222500" y="3492500"/>
                        <a:ext cx="1778000" cy="825500"/>
                      </a:xfrm>
                      <a:prstGeom prst="roundRect">
                        <a:avLst>
                          <a:gd name="adj" fmla="val 6000"/>
                        </a:avLst>
                      </a:prstGeom>
                      <a:solidFill>
                        <a:srgbClr val="D3D1C7"/>
                      </a:solidFill>
                      <a:ln w="6350">
                        <a:solidFill>
                          <a:srgbClr val="5F5E5A"/>
                        </a:solidFill>
                      </a:ln>
                    </wps:spPr>
                    <wps:txbx>
                      <w:txbxContent>
                        <w:sdt>
                          <w:sdtPr>
                            <w:tag w:val="output_xlsx"/>
                            <w:text/>
                          </w:sdtPr>
                          <w:sdtContent>
                            <w:p>
                              <w:pPr>
                                <w:jc w:val="center"/>
                              </w:pPr>
                              <w:r>
                                <w:rPr>
                                  <w:b/>
                                  <w:color w:val="2C2C2A"/>
                                  <w:sz w:val="18"/>
                                  <w:szCs w:val="18"/>
                                </w:rPr>
                                <w:t>Summary .xlsx</w:t>
                              </w:r>
                            </w:p>
                          </w:sdtContent>
                        </w:sdt>
                        <w:p>
                          <w:pPr>
                            <w:jc w:val="center"/>
                          </w:pPr>
                          <w:r>
                            <w:rPr>
                              <w:color w:val="5F5E5A"/>
                              <w:sz w:val="14"/>
                              <w:szCs w:val="14"/>
                            </w:rPr>
                            <w:t>All investors · latest period</w:t>
                          </w:r>
                        </w:p>
                      </w:txbxContent>
                    </wps:txbx>
                    <wps:bodyPr anchor="ctr" lIns="45720" rIns="45720" tIns="45720" bIns="45720" wrap="square"/>
                  </wps:wsp>
                  <wps:wsp>
                    <wps:cNvSpPr>
                      <a:spLocks noChangeArrowheads="1"/>
                    </wps:cNvSpPr>
                    <wps:spPr>
                      <a:xfrm>
                        <a:off x="4191000" y="3492500"/>
                        <a:ext cx="1778000" cy="825500"/>
                      </a:xfrm>
                      <a:prstGeom prst="roundRect">
                        <a:avLst>
                          <a:gd name="adj" fmla="val 6000"/>
                        </a:avLst>
                      </a:prstGeom>
                      <a:solidFill>
                        <a:srgbClr val="D3D1C7"/>
                      </a:solidFill>
                      <a:ln w="6350">
                        <a:solidFill>
                          <a:srgbClr val="5F5E5A"/>
                        </a:solidFill>
                      </a:ln>
                    </wps:spPr>
                    <wps:txbx>
                      <w:txbxContent>
                        <w:sdt>
                          <w:sdtPr>
                            <w:tag w:val="zip_download"/>
                            <w:text/>
                          </w:sdtPr>
                          <w:sdtContent>
                            <w:p>
                              <w:pPr>
                                <w:jc w:val="center"/>
                              </w:pPr>
                              <w:r>
                                <w:rPr>
                                  <w:b/>
                                  <w:color w:val="2C2C2A"/>
                                  <w:sz w:val="18"/>
                                  <w:szCs w:val="18"/>
                                </w:rPr>
                                <w:t>ZIP download</w:t>
                              </w:r>
                            </w:p>
                          </w:sdtContent>
                        </w:sdt>
                        <w:p>
                          <w:pPr>
                            <w:jc w:val="center"/>
                          </w:pPr>
                          <w:r>
                            <w:rPr>
                              <w:color w:val="5F5E5A"/>
                              <w:sz w:val="14"/>
                              <w:szCs w:val="14"/>
                            </w:rPr>
                            <w:t>Streamlit delivery</w:t>
                          </w:r>
                        </w:p>
                      </w:txbxContent>
                    </wps:txbx>
                    <wps:bodyPr anchor="ctr" lIns="45720" rIns="45720" tIns="45720" bIns="45720" wrap="square"/>
                  </wps:wsp>
                  <wps:wsp>
                    <wps:cNvSpPr>
                      <a:spLocks noChangeArrowheads="1"/>
                    </wps:cNvSpPr>
                    <wps:spPr>
                      <a:xfrm>
                        <a:off x="254000" y="4635500"/>
                        <a:ext cx="5715000" cy="635000"/>
                      </a:xfrm>
                      <a:prstGeom prst="roundRect">
                        <a:avLst>
                          <a:gd name="adj" fmla="val 6000"/>
                        </a:avLst>
                      </a:prstGeom>
                      <a:solidFill>
                        <a:srgbClr val="FAC775"/>
                      </a:solidFill>
                      <a:ln w="6350">
                        <a:solidFill>
                          <a:srgbClr val="854F0B"/>
                        </a:solidFill>
                      </a:ln>
                    </wps:spPr>
                    <wps:txbx>
                      <w:txbxContent>
                        <w:sdt>
                          <w:sdtPr>
                            <w:tag w:val="genai_layer"/>
                            <w:text/>
                          </w:sdtPr>
                          <w:sdtContent>
                            <w:p>
                              <w:pPr>
                                <w:jc w:val="center"/>
                              </w:pPr>
                              <w:r>
                                <w:rPr>
                                  <w:b/>
                                  <w:color w:val="412402"/>
                                  <w:sz w:val="18"/>
                                  <w:szCs w:val="18"/>
                                </w:rPr>
                                <w:t>GenAI layer — Gemini integration (planned)</w:t>
                              </w:r>
                            </w:p>
                          </w:sdtContent>
                        </w:sdt>
                        <w:p>
                          <w:pPr>
                            <w:jc w:val="center"/>
                          </w:pPr>
                          <w:r>
                            <w:rPr>
                              <w:color w:val="633806"/>
                              <w:sz w:val="13"/>
                              <w:szCs w:val="13"/>
                            </w:rPr>
                            <w:t>Narratives · Anomaly flags · Column mapping · Portfolio insights · NL Q&amp;A</w:t>
                          </w:r>
                        </w:p>
                      </w:txbxContent>
                    </wps:txbx>
                    <wps:bodyPr anchor="ctr" lIns="45720" rIns="45720" tIns="45720" bIns="45720" wrap="square"/>
                  </wps:wsp>
                </wpg:wgp>
              </a:graphicData>
            </a:graphic>
          </wp:anchor>
        </w:drawing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gridSpan w:val="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C233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Layer 1 — Input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338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Streamlit UI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338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CLI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338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investors.xlsx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KPMG-branded web interface at localhost:8501. File upload with 200 MB limit. Investor selection, progress bar, ZIP + Excel download.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Command-line interface for large batches (&gt;200 MB) and scripted/automated runs. Same engine as the UI.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Structured Excel input. 40 rows (10 investors x 4 periods). 21 columns including financial metrics, dates, and fund identifiers.</w:t>
            </w:r>
          </w:p>
        </w:tc>
      </w:tr>
      <w:tr>
        <w:tc>
          <w:tcPr>
            <w:gridSpan w:val="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C233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Layer 2 — Processing Core (generate_capital_statements.py)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338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Data Validation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338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Document Assembly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338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Summary Export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Schema check across all 21 input columns. Selects the row with the latest TO_DATE per investor when multiple periods exist.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python-docx engine. Generates a 3-section .docx per investor: Capital Account, Capital Commitment, Distributions and Valuation. Applies computed fields.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openpyxl export. One row per investor (latest period). 24 columns: all 21 input columns plus MIN_FROM_DATE, MAX_TO_DATE, RECORD_COUNT.</w:t>
            </w:r>
          </w:p>
        </w:tc>
      </w:tr>
      <w:tr>
        <w:tc>
          <w:tcPr>
            <w:gridSpan w:val="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C233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Layer 3 — Output + GenAI Layer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338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Per-Investor .docx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338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Summary .xlsx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338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ZIP Delivery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Capital Analysis Statement per investor. KPMG CONFIDENTIAL header and footnote. Right-aligned tab stops for figures.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Consolidated Excel workbook. All investors, latest period only. Ready for downstream reporting or BigQuery ingest.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All .docx files bundled as a ZIP. Downloadable directly from the Streamlit UI alongside the summary Excel.</w:t>
            </w:r>
          </w:p>
        </w:tc>
      </w:tr>
      <w:tr>
        <w:tc>
          <w:tcPr>
            <w:gridSpan w:val="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1E49E2"/>
                <w:sz w:val="20"/>
                <w:szCs w:val="20"/>
              </w:rPr>
              <w:t xml:space="preserve">GenAI Layer — Gemini Integration (Planned)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i w:val="false"/>
                <w:iCs w:val="false"/>
                <w:color w:val="444444"/>
                <w:sz w:val="18"/>
                <w:szCs w:val="18"/>
              </w:rPr>
              <w:t xml:space="preserve">Commentary and flags only — GenAI never overwrites financial figures.</w:t>
            </w:r>
          </w:p>
        </w:tc>
      </w:tr>
      <w:tr>
        <w:tc>
          <w:tcPr>
            <w:gridSpan w:val="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338D"/>
                <w:sz w:val="18"/>
                <w:szCs w:val="18"/>
              </w:rPr>
              <w:t xml:space="preserve">1. Investor narrative commentary  </w:t>
            </w: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Gemini 2.0 Flash. Appended to each .docx as natural language summary.   </w:t>
            </w:r>
            <w:r>
              <w:rPr>
                <w:rFonts w:ascii="Arial" w:cs="Arial" w:eastAsia="Arial" w:hAnsi="Arial"/>
                <w:b/>
                <w:bCs/>
                <w:color w:val="00338D"/>
                <w:sz w:val="18"/>
                <w:szCs w:val="18"/>
              </w:rPr>
              <w:t xml:space="preserve">2. Anomaly detection  </w:t>
            </w: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Gemini 2.0 Flash. Flags unusual figures as footnotes.   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b/>
                <w:bCs/>
                <w:color w:val="00338D"/>
                <w:sz w:val="18"/>
                <w:szCs w:val="18"/>
              </w:rPr>
              <w:t xml:space="preserve">3. Intelligent column mapping  </w:t>
            </w: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Gemini 1.5 Pro. Handles non-standard input headers.   </w:t>
            </w:r>
            <w:r>
              <w:rPr>
                <w:rFonts w:ascii="Arial" w:cs="Arial" w:eastAsia="Arial" w:hAnsi="Arial"/>
                <w:b/>
                <w:bCs/>
                <w:color w:val="00338D"/>
                <w:sz w:val="18"/>
                <w:szCs w:val="18"/>
              </w:rPr>
              <w:t xml:space="preserve">4. Portfolio insights  </w:t>
            </w: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Gemini 1.5 Pro. Cross-investor report.   </w:t>
            </w:r>
            <w:r>
              <w:rPr>
                <w:rFonts w:ascii="Arial" w:cs="Arial" w:eastAsia="Arial" w:hAnsi="Arial"/>
                <w:b/>
                <w:bCs/>
                <w:color w:val="00338D"/>
                <w:sz w:val="18"/>
                <w:szCs w:val="18"/>
              </w:rPr>
              <w:t xml:space="preserve">5. Natural language Q&amp;A  </w:t>
            </w: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Gemini 2.0 Pro. Query over generated statements.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1"/>
      </w:pPr>
      <w:r>
        <w:rPr>
          <w:rFonts w:ascii="Arial" w:cs="Arial" w:eastAsia="Arial" w:hAnsi="Arial"/>
        </w:rPr>
        <w:t xml:space="preserve">Input Schema</w:t>
      </w:r>
    </w:p>
    <w:p>
      <w:pPr>
        <w:spacing w:after="80" w:before="8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The investors.xlsx file contains 40 rows across 10 investors and 4 periods. It includes the following 21 columns: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Date range: FROM_DATE, TO_DATE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Fund identifiers: PARTNERSHIP_NAME, INVESTOR_NAME, INVESTOR_ID, CURRENCY_CODE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Capital metrics: COMMITTED_CAPITAL, INCEPTION_TO_DATE_CONTRIBUTION, INCEPTION_TO_DATE_DISTRIBUTION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YTD figures: OPENING_YTD_NAV, YTD_CONTRIBUTION, YTD_DISTRIBUTION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Income and expenses: INVESTMENT_INCOME, INVESTMENT_EXPENSE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Gains and losses: UNREALIZED_GAINS_LOSS, REALIZED_GAINS_LOSS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Fees: MANAGEMENT_FEE, INCENTIVE_FEE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Valuations: CLOSING_YTD_NAV, TEV, TEV_RATIO</w:t>
      </w:r>
    </w:p>
    <w:p>
      <w:pPr>
        <w:spacing w:after="80" w:before="80"/>
      </w:pPr>
      <w:r>
        <w:t xml:space="preserve"/>
      </w:r>
    </w:p>
    <w:p>
      <w:pPr>
        <w:pStyle w:val="Heading1"/>
      </w:pPr>
      <w:r>
        <w:rPr>
          <w:rFonts w:ascii="Arial" w:cs="Arial" w:eastAsia="Arial" w:hAnsi="Arial"/>
        </w:rPr>
        <w:t xml:space="preserve">Key Processing Logic</w:t>
      </w:r>
    </w:p>
    <w:p>
      <w:pPr>
        <w:spacing w:after="80" w:before="8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When an investor has multiple rows (one per reporting period), the engine always selects the row with the latest TO_DATE for document generation. Computed fields are derived from the source columns as follows: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338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Key Computed Fields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Net Investment Income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INVESTMENT_INCOME minus INVESTMENT_EXPENSE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Remaining Commitment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COMMITTED_CAPITAL minus INCEPTION_TO_DATE_CONTRIBUTION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TEV and TEV_RATIO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Read directly from source — never recomputed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1"/>
      </w:pPr>
      <w:r>
        <w:rPr>
          <w:rFonts w:ascii="Arial" w:cs="Arial" w:eastAsia="Arial" w:hAnsi="Arial"/>
        </w:rPr>
        <w:t xml:space="preserve">Technology Stack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Runtime: Python 3.10+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Data processing: pandas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Document generation: python-docx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Excel export: openpyxl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UI: Streamlit 1.37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GenAI (planned): google-generativeai (Gemini API), google-cloud-aiplatform (Vertex AI)</w:t>
      </w:r>
    </w:p>
    <w:p>
      <w:pPr>
        <w:spacing w:after="80" w:before="80"/>
      </w:pPr>
      <w:r>
        <w:t xml:space="preserve"/>
      </w:r>
    </w:p>
    <w:p>
      <w:pPr>
        <w:pStyle w:val="Heading1"/>
      </w:pPr>
      <w:r>
        <w:rPr>
          <w:rFonts w:ascii="Arial" w:cs="Arial" w:eastAsia="Arial" w:hAnsi="Arial"/>
        </w:rPr>
        <w:t xml:space="preserve">GCP Infrastructure and Budget</w:t>
      </w:r>
    </w:p>
    <w:p>
      <w:pPr>
        <w:spacing w:after="80" w:before="8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The system is designed for a phased GCP rollout, starting with a lightweight POC stack and expanding to a full production architecture in Year 1.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3510"/>
        <w:gridCol w:w="3510"/>
      </w:tblGrid>
      <w:tr>
        <w:tc>
          <w:tcPr>
            <w:gridSpan w:val="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338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GCP Services Overview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Phase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Services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Budget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POC (3 months)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Gemini API (AI Studio), Cloud Storage, Secret Manager, Cloud Logging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$500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Production Year 1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+ Vertex AI, Cloud Run, BigQuery, Cloud Functions, Pub/Sub, API Gateway, Cloud Build, Artifact Registry, Cloud IAM, Cloud Monitoring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$80,000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Production Year 2+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Steady state — same stack as Year 1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$55,000/year (primary cost: Vertex AI ~$18K–$36K)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1"/>
      </w:pPr>
      <w:r>
        <w:rPr>
          <w:rFonts w:ascii="Arial" w:cs="Arial" w:eastAsia="Arial" w:hAnsi="Arial"/>
        </w:rPr>
        <w:t xml:space="preserve">Key Constraints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GenAI must not overwrite financial figures — commentary and anomaly flags only, alongside deterministic outputs.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TEV and TEV_RATIO must always come from source columns and must never be recomputed.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Investor data sent to the Gemini API must be cleared against KPMG data residency policy before production use.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The Streamlit file uploader is limited to 200 MB. Large batches must use the CLI or a BigQuery ingest path.</w:t>
      </w:r>
    </w:p>
    <w:p>
      <w:pPr>
        <w:spacing w:after="80" w:before="80"/>
      </w:pPr>
      <w:r>
        <w:t xml:space="preserve"/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00338D" w:sz="6" w:space="1"/>
      </w:pBdr>
      <w:spacing w:before="120"/>
      <w:jc w:val="right"/>
    </w:pPr>
    <w:r>
      <w:rPr>
        <w:rFonts w:ascii="Arial" w:cs="Arial" w:eastAsia="Arial" w:hAnsi="Arial"/>
        <w:color w:val="666666"/>
        <w:sz w:val="18"/>
        <w:szCs w:val="18"/>
      </w:rPr>
      <w:t xml:space="preserve">High Level Architecture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00338D" w:sz="6" w:space="1"/>
      </w:pBdr>
      <w:spacing w:after="120"/>
    </w:pPr>
    <w:r>
      <w:rPr>
        <w:rFonts w:ascii="Arial" w:cs="Arial" w:eastAsia="Arial" w:hAnsi="Arial"/>
        <w:b/>
        <w:bCs/>
        <w:color w:val="00338D"/>
        <w:sz w:val="20"/>
        <w:szCs w:val="20"/>
      </w:rPr>
      <w:t xml:space="preserve">KPMG Digital Lighthouse</w:t>
    </w:r>
    <w:r>
      <w:rPr>
        <w:rFonts w:ascii="Arial" w:cs="Arial" w:eastAsia="Arial" w:hAnsi="Arial"/>
        <w:color w:val="666666"/>
        <w:sz w:val="20"/>
        <w:szCs w:val="20"/>
      </w:rPr>
      <w:t xml:space="preserve">   |   Capital Analysis Statement Generator</w:t>
    </w:r>
    <w:r>
      <w:rPr>
        <w:rFonts w:ascii="Arial" w:cs="Arial" w:eastAsia="Arial" w:hAnsi="Arial"/>
        <w:b/>
        <w:bCs/>
        <w:color w:val="1E49E2"/>
        <w:sz w:val="18"/>
        <w:szCs w:val="18"/>
      </w:rPr>
      <w:t xml:space="preserve">   |   KPMG CONFIDENTIAL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00338D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40" w:before="280"/>
      <w:outlineLvl w:val="1"/>
    </w:pPr>
    <w:rPr>
      <w:rFonts w:ascii="Arial" w:cs="Arial" w:eastAsia="Arial" w:hAnsi="Arial"/>
      <w:b/>
      <w:bCs/>
      <w:color w:val="00338D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4c166b803562df8522a817571653722f62d59d34.pn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2026-05-06T10:15:39.681Z</dcterms:created>
  <dcterms:modified xsi:type="dcterms:W3CDTF">2026-05-06T10:15:39.681Z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