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00338D"/>
          <w:sz w:val="48"/>
          <w:szCs w:val="48"/>
        </w:rPr>
        <w:t xml:space="preserve">Capital Analysis Statement Generator</w:t>
      </w:r>
    </w:p>
    <w:p>
      <w:pPr>
        <w:spacing w:after="60" w:before="0"/>
      </w:pPr>
      <w:r>
        <w:rPr>
          <w:rFonts w:ascii="Arial" w:cs="Arial" w:eastAsia="Arial" w:hAnsi="Arial"/>
          <w:color w:val="1E49E2"/>
          <w:sz w:val="32"/>
          <w:szCs w:val="32"/>
        </w:rPr>
        <w:t xml:space="preserve">High Level Architecture</w:t>
      </w:r>
    </w:p>
    <w:p>
      <w:pPr>
        <w:pBdr>
          <w:bottom w:val="single" w:color="00338D" w:sz="8" w:space="1"/>
        </w:pBd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KPMG Digital Lighthouse   |   Asset and Wealth Management POC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Capital Analysis Statement Generator is an automated reporting tool that produces one formatted Capital Analysis Statement (.docx) per investor from a structured Excel input. It is built for Asset and Wealth Management clients and eliminates manual copy-paste from data to Word templates each reporting cycle.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POC is complete and running locally. The Streamlit UI is live at localhost:8501 and the CLI is also functional. The system is ready for GenAI integration and GCP deployment planning.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Architecture — Three Layers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is organised into three sequential layers: Input, Processing Core, and Output with a GenAI overlay. Data flows top-down through each layer.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investors.xlsx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KPMG-branded web interface at localhost:8501. File upload with 200 MB limit. Investor selection, progress bar, ZIP + Excel download.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Command-line interface for large batches (&gt;200 MB) and scripted/automated runs. Same engine as the UI.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Excel input. 40 rows (10 investors x 4 periods). 21 columns including financial metrics, dates, and fund identifiers.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Processing Core (generate_capital_statements.py)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Assembly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Export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check across all 21 input columns. Selects the row with the latest TO_DATE per investor when multiple periods exist.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python-docx engine. Generates a 3-section .docx per investor: Capital Account, Capital Commitment, Distributions and Valuation. Applies computed fields.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 export. One row per investor (latest period). 24 columns: all 21 input columns plus MIN_FROM_DATE, MAX_TO_DATE, RECORD_COUNT.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Output + GenAI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Per-Investor 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.xlsx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Analysis Statement per investor. KPMG CONFIDENTIAL header and footnote. Right-aligned tab stops for figures.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Consolidated Excel workbook. All investors, latest period only. Ready for downstream reporting or BigQuery ingest.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.docx files bundled as a ZIP. Downloadable directly from the Streamlit UI alongside the summary Excel.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49E2"/>
                <w:sz w:val="20"/>
                <w:szCs w:val="20"/>
              </w:rPr>
              <w:t xml:space="preserve">GenAI Layer — Gemini Integration (Planned)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18"/>
                <w:szCs w:val="18"/>
              </w:rPr>
              <w:t xml:space="preserve">Commentary and flags only — GenAI never overwrites financial figures.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1. Investor narrative commentary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2.0 Flash. Appended to each .docx as natural language summary.   </w:t>
            </w: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2. Anomaly detection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2.0 Flash. Flags unusual figures as footnotes.   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3. Intelligent column mapping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1.5 Pro. Handles non-standard input headers.   </w:t>
            </w: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4. Portfolio insights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1.5 Pro. Cross-investor report.   </w:t>
            </w: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5. Natural language Q&amp;A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2.0 Pro. Query over generated statements.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Input Schema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investors.xlsx file contains 40 rows across 10 investors and 4 periods. It includes the following 21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 range: FROM_DATE, TO_DATE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Fund identifiers: PARTNERSHIP_NAME, INVESTOR_NAME, INVESTOR_ID, CURRENCY_CODE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Capital metrics: COMMITTED_CAPITAL, INCEPTION_TO_DATE_CONTRIBUTION, INCEPTION_TO_DATE_DISTRIBUTION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YTD figures: OPENING_YTD_NAV, YTD_CONTRIBUTION, YTD_DISTRIBUTION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Income and expenses: INVESTMENT_INCOME, INVESTMENT_EXPENSE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Gains and losses: UNREALIZED_GAINS_LOSS, REALIZED_GAINS_LOSS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Fees: MANAGEMENT_FEE, INCENTIVE_FEE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Valuations: CLOSING_YTD_NAV, TEV, TEV_RATIO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Processing Logic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an investor has multiple rows (one per reporting period), the engine always selects the row with the latest TO_DATE for document generation. Computed fields are derived from the source columns as follows: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Computed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Investment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INVESTMENT_INCOME minus INVESTMENT_EXPENSE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Remaining Commitment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COMMITTED_CAPITAL minus INCEPTION_TO_DATE_CONTRIBUTION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TEV and TEV_RATIO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directly from source — never recomputed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Runtime: Python 3.10+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processing: pandas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 generation: python-docx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Excel export: openpyxl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UI: Streamlit 1.37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GenAI (planned): google-generativeai (Gemini API), google-cloud-aiplatform (Vertex AI)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GCP Infrastructure and Budget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is designed for a phased GCP rollout, starting with a lightweight POC stack and expanding to a full production architecture in Year 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Services Overview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POC (3 months)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API (AI Studio), Cloud Storage, Secret Manager, Cloud 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Year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Vertex AI, Cloud Run, BigQuery, Cloud Functions, Pub/Sub, API Gateway, Cloud Build, Artifact Registry, Cloud IAM, Cloud 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$80,000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Year 2+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Steady state — same stack as Year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$55,000/year (primary cost: Vertex AI ~$18K–$36K)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GenAI must not overwrite financial figures — commentary and anomaly flags only, alongside deterministic outputs.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TEV and TEV_RATIO must always come from source columns and must never be recomputed.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Investor data sent to the Gemini API must be cleared against KPMG data residency policy before production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Streamlit file uploader is limited to 200 MB. Large batches must use the CLI or a BigQuery ingest path.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8D" w:sz="6" w:space="1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High Level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8D" w:sz="6" w:space="1"/>
      </w:pBdr>
      <w:spacing w:after="120"/>
    </w:pPr>
    <w:r>
      <w:rPr>
        <w:rFonts w:ascii="Arial" w:cs="Arial" w:eastAsia="Arial" w:hAnsi="Arial"/>
        <w:b/>
        <w:bCs/>
        <w:color w:val="00338D"/>
        <w:sz w:val="20"/>
        <w:szCs w:val="20"/>
      </w:rPr>
      <w:t xml:space="preserve">KPMG Digital Lighthouse</w:t>
    </w:r>
    <w:r>
      <w:rPr>
        <w:rFonts w:ascii="Arial" w:cs="Arial" w:eastAsia="Arial" w:hAnsi="Arial"/>
        <w:color w:val="666666"/>
        <w:sz w:val="20"/>
        <w:szCs w:val="20"/>
      </w:rPr>
      <w:t xml:space="preserve">   |   Capital Analysis Statement Generator</w:t>
    </w:r>
    <w:r>
      <w:rPr>
        <w:rFonts w:ascii="Arial" w:cs="Arial" w:eastAsia="Arial" w:hAnsi="Arial"/>
        <w:b/>
        <w:bCs/>
        <w:color w:val="1E49E2"/>
        <w:sz w:val="18"/>
        <w:szCs w:val="18"/>
      </w:rPr>
      <w:t xml:space="preserve">   |   KPMG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338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2026-05-06T10:11:57.182Z</dcterms:created>
  <dcterms:modified xsi:type="dcterms:W3CDTF">2026-05-06T10:11:57.183Z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