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3599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1. Ranger admin-access removal (EMEA)</w:t>
      </w:r>
    </w:p>
    <w:p w14:paraId="3E76FFBB" w14:textId="77777777" w:rsidR="008052B8" w:rsidRPr="008052B8" w:rsidRDefault="008052B8" w:rsidP="008052B8">
      <w:pPr>
        <w:numPr>
          <w:ilvl w:val="0"/>
          <w:numId w:val="1"/>
        </w:numPr>
      </w:pPr>
      <w:r w:rsidRPr="008052B8">
        <w:t xml:space="preserve">CTI plans to remove the AD group’s Ranger </w:t>
      </w:r>
      <w:r w:rsidRPr="008052B8">
        <w:rPr>
          <w:b/>
          <w:bCs/>
        </w:rPr>
        <w:t>admin/edit</w:t>
      </w:r>
      <w:r w:rsidRPr="008052B8">
        <w:t xml:space="preserve"> privileges in EMEA, since it was missed during the earlier access-removal exercise.</w:t>
      </w:r>
    </w:p>
    <w:p w14:paraId="763D77E8" w14:textId="77777777" w:rsidR="008052B8" w:rsidRPr="008052B8" w:rsidRDefault="008052B8" w:rsidP="008052B8">
      <w:pPr>
        <w:numPr>
          <w:ilvl w:val="0"/>
          <w:numId w:val="1"/>
        </w:numPr>
      </w:pPr>
      <w:r w:rsidRPr="008052B8">
        <w:t xml:space="preserve">Service-account access to Starburst </w:t>
      </w:r>
      <w:proofErr w:type="spellStart"/>
      <w:r w:rsidRPr="008052B8">
        <w:t>catalogs</w:t>
      </w:r>
      <w:proofErr w:type="spellEnd"/>
      <w:r w:rsidRPr="008052B8">
        <w:t>, schemas, tables, and views remains unchanged; only the ability to edit Ranger policies is being removed.</w:t>
      </w:r>
    </w:p>
    <w:p w14:paraId="2F2DEA5B" w14:textId="77777777" w:rsidR="008052B8" w:rsidRPr="008052B8" w:rsidRDefault="008052B8" w:rsidP="008052B8">
      <w:pPr>
        <w:numPr>
          <w:ilvl w:val="0"/>
          <w:numId w:val="1"/>
        </w:numPr>
      </w:pPr>
      <w:r w:rsidRPr="008052B8">
        <w:t xml:space="preserve">The group will be assigned the </w:t>
      </w:r>
      <w:r w:rsidRPr="008052B8">
        <w:rPr>
          <w:b/>
          <w:bCs/>
        </w:rPr>
        <w:t>Ranger Auditor</w:t>
      </w:r>
      <w:r w:rsidRPr="008052B8">
        <w:t xml:space="preserve"> role, preserving read-only visibility of policies.</w:t>
      </w:r>
    </w:p>
    <w:p w14:paraId="0F846E44" w14:textId="77777777" w:rsidR="008052B8" w:rsidRPr="008052B8" w:rsidRDefault="008052B8" w:rsidP="008052B8">
      <w:pPr>
        <w:numPr>
          <w:ilvl w:val="0"/>
          <w:numId w:val="1"/>
        </w:numPr>
      </w:pPr>
      <w:r w:rsidRPr="008052B8">
        <w:t>Mahesh/CTI confirmed this is an on-the-fly change with no reboot required.</w:t>
      </w:r>
    </w:p>
    <w:p w14:paraId="6686EBEF" w14:textId="77777777" w:rsidR="008052B8" w:rsidRPr="008052B8" w:rsidRDefault="008052B8" w:rsidP="008052B8">
      <w:pPr>
        <w:numPr>
          <w:ilvl w:val="0"/>
          <w:numId w:val="1"/>
        </w:numPr>
      </w:pPr>
      <w:r w:rsidRPr="008052B8">
        <w:t>Agreed approach: switch to Auditor first, let the team validate access end-to-end, then make the revocation permanent if no issues arise.</w:t>
      </w:r>
    </w:p>
    <w:p w14:paraId="611629BB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2. Snowflake data-</w:t>
      </w:r>
      <w:proofErr w:type="spellStart"/>
      <w:r w:rsidRPr="008052B8">
        <w:rPr>
          <w:b/>
          <w:bCs/>
        </w:rPr>
        <w:t>catalog</w:t>
      </w:r>
      <w:proofErr w:type="spellEnd"/>
      <w:r w:rsidRPr="008052B8">
        <w:rPr>
          <w:b/>
          <w:bCs/>
        </w:rPr>
        <w:t xml:space="preserve"> onboarding</w:t>
      </w:r>
    </w:p>
    <w:p w14:paraId="2A4BD914" w14:textId="77777777" w:rsidR="008052B8" w:rsidRPr="008052B8" w:rsidRDefault="008052B8" w:rsidP="008052B8">
      <w:pPr>
        <w:numPr>
          <w:ilvl w:val="0"/>
          <w:numId w:val="2"/>
        </w:numPr>
      </w:pPr>
      <w:r w:rsidRPr="008052B8">
        <w:t>Snowflake onboarding is blocked by certification/approval of an RSA public key for general use.</w:t>
      </w:r>
    </w:p>
    <w:p w14:paraId="3AD3AE8E" w14:textId="77777777" w:rsidR="008052B8" w:rsidRPr="008052B8" w:rsidRDefault="008052B8" w:rsidP="008052B8">
      <w:pPr>
        <w:numPr>
          <w:ilvl w:val="0"/>
          <w:numId w:val="2"/>
        </w:numPr>
      </w:pPr>
      <w:r w:rsidRPr="008052B8">
        <w:t>This dependency is outside Starburst’s scope; Starburst will be ready once Snowflake/CISO approval is complete.</w:t>
      </w:r>
    </w:p>
    <w:p w14:paraId="65DC52B4" w14:textId="77777777" w:rsidR="008052B8" w:rsidRPr="008052B8" w:rsidRDefault="008052B8" w:rsidP="008052B8">
      <w:pPr>
        <w:numPr>
          <w:ilvl w:val="0"/>
          <w:numId w:val="2"/>
        </w:numPr>
      </w:pPr>
      <w:r w:rsidRPr="008052B8">
        <w:t>Mahesh was asked to clarify the current certification status.</w:t>
      </w:r>
    </w:p>
    <w:p w14:paraId="505DAA6B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3. Repurposing the real-time cluster</w:t>
      </w:r>
    </w:p>
    <w:p w14:paraId="345F9B58" w14:textId="77777777" w:rsidR="008052B8" w:rsidRPr="008052B8" w:rsidRDefault="008052B8" w:rsidP="008052B8">
      <w:pPr>
        <w:numPr>
          <w:ilvl w:val="0"/>
          <w:numId w:val="3"/>
        </w:numPr>
      </w:pPr>
      <w:r w:rsidRPr="008052B8">
        <w:t>The idle real-time cluster is to be repurposed for another use case.</w:t>
      </w:r>
    </w:p>
    <w:p w14:paraId="52D75BF4" w14:textId="77777777" w:rsidR="008052B8" w:rsidRPr="008052B8" w:rsidRDefault="008052B8" w:rsidP="008052B8">
      <w:pPr>
        <w:numPr>
          <w:ilvl w:val="0"/>
          <w:numId w:val="3"/>
        </w:numPr>
      </w:pPr>
      <w:r w:rsidRPr="008052B8">
        <w:t>CTI explained that this is an existing production cluster, not a net-new build. It must be cleaned, uninstalled, and rebuilt before reuse.</w:t>
      </w:r>
    </w:p>
    <w:p w14:paraId="2AEF8971" w14:textId="77777777" w:rsidR="008052B8" w:rsidRPr="008052B8" w:rsidRDefault="008052B8" w:rsidP="008052B8">
      <w:pPr>
        <w:numPr>
          <w:ilvl w:val="0"/>
          <w:numId w:val="3"/>
        </w:numPr>
      </w:pPr>
      <w:r w:rsidRPr="008052B8">
        <w:t>UAT prerequisites have started, but UAT and production work may not be able to proceed in parallel due to bandwidth and production-change constraints.</w:t>
      </w:r>
    </w:p>
    <w:p w14:paraId="427879CF" w14:textId="77777777" w:rsidR="008052B8" w:rsidRPr="008052B8" w:rsidRDefault="008052B8" w:rsidP="008052B8">
      <w:pPr>
        <w:numPr>
          <w:ilvl w:val="0"/>
          <w:numId w:val="3"/>
        </w:numPr>
      </w:pPr>
      <w:r w:rsidRPr="008052B8">
        <w:t>December production work is constrained by the freeze.</w:t>
      </w:r>
    </w:p>
    <w:p w14:paraId="22E5D829" w14:textId="77777777" w:rsidR="008052B8" w:rsidRPr="008052B8" w:rsidRDefault="008052B8" w:rsidP="008052B8">
      <w:pPr>
        <w:numPr>
          <w:ilvl w:val="0"/>
          <w:numId w:val="3"/>
        </w:numPr>
      </w:pPr>
      <w:r w:rsidRPr="008052B8">
        <w:t>CTI will assess whether UAT can be completed before the freeze and provide an update by the next call/end of next week.</w:t>
      </w:r>
    </w:p>
    <w:p w14:paraId="66A26E31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 xml:space="preserve">4. Starburst Data </w:t>
      </w:r>
      <w:proofErr w:type="spellStart"/>
      <w:r w:rsidRPr="008052B8">
        <w:rPr>
          <w:b/>
          <w:bCs/>
        </w:rPr>
        <w:t>Catalog</w:t>
      </w:r>
      <w:proofErr w:type="spellEnd"/>
      <w:r w:rsidRPr="008052B8">
        <w:rPr>
          <w:b/>
          <w:bCs/>
        </w:rPr>
        <w:t xml:space="preserve"> (SDC) and Starburst 482 upgrade</w:t>
      </w:r>
    </w:p>
    <w:p w14:paraId="006A2AB7" w14:textId="77777777" w:rsidR="008052B8" w:rsidRPr="008052B8" w:rsidRDefault="008052B8" w:rsidP="008052B8">
      <w:pPr>
        <w:numPr>
          <w:ilvl w:val="0"/>
          <w:numId w:val="4"/>
        </w:numPr>
      </w:pPr>
      <w:r w:rsidRPr="008052B8">
        <w:t>Starburst version 482 is expected to be released to Dev/UAT shortly.</w:t>
      </w:r>
    </w:p>
    <w:p w14:paraId="03F56AF4" w14:textId="77777777" w:rsidR="008052B8" w:rsidRPr="008052B8" w:rsidRDefault="008052B8" w:rsidP="008052B8">
      <w:pPr>
        <w:numPr>
          <w:ilvl w:val="0"/>
          <w:numId w:val="4"/>
        </w:numPr>
      </w:pPr>
      <w:r w:rsidRPr="008052B8">
        <w:t xml:space="preserve">From 482 onward, Hive </w:t>
      </w:r>
      <w:proofErr w:type="spellStart"/>
      <w:r w:rsidRPr="008052B8">
        <w:t>Metastore</w:t>
      </w:r>
      <w:proofErr w:type="spellEnd"/>
      <w:r w:rsidRPr="008052B8">
        <w:t xml:space="preserve"> (HMS) will no longer be the supported Starburst </w:t>
      </w:r>
      <w:proofErr w:type="spellStart"/>
      <w:r w:rsidRPr="008052B8">
        <w:t>catalog</w:t>
      </w:r>
      <w:proofErr w:type="spellEnd"/>
      <w:r w:rsidRPr="008052B8">
        <w:t xml:space="preserve"> path; SDC becomes the intended option.</w:t>
      </w:r>
    </w:p>
    <w:p w14:paraId="7914B628" w14:textId="77777777" w:rsidR="008052B8" w:rsidRPr="008052B8" w:rsidRDefault="008052B8" w:rsidP="008052B8">
      <w:pPr>
        <w:numPr>
          <w:ilvl w:val="0"/>
          <w:numId w:val="4"/>
        </w:numPr>
      </w:pPr>
      <w:r w:rsidRPr="008052B8">
        <w:t>Existing CTI-provided cloud HMS instances, such as the NAM cloud HMS, will be migrated/upgraded to SDC.</w:t>
      </w:r>
    </w:p>
    <w:p w14:paraId="2A9D059D" w14:textId="77777777" w:rsidR="008052B8" w:rsidRPr="008052B8" w:rsidRDefault="008052B8" w:rsidP="008052B8">
      <w:pPr>
        <w:numPr>
          <w:ilvl w:val="0"/>
          <w:numId w:val="4"/>
        </w:numPr>
      </w:pPr>
      <w:r w:rsidRPr="008052B8">
        <w:lastRenderedPageBreak/>
        <w:t xml:space="preserve">EAP’s existing Hive </w:t>
      </w:r>
      <w:proofErr w:type="spellStart"/>
      <w:r w:rsidRPr="008052B8">
        <w:t>metastore</w:t>
      </w:r>
      <w:proofErr w:type="spellEnd"/>
      <w:r w:rsidRPr="008052B8">
        <w:t xml:space="preserve"> remains unchanged because it belongs to the EAP/Hadoop environment and is merely reused by Starburst.</w:t>
      </w:r>
    </w:p>
    <w:p w14:paraId="64ED33F8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5. SDC availability for EMEA and APAC cloud/S3 data</w:t>
      </w:r>
    </w:p>
    <w:p w14:paraId="7AEFAC6C" w14:textId="77777777" w:rsidR="008052B8" w:rsidRPr="008052B8" w:rsidRDefault="008052B8" w:rsidP="008052B8">
      <w:pPr>
        <w:numPr>
          <w:ilvl w:val="0"/>
          <w:numId w:val="5"/>
        </w:numPr>
      </w:pPr>
      <w:r w:rsidRPr="008052B8">
        <w:t>EMEA and APAC do not currently have a CTI-provided cloud HMS/SDC for AWS/IBM S3 workloads.</w:t>
      </w:r>
    </w:p>
    <w:p w14:paraId="57B6AAB0" w14:textId="77777777" w:rsidR="008052B8" w:rsidRPr="008052B8" w:rsidRDefault="008052B8" w:rsidP="008052B8">
      <w:pPr>
        <w:numPr>
          <w:ilvl w:val="0"/>
          <w:numId w:val="5"/>
        </w:numPr>
      </w:pPr>
      <w:r w:rsidRPr="008052B8">
        <w:t>To obtain one, the team must raise and obtain approval for a pipeline; new requests will provision SDC directly rather than HMS.</w:t>
      </w:r>
    </w:p>
    <w:p w14:paraId="15BEFABB" w14:textId="77777777" w:rsidR="008052B8" w:rsidRPr="008052B8" w:rsidRDefault="008052B8" w:rsidP="008052B8">
      <w:pPr>
        <w:numPr>
          <w:ilvl w:val="0"/>
          <w:numId w:val="5"/>
        </w:numPr>
      </w:pPr>
      <w:r w:rsidRPr="008052B8">
        <w:t>One SDC can support multiple cloud storage sources (AWS S3, IBM S3, and potentially Google Cloud); it is not required per bucket.</w:t>
      </w:r>
    </w:p>
    <w:p w14:paraId="5AA594C6" w14:textId="77777777" w:rsidR="008052B8" w:rsidRPr="008052B8" w:rsidRDefault="008052B8" w:rsidP="008052B8">
      <w:pPr>
        <w:numPr>
          <w:ilvl w:val="0"/>
          <w:numId w:val="5"/>
        </w:numPr>
      </w:pPr>
      <w:r w:rsidRPr="008052B8">
        <w:t xml:space="preserve">Reusing NAM’s </w:t>
      </w:r>
      <w:proofErr w:type="spellStart"/>
      <w:r w:rsidRPr="008052B8">
        <w:t>catalog</w:t>
      </w:r>
      <w:proofErr w:type="spellEnd"/>
      <w:r w:rsidRPr="008052B8">
        <w:t xml:space="preserve"> for EMEA/APAC is technically possible, but will introduce metadata latency and may need cross-border-data approvals.</w:t>
      </w:r>
    </w:p>
    <w:p w14:paraId="1D495CA7" w14:textId="77777777" w:rsidR="008052B8" w:rsidRPr="008052B8" w:rsidRDefault="008052B8" w:rsidP="008052B8">
      <w:pPr>
        <w:numPr>
          <w:ilvl w:val="0"/>
          <w:numId w:val="5"/>
        </w:numPr>
      </w:pPr>
      <w:r w:rsidRPr="008052B8">
        <w:t>The team estimated approvals/procurement could take roughly two to three months, so interim use of NAM may be considered for suitable datasets.</w:t>
      </w:r>
    </w:p>
    <w:p w14:paraId="22743BA6" w14:textId="77777777" w:rsidR="008052B8" w:rsidRPr="008052B8" w:rsidRDefault="008052B8" w:rsidP="008052B8">
      <w:pPr>
        <w:numPr>
          <w:ilvl w:val="0"/>
          <w:numId w:val="5"/>
        </w:numPr>
      </w:pPr>
      <w:r w:rsidRPr="008052B8">
        <w:t>Abhishek/Kiran/Raghav will clarify what new pipeline is required and which regional use cases can use the shared setup temporarily.</w:t>
      </w:r>
    </w:p>
    <w:p w14:paraId="602125FF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6. Iceberg connector</w:t>
      </w:r>
    </w:p>
    <w:p w14:paraId="72BB878B" w14:textId="77777777" w:rsidR="008052B8" w:rsidRPr="008052B8" w:rsidRDefault="008052B8" w:rsidP="008052B8">
      <w:pPr>
        <w:numPr>
          <w:ilvl w:val="0"/>
          <w:numId w:val="6"/>
        </w:numPr>
      </w:pPr>
      <w:r w:rsidRPr="008052B8">
        <w:t>CTI confirmed the Iceberg connector is already production-ready and widely used by multiple internal teams.</w:t>
      </w:r>
    </w:p>
    <w:p w14:paraId="1F4BCC85" w14:textId="77777777" w:rsidR="008052B8" w:rsidRPr="008052B8" w:rsidRDefault="008052B8" w:rsidP="008052B8">
      <w:pPr>
        <w:numPr>
          <w:ilvl w:val="0"/>
          <w:numId w:val="6"/>
        </w:numPr>
      </w:pPr>
      <w:r w:rsidRPr="008052B8">
        <w:t>It is not experimental; no major functional concern was raised.</w:t>
      </w:r>
    </w:p>
    <w:p w14:paraId="39F1C8E2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7. Application-managed HMS and security controls</w:t>
      </w:r>
    </w:p>
    <w:p w14:paraId="0BB45348" w14:textId="77777777" w:rsidR="008052B8" w:rsidRPr="008052B8" w:rsidRDefault="008052B8" w:rsidP="008052B8">
      <w:pPr>
        <w:numPr>
          <w:ilvl w:val="0"/>
          <w:numId w:val="7"/>
        </w:numPr>
      </w:pPr>
      <w:r w:rsidRPr="008052B8">
        <w:t>Application-managed HMS instances can continue after the SDC rollout if they satisfy security requirements.</w:t>
      </w:r>
    </w:p>
    <w:p w14:paraId="1FEBA815" w14:textId="77777777" w:rsidR="008052B8" w:rsidRPr="008052B8" w:rsidRDefault="008052B8" w:rsidP="008052B8">
      <w:pPr>
        <w:numPr>
          <w:ilvl w:val="0"/>
          <w:numId w:val="7"/>
        </w:numPr>
      </w:pPr>
      <w:r w:rsidRPr="008052B8">
        <w:t xml:space="preserve">Mahesh stated CTI will review </w:t>
      </w:r>
      <w:proofErr w:type="spellStart"/>
      <w:r w:rsidRPr="008052B8">
        <w:t>catalog</w:t>
      </w:r>
      <w:proofErr w:type="spellEnd"/>
      <w:r w:rsidRPr="008052B8">
        <w:t>/HMS configurations and shut down ones that do not meet requirements such as Kerberos or SSL.</w:t>
      </w:r>
    </w:p>
    <w:p w14:paraId="2E9BE693" w14:textId="77777777" w:rsidR="008052B8" w:rsidRPr="008052B8" w:rsidRDefault="008052B8" w:rsidP="008052B8">
      <w:pPr>
        <w:numPr>
          <w:ilvl w:val="0"/>
          <w:numId w:val="7"/>
        </w:numPr>
      </w:pPr>
      <w:r w:rsidRPr="008052B8">
        <w:t>The recently created Esper-managed HMS should be reviewed for compliance.</w:t>
      </w:r>
    </w:p>
    <w:p w14:paraId="2DE9710B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8. Bulk Ranger-policy creation and deletion through CMP/API</w:t>
      </w:r>
    </w:p>
    <w:p w14:paraId="6FA26C17" w14:textId="77777777" w:rsidR="008052B8" w:rsidRPr="008052B8" w:rsidRDefault="008052B8" w:rsidP="008052B8">
      <w:pPr>
        <w:numPr>
          <w:ilvl w:val="0"/>
          <w:numId w:val="8"/>
        </w:numPr>
      </w:pPr>
      <w:r w:rsidRPr="008052B8">
        <w:t>Bulk policy operations can use APIs; volume is not itself a limitation.</w:t>
      </w:r>
    </w:p>
    <w:p w14:paraId="451997EE" w14:textId="77777777" w:rsidR="008052B8" w:rsidRPr="008052B8" w:rsidRDefault="008052B8" w:rsidP="008052B8">
      <w:pPr>
        <w:numPr>
          <w:ilvl w:val="0"/>
          <w:numId w:val="8"/>
        </w:numPr>
      </w:pPr>
      <w:r w:rsidRPr="008052B8">
        <w:t>Policy creation works, but deletion is failing where policy resources are ambiguous—particularly where similar resource groups exist for different AD groups.</w:t>
      </w:r>
    </w:p>
    <w:p w14:paraId="01E65CC2" w14:textId="77777777" w:rsidR="008052B8" w:rsidRPr="008052B8" w:rsidRDefault="008052B8" w:rsidP="008052B8">
      <w:pPr>
        <w:numPr>
          <w:ilvl w:val="0"/>
          <w:numId w:val="8"/>
        </w:numPr>
      </w:pPr>
      <w:r w:rsidRPr="008052B8">
        <w:t>CTI asked the team to raise a request/ticket with examples. They will determine whether the existing solution can handle it or needs an enhancement.</w:t>
      </w:r>
    </w:p>
    <w:p w14:paraId="7D81230A" w14:textId="77777777" w:rsidR="008052B8" w:rsidRPr="008052B8" w:rsidRDefault="008052B8" w:rsidP="008052B8">
      <w:pPr>
        <w:numPr>
          <w:ilvl w:val="0"/>
          <w:numId w:val="8"/>
        </w:numPr>
      </w:pPr>
      <w:r w:rsidRPr="008052B8">
        <w:lastRenderedPageBreak/>
        <w:t>A requested improvement is deletion by unique policy ID rather than resource matching.</w:t>
      </w:r>
    </w:p>
    <w:p w14:paraId="5E2A290D" w14:textId="77777777" w:rsidR="008052B8" w:rsidRPr="008052B8" w:rsidRDefault="008052B8" w:rsidP="008052B8">
      <w:pPr>
        <w:numPr>
          <w:ilvl w:val="0"/>
          <w:numId w:val="8"/>
        </w:numPr>
      </w:pPr>
      <w:r w:rsidRPr="008052B8">
        <w:t>Manual deployment has effectively been deprecated for over a year, so CTI expects the API/CMP route to be resolved rather than used as a permanent exception.</w:t>
      </w:r>
    </w:p>
    <w:p w14:paraId="1275B037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9. Impersonation controls</w:t>
      </w:r>
    </w:p>
    <w:p w14:paraId="47F5F550" w14:textId="77777777" w:rsidR="008052B8" w:rsidRPr="008052B8" w:rsidRDefault="008052B8" w:rsidP="008052B8">
      <w:pPr>
        <w:numPr>
          <w:ilvl w:val="0"/>
          <w:numId w:val="9"/>
        </w:numPr>
      </w:pPr>
      <w:r w:rsidRPr="008052B8">
        <w:t>The concern raised was that an FID with wildcard impersonation may potentially impersonate arbitrary users.</w:t>
      </w:r>
    </w:p>
    <w:p w14:paraId="41D0D4E8" w14:textId="77777777" w:rsidR="008052B8" w:rsidRPr="008052B8" w:rsidRDefault="008052B8" w:rsidP="008052B8">
      <w:pPr>
        <w:numPr>
          <w:ilvl w:val="0"/>
          <w:numId w:val="9"/>
        </w:numPr>
      </w:pPr>
      <w:r w:rsidRPr="008052B8">
        <w:t>Mahesh’s initial view was that policies should apply to the user identity supplied by the source system, while authentication occurs through the FID.</w:t>
      </w:r>
    </w:p>
    <w:p w14:paraId="03848FC4" w14:textId="77777777" w:rsidR="008052B8" w:rsidRPr="008052B8" w:rsidRDefault="008052B8" w:rsidP="008052B8">
      <w:pPr>
        <w:numPr>
          <w:ilvl w:val="0"/>
          <w:numId w:val="9"/>
        </w:numPr>
      </w:pPr>
      <w:r w:rsidRPr="008052B8">
        <w:t>The team said they had tested a Python/API flow that appeared to permit specifying another impersonated user.</w:t>
      </w:r>
    </w:p>
    <w:p w14:paraId="0F8C109F" w14:textId="77777777" w:rsidR="008052B8" w:rsidRPr="008052B8" w:rsidRDefault="008052B8" w:rsidP="008052B8">
      <w:pPr>
        <w:numPr>
          <w:ilvl w:val="0"/>
          <w:numId w:val="9"/>
        </w:numPr>
      </w:pPr>
      <w:r w:rsidRPr="008052B8">
        <w:t>Agreed action: share the script with Mahesh so CTI can validate whether this is possible and whether a security/control enhancement is needed.</w:t>
      </w:r>
    </w:p>
    <w:p w14:paraId="0B666301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10. Hive bucketing issue</w:t>
      </w:r>
    </w:p>
    <w:p w14:paraId="71F0DC86" w14:textId="77777777" w:rsidR="008052B8" w:rsidRPr="008052B8" w:rsidRDefault="008052B8" w:rsidP="008052B8">
      <w:pPr>
        <w:numPr>
          <w:ilvl w:val="0"/>
          <w:numId w:val="10"/>
        </w:numPr>
      </w:pPr>
      <w:r w:rsidRPr="008052B8">
        <w:t>An HR-related workload has a mismatch between the configured Hive bucket count and files written through Spark.</w:t>
      </w:r>
    </w:p>
    <w:p w14:paraId="4049059A" w14:textId="77777777" w:rsidR="008052B8" w:rsidRPr="008052B8" w:rsidRDefault="008052B8" w:rsidP="008052B8">
      <w:pPr>
        <w:numPr>
          <w:ilvl w:val="0"/>
          <w:numId w:val="10"/>
        </w:numPr>
      </w:pPr>
      <w:r w:rsidRPr="008052B8">
        <w:t xml:space="preserve">The team asked whether disabling bucket-count validation in the </w:t>
      </w:r>
      <w:proofErr w:type="spellStart"/>
      <w:r w:rsidRPr="008052B8">
        <w:t>catalog</w:t>
      </w:r>
      <w:proofErr w:type="spellEnd"/>
      <w:r w:rsidRPr="008052B8">
        <w:t xml:space="preserve"> is advisable.</w:t>
      </w:r>
    </w:p>
    <w:p w14:paraId="4C68C7C6" w14:textId="77777777" w:rsidR="008052B8" w:rsidRPr="008052B8" w:rsidRDefault="008052B8" w:rsidP="008052B8">
      <w:pPr>
        <w:numPr>
          <w:ilvl w:val="0"/>
          <w:numId w:val="10"/>
        </w:numPr>
      </w:pPr>
      <w:r w:rsidRPr="008052B8">
        <w:t>Mahesh did not provide a definitive answer and requested the incident/requirement details for review.</w:t>
      </w:r>
    </w:p>
    <w:p w14:paraId="6AC4E72C" w14:textId="77777777" w:rsidR="008052B8" w:rsidRPr="008052B8" w:rsidRDefault="008052B8" w:rsidP="008052B8">
      <w:pPr>
        <w:rPr>
          <w:b/>
          <w:bCs/>
        </w:rPr>
      </w:pPr>
      <w:r w:rsidRPr="008052B8">
        <w:rPr>
          <w:b/>
          <w:bCs/>
        </w:rPr>
        <w:t>11. APAC cluster instability and capacity</w:t>
      </w:r>
    </w:p>
    <w:p w14:paraId="1EE56092" w14:textId="77777777" w:rsidR="008052B8" w:rsidRPr="008052B8" w:rsidRDefault="008052B8" w:rsidP="008052B8">
      <w:pPr>
        <w:numPr>
          <w:ilvl w:val="0"/>
          <w:numId w:val="11"/>
        </w:numPr>
      </w:pPr>
      <w:r w:rsidRPr="008052B8">
        <w:t>APAC had several weeks of failures, although the latest week was stable.</w:t>
      </w:r>
    </w:p>
    <w:p w14:paraId="60B695EE" w14:textId="77777777" w:rsidR="008052B8" w:rsidRPr="008052B8" w:rsidRDefault="008052B8" w:rsidP="008052B8">
      <w:pPr>
        <w:numPr>
          <w:ilvl w:val="0"/>
          <w:numId w:val="11"/>
        </w:numPr>
      </w:pPr>
      <w:r w:rsidRPr="008052B8">
        <w:t>CTI noted workload changes may explain the recent stability, but the underlying issue may involve VM-level contention and mandatory processes such as Tanium.</w:t>
      </w:r>
    </w:p>
    <w:p w14:paraId="57A2C3F2" w14:textId="77777777" w:rsidR="008052B8" w:rsidRPr="008052B8" w:rsidRDefault="008052B8" w:rsidP="008052B8">
      <w:pPr>
        <w:numPr>
          <w:ilvl w:val="0"/>
          <w:numId w:val="11"/>
        </w:numPr>
      </w:pPr>
      <w:r w:rsidRPr="008052B8">
        <w:t>Moving to physical hardware could reduce VM resource contention but would not eliminate Tanium or other required processes.</w:t>
      </w:r>
    </w:p>
    <w:p w14:paraId="1A43F7C1" w14:textId="77777777" w:rsidR="008052B8" w:rsidRPr="008052B8" w:rsidRDefault="008052B8" w:rsidP="008052B8">
      <w:pPr>
        <w:numPr>
          <w:ilvl w:val="0"/>
          <w:numId w:val="11"/>
        </w:numPr>
      </w:pPr>
      <w:r w:rsidRPr="008052B8">
        <w:t>Physical hardware would need to exist in the relevant data-</w:t>
      </w:r>
      <w:proofErr w:type="spellStart"/>
      <w:r w:rsidRPr="008052B8">
        <w:t>center</w:t>
      </w:r>
      <w:proofErr w:type="spellEnd"/>
      <w:r w:rsidRPr="008052B8">
        <w:t xml:space="preserve"> location; moving servers between regions is not practical.</w:t>
      </w:r>
    </w:p>
    <w:p w14:paraId="3C845C9D" w14:textId="77777777" w:rsidR="008052B8" w:rsidRPr="008052B8" w:rsidRDefault="008052B8" w:rsidP="008052B8">
      <w:pPr>
        <w:numPr>
          <w:ilvl w:val="0"/>
          <w:numId w:val="11"/>
        </w:numPr>
      </w:pPr>
      <w:r w:rsidRPr="008052B8">
        <w:t>Near-term actions are to apply resource-group guardrails similar to NAM, identify outlier queries, and continue monitoring. CTI will also explore whether released hardware can be repurposed.</w:t>
      </w:r>
    </w:p>
    <w:p w14:paraId="5D54E769" w14:textId="77777777" w:rsidR="008052B8" w:rsidRDefault="008052B8"/>
    <w:sectPr w:rsidR="0080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7A9"/>
    <w:multiLevelType w:val="multilevel"/>
    <w:tmpl w:val="D62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2C64"/>
    <w:multiLevelType w:val="multilevel"/>
    <w:tmpl w:val="85D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E6C"/>
    <w:multiLevelType w:val="multilevel"/>
    <w:tmpl w:val="03A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222"/>
    <w:multiLevelType w:val="multilevel"/>
    <w:tmpl w:val="8FC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1D54"/>
    <w:multiLevelType w:val="multilevel"/>
    <w:tmpl w:val="B76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4847"/>
    <w:multiLevelType w:val="multilevel"/>
    <w:tmpl w:val="25C2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23758"/>
    <w:multiLevelType w:val="multilevel"/>
    <w:tmpl w:val="F48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7616F"/>
    <w:multiLevelType w:val="multilevel"/>
    <w:tmpl w:val="404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A6319"/>
    <w:multiLevelType w:val="multilevel"/>
    <w:tmpl w:val="E25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D4B0B"/>
    <w:multiLevelType w:val="multilevel"/>
    <w:tmpl w:val="773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14B5E"/>
    <w:multiLevelType w:val="multilevel"/>
    <w:tmpl w:val="1CD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765891">
    <w:abstractNumId w:val="1"/>
  </w:num>
  <w:num w:numId="2" w16cid:durableId="1453672197">
    <w:abstractNumId w:val="0"/>
  </w:num>
  <w:num w:numId="3" w16cid:durableId="2090224999">
    <w:abstractNumId w:val="7"/>
  </w:num>
  <w:num w:numId="4" w16cid:durableId="1352756258">
    <w:abstractNumId w:val="5"/>
  </w:num>
  <w:num w:numId="5" w16cid:durableId="1008098847">
    <w:abstractNumId w:val="2"/>
  </w:num>
  <w:num w:numId="6" w16cid:durableId="1883856201">
    <w:abstractNumId w:val="3"/>
  </w:num>
  <w:num w:numId="7" w16cid:durableId="1429231103">
    <w:abstractNumId w:val="4"/>
  </w:num>
  <w:num w:numId="8" w16cid:durableId="1305313134">
    <w:abstractNumId w:val="9"/>
  </w:num>
  <w:num w:numId="9" w16cid:durableId="1053776712">
    <w:abstractNumId w:val="10"/>
  </w:num>
  <w:num w:numId="10" w16cid:durableId="1539203550">
    <w:abstractNumId w:val="6"/>
  </w:num>
  <w:num w:numId="11" w16cid:durableId="1570578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B8"/>
    <w:rsid w:val="002F2BBA"/>
    <w:rsid w:val="0080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9F30"/>
  <w15:chartTrackingRefBased/>
  <w15:docId w15:val="{B722A830-C5B4-4ADF-9614-B60C40DB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2026-10-29T14:33:00Z</dcterms:created>
  <dcterms:modified xsi:type="dcterms:W3CDTF">2026-10-29T14:34:00Z</dcterms:modified>
</cp:coreProperties>
</file>