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BD535" w14:textId="77777777" w:rsidR="00447F52" w:rsidRPr="00447F52" w:rsidRDefault="00447F52" w:rsidP="00447F52">
      <w:r w:rsidRPr="00447F52">
        <w:t xml:space="preserve">The discussion separated two kinds of Hive </w:t>
      </w:r>
      <w:proofErr w:type="spellStart"/>
      <w:r w:rsidRPr="00447F52">
        <w:t>Metastore</w:t>
      </w:r>
      <w:proofErr w:type="spellEnd"/>
      <w:r w:rsidRPr="00447F52">
        <w:t xml:space="preserve"> (HMS):</w:t>
      </w:r>
    </w:p>
    <w:p w14:paraId="2E9F4CFD" w14:textId="77777777" w:rsidR="00447F52" w:rsidRPr="00447F52" w:rsidRDefault="00447F52" w:rsidP="00447F52">
      <w:pPr>
        <w:numPr>
          <w:ilvl w:val="0"/>
          <w:numId w:val="1"/>
        </w:numPr>
      </w:pPr>
      <w:r w:rsidRPr="00447F52">
        <w:rPr>
          <w:b/>
          <w:bCs/>
        </w:rPr>
        <w:t>EAP/Hadoop HMS:</w:t>
      </w:r>
      <w:r w:rsidRPr="00447F52">
        <w:t xml:space="preserve"> This already exists as part of EAP onboarding and is used by Starburst to access Hadoop/HDFS data. It is not a Starburst-provided cloud </w:t>
      </w:r>
      <w:proofErr w:type="spellStart"/>
      <w:r w:rsidRPr="00447F52">
        <w:t>metastore</w:t>
      </w:r>
      <w:proofErr w:type="spellEnd"/>
      <w:r w:rsidRPr="00447F52">
        <w:t xml:space="preserve"> and will remain unchanged.</w:t>
      </w:r>
    </w:p>
    <w:p w14:paraId="30594D9E" w14:textId="77777777" w:rsidR="00447F52" w:rsidRPr="00447F52" w:rsidRDefault="00447F52" w:rsidP="00447F52">
      <w:pPr>
        <w:numPr>
          <w:ilvl w:val="0"/>
          <w:numId w:val="1"/>
        </w:numPr>
      </w:pPr>
      <w:r w:rsidRPr="00447F52">
        <w:rPr>
          <w:b/>
          <w:bCs/>
        </w:rPr>
        <w:t>CTI-provided cloud HMS:</w:t>
      </w:r>
      <w:r w:rsidRPr="00447F52">
        <w:t xml:space="preserve"> This is for </w:t>
      </w:r>
      <w:proofErr w:type="spellStart"/>
      <w:r w:rsidRPr="00447F52">
        <w:t>cataloging</w:t>
      </w:r>
      <w:proofErr w:type="spellEnd"/>
      <w:r w:rsidRPr="00447F52">
        <w:t>/querying cloud object-storage data, such as AWS S3 or IBM S3. NAM already has one, obtained through a previous approved pipeline.</w:t>
      </w:r>
    </w:p>
    <w:p w14:paraId="6D0379B7" w14:textId="77777777" w:rsidR="00447F52" w:rsidRPr="00447F52" w:rsidRDefault="00447F52" w:rsidP="00447F52">
      <w:r w:rsidRPr="00447F52">
        <w:t xml:space="preserve">Regarding SDC (Starburst Data </w:t>
      </w:r>
      <w:proofErr w:type="spellStart"/>
      <w:r w:rsidRPr="00447F52">
        <w:t>Catalog</w:t>
      </w:r>
      <w:proofErr w:type="spellEnd"/>
      <w:r w:rsidRPr="00447F52">
        <w:t>):</w:t>
      </w:r>
    </w:p>
    <w:p w14:paraId="39616116" w14:textId="77777777" w:rsidR="00447F52" w:rsidRPr="00447F52" w:rsidRDefault="00447F52" w:rsidP="00447F52">
      <w:pPr>
        <w:numPr>
          <w:ilvl w:val="0"/>
          <w:numId w:val="2"/>
        </w:numPr>
      </w:pPr>
      <w:r w:rsidRPr="00447F52">
        <w:t xml:space="preserve">With the Starburst </w:t>
      </w:r>
      <w:r w:rsidRPr="00447F52">
        <w:rPr>
          <w:b/>
          <w:bCs/>
        </w:rPr>
        <w:t>482 upgrade</w:t>
      </w:r>
      <w:r w:rsidRPr="00447F52">
        <w:t xml:space="preserve">, SDC becomes the supported </w:t>
      </w:r>
      <w:proofErr w:type="spellStart"/>
      <w:r w:rsidRPr="00447F52">
        <w:t>catalog</w:t>
      </w:r>
      <w:proofErr w:type="spellEnd"/>
      <w:r w:rsidRPr="00447F52">
        <w:t xml:space="preserve"> approach; HMS is no longer the intended Starburst path.</w:t>
      </w:r>
    </w:p>
    <w:p w14:paraId="67D6495A" w14:textId="77777777" w:rsidR="00447F52" w:rsidRPr="00447F52" w:rsidRDefault="00447F52" w:rsidP="00447F52">
      <w:pPr>
        <w:numPr>
          <w:ilvl w:val="0"/>
          <w:numId w:val="2"/>
        </w:numPr>
      </w:pPr>
      <w:r w:rsidRPr="00447F52">
        <w:t>CTI will migrate/upgrade its existing cloud HMS setups—such as NAM’s—to SDC.</w:t>
      </w:r>
    </w:p>
    <w:p w14:paraId="22C90306" w14:textId="77777777" w:rsidR="00447F52" w:rsidRPr="00447F52" w:rsidRDefault="00447F52" w:rsidP="00447F52">
      <w:pPr>
        <w:numPr>
          <w:ilvl w:val="0"/>
          <w:numId w:val="2"/>
        </w:numPr>
      </w:pPr>
      <w:r w:rsidRPr="00447F52">
        <w:t xml:space="preserve">An existing HMS does </w:t>
      </w:r>
      <w:r w:rsidRPr="00447F52">
        <w:rPr>
          <w:b/>
          <w:bCs/>
        </w:rPr>
        <w:t>not</w:t>
      </w:r>
      <w:r w:rsidRPr="00447F52">
        <w:t xml:space="preserve"> automatically entitle a region to SDC. Regions without a CTI-provided cloud HMS, such as EMEA/APAC, need a new pipeline/request and approval.</w:t>
      </w:r>
    </w:p>
    <w:p w14:paraId="1485C44A" w14:textId="77777777" w:rsidR="00447F52" w:rsidRPr="00447F52" w:rsidRDefault="00447F52" w:rsidP="00447F52">
      <w:pPr>
        <w:numPr>
          <w:ilvl w:val="0"/>
          <w:numId w:val="2"/>
        </w:numPr>
      </w:pPr>
      <w:r w:rsidRPr="00447F52">
        <w:t xml:space="preserve">New approved requests will provision </w:t>
      </w:r>
      <w:r w:rsidRPr="00447F52">
        <w:rPr>
          <w:b/>
          <w:bCs/>
        </w:rPr>
        <w:t>SDC directly</w:t>
      </w:r>
      <w:r w:rsidRPr="00447F52">
        <w:t>, not a new HMS.</w:t>
      </w:r>
    </w:p>
    <w:p w14:paraId="6AC80CD1" w14:textId="77777777" w:rsidR="00447F52" w:rsidRPr="00447F52" w:rsidRDefault="00447F52" w:rsidP="00447F52">
      <w:pPr>
        <w:numPr>
          <w:ilvl w:val="0"/>
          <w:numId w:val="2"/>
        </w:numPr>
      </w:pPr>
      <w:r w:rsidRPr="00447F52">
        <w:t xml:space="preserve">One regional SDC can </w:t>
      </w:r>
      <w:proofErr w:type="spellStart"/>
      <w:r w:rsidRPr="00447F52">
        <w:t>catalog</w:t>
      </w:r>
      <w:proofErr w:type="spellEnd"/>
      <w:r w:rsidRPr="00447F52">
        <w:t xml:space="preserve"> multiple cloud sources/buckets—AWS S3, IBM S3, and potentially Google Cloud—so a separate </w:t>
      </w:r>
      <w:proofErr w:type="spellStart"/>
      <w:r w:rsidRPr="00447F52">
        <w:t>metastore</w:t>
      </w:r>
      <w:proofErr w:type="spellEnd"/>
      <w:r w:rsidRPr="00447F52">
        <w:t xml:space="preserve"> is not needed per bucket.</w:t>
      </w:r>
    </w:p>
    <w:p w14:paraId="17A0A823" w14:textId="77777777" w:rsidR="00447F52" w:rsidRPr="00447F52" w:rsidRDefault="00447F52" w:rsidP="00447F52">
      <w:pPr>
        <w:numPr>
          <w:ilvl w:val="0"/>
          <w:numId w:val="2"/>
        </w:numPr>
      </w:pPr>
      <w:r w:rsidRPr="00447F52">
        <w:t>EMEA/APAC could technically reuse NAM’s HMS/SDC temporarily, but this would add metadata latency and require cross-border approval because metadata would traverse regions.</w:t>
      </w:r>
    </w:p>
    <w:p w14:paraId="095F0416" w14:textId="77777777" w:rsidR="00447F52" w:rsidRPr="00447F52" w:rsidRDefault="00447F52" w:rsidP="00447F52">
      <w:pPr>
        <w:numPr>
          <w:ilvl w:val="0"/>
          <w:numId w:val="2"/>
        </w:numPr>
      </w:pPr>
      <w:r w:rsidRPr="00447F52">
        <w:t xml:space="preserve">The team expected a new SDC approval/procurement process to take roughly </w:t>
      </w:r>
      <w:r w:rsidRPr="00447F52">
        <w:rPr>
          <w:b/>
          <w:bCs/>
        </w:rPr>
        <w:t>two to three months</w:t>
      </w:r>
      <w:r w:rsidRPr="00447F52">
        <w:t>, so they planned to assess whether NAM’s shared setup can bridge urgent use cases.</w:t>
      </w:r>
    </w:p>
    <w:p w14:paraId="1D2C6A67" w14:textId="77777777" w:rsidR="00447F52" w:rsidRPr="00447F52" w:rsidRDefault="00447F52" w:rsidP="00447F52">
      <w:pPr>
        <w:numPr>
          <w:ilvl w:val="0"/>
          <w:numId w:val="2"/>
        </w:numPr>
      </w:pPr>
      <w:r w:rsidRPr="00447F52">
        <w:t>Application-owned HMS instances may remain supported if they meet CTI security requirements, including controls such as Kerberos/SSL. CTI will review non-compliant setups and may shut them down.</w:t>
      </w:r>
    </w:p>
    <w:p w14:paraId="7FC21108" w14:textId="77777777" w:rsidR="00447F52" w:rsidRDefault="00447F52"/>
    <w:sectPr w:rsidR="00447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46405"/>
    <w:multiLevelType w:val="multilevel"/>
    <w:tmpl w:val="B53C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8491D"/>
    <w:multiLevelType w:val="multilevel"/>
    <w:tmpl w:val="3690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186186">
    <w:abstractNumId w:val="1"/>
  </w:num>
  <w:num w:numId="2" w16cid:durableId="846942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F52"/>
    <w:rsid w:val="002F2BBA"/>
    <w:rsid w:val="0044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3596F"/>
  <w15:chartTrackingRefBased/>
  <w15:docId w15:val="{00F4EAE1-1121-40E8-836A-857743FFA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F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</cp:revision>
  <dcterms:created xsi:type="dcterms:W3CDTF">2026-10-29T14:35:00Z</dcterms:created>
  <dcterms:modified xsi:type="dcterms:W3CDTF">2026-10-29T14:36:00Z</dcterms:modified>
</cp:coreProperties>
</file>