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1758" w14:textId="77777777" w:rsidR="00035100" w:rsidRPr="00035100" w:rsidRDefault="00035100" w:rsidP="00035100">
      <w:pPr>
        <w:rPr>
          <w:b/>
          <w:bCs/>
        </w:rPr>
      </w:pPr>
      <w:r w:rsidRPr="00035100">
        <w:rPr>
          <w:b/>
          <w:bCs/>
        </w:rPr>
        <w:t>Starburst RSA Call Summary — Technical Review &amp; Action Items</w:t>
      </w:r>
    </w:p>
    <w:p w14:paraId="750A3A2C" w14:textId="77777777" w:rsidR="00035100" w:rsidRPr="00035100" w:rsidRDefault="00035100" w:rsidP="00035100">
      <w:r w:rsidRPr="00035100">
        <w:t xml:space="preserve">Based on the meeting transcript, this call covered two major topics: repurposing the idle real-time Starburst clusters for analytics workloads and planning the migration from Hive </w:t>
      </w:r>
      <w:proofErr w:type="spellStart"/>
      <w:r w:rsidRPr="00035100">
        <w:t>Metastore</w:t>
      </w:r>
      <w:proofErr w:type="spellEnd"/>
      <w:r w:rsidRPr="00035100">
        <w:t xml:space="preserve"> (HMS) to Starburst Data </w:t>
      </w:r>
      <w:proofErr w:type="spellStart"/>
      <w:r w:rsidRPr="00035100">
        <w:t>Catalog</w:t>
      </w:r>
      <w:proofErr w:type="spellEnd"/>
      <w:r w:rsidRPr="00035100">
        <w:t xml:space="preserve"> (SDC).</w:t>
      </w:r>
    </w:p>
    <w:p w14:paraId="24669476" w14:textId="77777777" w:rsidR="00035100" w:rsidRPr="00035100" w:rsidRDefault="00035100" w:rsidP="00035100">
      <w:r w:rsidRPr="00035100">
        <w:t xml:space="preserve">From a Starburst RSA (Resource Scheduling and Access) perspective, the most important considerations are workload isolation, resource-group configuration, authorization, </w:t>
      </w:r>
      <w:proofErr w:type="spellStart"/>
      <w:r w:rsidRPr="00035100">
        <w:t>catalog</w:t>
      </w:r>
      <w:proofErr w:type="spellEnd"/>
      <w:r w:rsidRPr="00035100">
        <w:t xml:space="preserve"> consistency, cluster readiness, and the risk of migrating metadata before the new </w:t>
      </w:r>
      <w:proofErr w:type="spellStart"/>
      <w:r w:rsidRPr="00035100">
        <w:t>catalog</w:t>
      </w:r>
      <w:proofErr w:type="spellEnd"/>
      <w:r w:rsidRPr="00035100">
        <w:t xml:space="preserve"> is fully validated.</w:t>
      </w:r>
    </w:p>
    <w:p w14:paraId="0E5A2AB1" w14:textId="77777777" w:rsidR="00035100" w:rsidRPr="00035100" w:rsidRDefault="00035100" w:rsidP="00035100">
      <w:r w:rsidRPr="00035100">
        <w:t>Source: Uploaded meeting transcript, SB_call.txt. The summary below distinguishes what was discussed from additional technical interpretation.</w:t>
      </w:r>
    </w:p>
    <w:p w14:paraId="34248824" w14:textId="77777777" w:rsidR="00035100" w:rsidRPr="00035100" w:rsidRDefault="00035100" w:rsidP="00035100">
      <w:pPr>
        <w:rPr>
          <w:b/>
          <w:bCs/>
        </w:rPr>
      </w:pPr>
      <w:r w:rsidRPr="00035100">
        <w:rPr>
          <w:b/>
          <w:bCs/>
        </w:rPr>
        <w:t>1. Executive summary</w:t>
      </w:r>
    </w:p>
    <w:p w14:paraId="78879D9F" w14:textId="77777777" w:rsidR="00035100" w:rsidRPr="00035100" w:rsidRDefault="00035100" w:rsidP="00035100">
      <w:r w:rsidRPr="00035100">
        <w:t>Decision 1 — Repurpose idle real-time infrastructure</w:t>
      </w:r>
    </w:p>
    <w:p w14:paraId="05B6E715" w14:textId="77777777" w:rsidR="00035100" w:rsidRPr="00035100" w:rsidRDefault="00035100" w:rsidP="00035100">
      <w:r w:rsidRPr="00035100">
        <w:t>Four existing HA clusters, each with one coordinator and ten workers, are proposed to be consolidated into a smaller analytics-oriented deployment using two coordinators and a shared pool of 40 workers. The goal is to reuse existing capacity rather than pay for idle infrastructure. [Transcript lines 44–55]</w:t>
      </w:r>
    </w:p>
    <w:p w14:paraId="54CBD018" w14:textId="77777777" w:rsidR="00035100" w:rsidRPr="00035100" w:rsidRDefault="00035100" w:rsidP="00035100">
      <w:r w:rsidRPr="00035100">
        <w:t>Decision 2 — Reuse common governance components</w:t>
      </w:r>
    </w:p>
    <w:p w14:paraId="29FAFCCA" w14:textId="77777777" w:rsidR="00035100" w:rsidRPr="00035100" w:rsidRDefault="00035100" w:rsidP="00035100">
      <w:r w:rsidRPr="00035100">
        <w:t xml:space="preserve">The proposed design reuses the existing NAM Ranger policies and HMS, allowing existing user entitlements and metadata to be shared where </w:t>
      </w:r>
      <w:proofErr w:type="spellStart"/>
      <w:r w:rsidRPr="00035100">
        <w:t>catalog</w:t>
      </w:r>
      <w:proofErr w:type="spellEnd"/>
      <w:r w:rsidRPr="00035100">
        <w:t xml:space="preserve"> names and configurations align. [Lines 52–55, 93–108]</w:t>
      </w:r>
    </w:p>
    <w:p w14:paraId="1CC0A395" w14:textId="77777777" w:rsidR="00035100" w:rsidRPr="00035100" w:rsidRDefault="00035100" w:rsidP="00035100">
      <w:r w:rsidRPr="00035100">
        <w:t>Decision 3 — Separate workloads logically and operationally</w:t>
      </w:r>
    </w:p>
    <w:p w14:paraId="25504892" w14:textId="77777777" w:rsidR="00035100" w:rsidRPr="00035100" w:rsidRDefault="00035100" w:rsidP="00035100">
      <w:r w:rsidRPr="00035100">
        <w:t>A dedicated connection URL and resource-group controls are being considered so selected users and workloads can use the new analytics cluster without competing with the larger ad hoc analytics workload. [Lines 110–137]</w:t>
      </w:r>
    </w:p>
    <w:p w14:paraId="13FCE0C8" w14:textId="77777777" w:rsidR="00035100" w:rsidRPr="00035100" w:rsidRDefault="00035100" w:rsidP="00035100">
      <w:r w:rsidRPr="00035100">
        <w:t>Decision 4 — Expedite UAT and production preparation</w:t>
      </w:r>
    </w:p>
    <w:p w14:paraId="67482707" w14:textId="77777777" w:rsidR="00035100" w:rsidRPr="00035100" w:rsidRDefault="00035100" w:rsidP="00035100">
      <w:r w:rsidRPr="00035100">
        <w:t>The team wants UAT and production work to proceed in parallel, subject to operational capacity and required approvals. A production freeze in early December makes the timeline important. The frequently mentioned 3–4 weeks is an estimate, not a confirmed delivery commitment. [Lines 174–226]</w:t>
      </w:r>
    </w:p>
    <w:p w14:paraId="560E3798" w14:textId="77777777" w:rsidR="00035100" w:rsidRPr="00035100" w:rsidRDefault="00035100" w:rsidP="00035100">
      <w:r w:rsidRPr="00035100">
        <w:t>Decision 5 — Test SDC before migrating existing metadata</w:t>
      </w:r>
    </w:p>
    <w:p w14:paraId="7A77AC50" w14:textId="77777777" w:rsidR="00035100" w:rsidRPr="00035100" w:rsidRDefault="00035100" w:rsidP="00035100">
      <w:r w:rsidRPr="00035100">
        <w:t xml:space="preserve">The proposed safe approach is to provision SDC, create a separate test </w:t>
      </w:r>
      <w:proofErr w:type="spellStart"/>
      <w:r w:rsidRPr="00035100">
        <w:t>catalog</w:t>
      </w:r>
      <w:proofErr w:type="spellEnd"/>
      <w:r w:rsidRPr="00035100">
        <w:t>, and validate it in Dev/UAT before committing to the existing HMS metadata migration. Whether a full migration can be repeated later remains unresolved. [Lines 253–320]</w:t>
      </w:r>
    </w:p>
    <w:p w14:paraId="5C1A810E" w14:textId="77777777" w:rsidR="00035100" w:rsidRPr="00035100" w:rsidRDefault="00035100" w:rsidP="00035100">
      <w:pPr>
        <w:rPr>
          <w:b/>
          <w:bCs/>
        </w:rPr>
      </w:pPr>
      <w:r w:rsidRPr="00035100">
        <w:rPr>
          <w:b/>
          <w:bCs/>
        </w:rPr>
        <w:t>2. Topic A — Repurposing the real-time cluster</w:t>
      </w:r>
    </w:p>
    <w:p w14:paraId="7FD5E9FF" w14:textId="77777777" w:rsidR="00035100" w:rsidRPr="00035100" w:rsidRDefault="00035100" w:rsidP="00035100">
      <w:pPr>
        <w:rPr>
          <w:b/>
          <w:bCs/>
        </w:rPr>
      </w:pPr>
      <w:r w:rsidRPr="00035100">
        <w:rPr>
          <w:b/>
          <w:bCs/>
        </w:rPr>
        <w:lastRenderedPageBreak/>
        <w:t>Why the change is needed</w:t>
      </w:r>
    </w:p>
    <w:p w14:paraId="4C7EDBC4" w14:textId="77777777" w:rsidR="00035100" w:rsidRPr="00035100" w:rsidRDefault="00035100" w:rsidP="00035100">
      <w:r w:rsidRPr="00035100">
        <w:t>The existing real-time capacity has been largely idle for approximately 1.5–2 years. Earlier regional real-time clusters in APAC and EMEA had already been consolidated into the adult cluster. Meanwhile, AML 360 and program-card context entity-resolution workloads have increased demand for Starburst UAT and production, with expected usage from the relevant group reportedly increasing by approximately 15 times. [Lines 1–13]</w:t>
      </w:r>
    </w:p>
    <w:p w14:paraId="39C1B90F" w14:textId="77777777" w:rsidR="00035100" w:rsidRPr="00035100" w:rsidRDefault="00035100" w:rsidP="00035100">
      <w:r w:rsidRPr="00035100">
        <w:t>The proposed solution is to repurpose the unused NAM real-time infrastructure for analytics instead of immediately rebuilding capacity from scratch.</w:t>
      </w:r>
    </w:p>
    <w:p w14:paraId="57E53988" w14:textId="77777777" w:rsidR="00035100" w:rsidRPr="00035100" w:rsidRDefault="00035100" w:rsidP="00035100">
      <w:pPr>
        <w:rPr>
          <w:b/>
          <w:bCs/>
        </w:rPr>
      </w:pPr>
      <w:r w:rsidRPr="00035100">
        <w:rPr>
          <w:b/>
          <w:bCs/>
        </w:rPr>
        <w:t>Proposed architecture</w:t>
      </w:r>
    </w:p>
    <w:p w14:paraId="0FDD0262" w14:textId="77777777" w:rsidR="00035100" w:rsidRPr="00035100" w:rsidRDefault="00035100" w:rsidP="00035100">
      <w:r w:rsidRPr="00035100">
        <w:t>Existing NAM real-time infrastructure</w:t>
      </w:r>
    </w:p>
    <w:p w14:paraId="2CB11343" w14:textId="77777777" w:rsidR="00035100" w:rsidRPr="00035100" w:rsidRDefault="00035100" w:rsidP="00035100">
      <w:r w:rsidRPr="00035100">
        <w:t xml:space="preserve">4 HA clusters · 4 coordinators · 40 </w:t>
      </w:r>
      <w:proofErr w:type="gramStart"/>
      <w:r w:rsidRPr="00035100">
        <w:t>workers</w:t>
      </w:r>
      <w:proofErr w:type="gramEnd"/>
      <w:r w:rsidRPr="00035100">
        <w:t xml:space="preserve"> total</w:t>
      </w:r>
    </w:p>
    <w:p w14:paraId="203CCAE2" w14:textId="77777777" w:rsidR="00035100" w:rsidRPr="00035100" w:rsidRDefault="00035100" w:rsidP="00035100">
      <w:r w:rsidRPr="00035100">
        <w:t>Proposed analytics deployment</w:t>
      </w:r>
    </w:p>
    <w:p w14:paraId="573FF5E6" w14:textId="77777777" w:rsidR="00035100" w:rsidRPr="00035100" w:rsidRDefault="00035100" w:rsidP="00035100">
      <w:r w:rsidRPr="00035100">
        <w:t>Coordinator 1</w:t>
      </w:r>
    </w:p>
    <w:p w14:paraId="4BC9626E" w14:textId="77777777" w:rsidR="00035100" w:rsidRPr="00035100" w:rsidRDefault="00035100" w:rsidP="00035100">
      <w:r w:rsidRPr="00035100">
        <w:t>Coordinator 2</w:t>
      </w:r>
    </w:p>
    <w:p w14:paraId="07D1E2B1" w14:textId="77777777" w:rsidR="00035100" w:rsidRPr="00035100" w:rsidRDefault="00035100" w:rsidP="00035100">
      <w:r w:rsidRPr="00035100">
        <w:t>WIP/DNS and load balancing, as discussed</w:t>
      </w:r>
    </w:p>
    <w:p w14:paraId="19F253C7" w14:textId="77777777" w:rsidR="00035100" w:rsidRPr="00035100" w:rsidRDefault="00035100" w:rsidP="00035100">
      <w:r w:rsidRPr="00035100">
        <w:t>Shared worker pool</w:t>
      </w:r>
    </w:p>
    <w:p w14:paraId="0084CAF8" w14:textId="77777777" w:rsidR="00035100" w:rsidRPr="00035100" w:rsidRDefault="00035100" w:rsidP="00035100">
      <w:pPr>
        <w:rPr>
          <w:b/>
          <w:bCs/>
        </w:rPr>
      </w:pPr>
      <w:r w:rsidRPr="00035100">
        <w:rPr>
          <w:b/>
          <w:bCs/>
        </w:rPr>
        <w:t>40 workers</w:t>
      </w:r>
    </w:p>
    <w:p w14:paraId="016B3F20" w14:textId="77777777" w:rsidR="00035100" w:rsidRPr="00035100" w:rsidRDefault="00035100" w:rsidP="00035100">
      <w:r w:rsidRPr="00035100">
        <w:t>Proposed common execution capacity</w:t>
      </w:r>
    </w:p>
    <w:p w14:paraId="0A61567E" w14:textId="77777777" w:rsidR="00035100" w:rsidRPr="00035100" w:rsidRDefault="00035100" w:rsidP="00035100">
      <w:r w:rsidRPr="00035100">
        <w:t>Conceptual interpretation of the call, not a validated deployment diagram.</w:t>
      </w:r>
    </w:p>
    <w:p w14:paraId="533FD0A9" w14:textId="77777777" w:rsidR="00035100" w:rsidRPr="00035100" w:rsidRDefault="00035100" w:rsidP="00035100">
      <w:r w:rsidRPr="00035100">
        <w:t>The discussion proposes two coordinators fronted by WIP/DNS and all 40 workers pooled together, following the general pattern of the existing batch cluster. The precise implementation details and final application/DNS naming still need confirmation. [Lines 44–55, 117–125]</w:t>
      </w:r>
    </w:p>
    <w:p w14:paraId="5234CD64" w14:textId="77777777" w:rsidR="00035100" w:rsidRPr="00035100" w:rsidRDefault="00035100" w:rsidP="00035100">
      <w:pPr>
        <w:rPr>
          <w:b/>
          <w:bCs/>
        </w:rPr>
      </w:pPr>
      <w:r w:rsidRPr="00035100">
        <w:rPr>
          <w:b/>
          <w:bCs/>
        </w:rPr>
        <w:t>Key technical implications</w:t>
      </w:r>
    </w:p>
    <w:p w14:paraId="4EB84893" w14:textId="77777777" w:rsidR="00035100" w:rsidRPr="00035100" w:rsidRDefault="00035100" w:rsidP="00035100">
      <w:pPr>
        <w:numPr>
          <w:ilvl w:val="0"/>
          <w:numId w:val="1"/>
        </w:numPr>
      </w:pPr>
      <w:r w:rsidRPr="00035100">
        <w:t>Capacity: The team cited approximately 200–240 CPU cores of current usage for the relevant workload and estimated roughly 400 cores across the 40-worker cluster. The expectation was that the capacity should be sufficient for a dedicated workload, but this is not a substitute for workload benchmarking.</w:t>
      </w:r>
    </w:p>
    <w:p w14:paraId="0EC501AD" w14:textId="77777777" w:rsidR="00035100" w:rsidRPr="00035100" w:rsidRDefault="00035100" w:rsidP="00035100">
      <w:pPr>
        <w:numPr>
          <w:ilvl w:val="0"/>
          <w:numId w:val="1"/>
        </w:numPr>
      </w:pPr>
      <w:r w:rsidRPr="00035100">
        <w:t>Cluster readiness: The infrastructure was originally built for a different purpose, so WIPs, DNS, service identities and other prerequisites must be established.</w:t>
      </w:r>
    </w:p>
    <w:p w14:paraId="36DE0E42" w14:textId="77777777" w:rsidR="00035100" w:rsidRPr="00035100" w:rsidRDefault="00035100" w:rsidP="00035100">
      <w:pPr>
        <w:numPr>
          <w:ilvl w:val="0"/>
          <w:numId w:val="1"/>
        </w:numPr>
      </w:pPr>
      <w:r w:rsidRPr="00035100">
        <w:lastRenderedPageBreak/>
        <w:t>Access control: Existing NAM ad hoc authorization groups may be reused, avoiding duplicate onboarding, but the new connection endpoint and any dedicated workload restrictions must be explicitly configured.</w:t>
      </w:r>
    </w:p>
    <w:p w14:paraId="7FD5CD98" w14:textId="77777777" w:rsidR="00035100" w:rsidRPr="00035100" w:rsidRDefault="00035100" w:rsidP="00035100">
      <w:pPr>
        <w:numPr>
          <w:ilvl w:val="0"/>
          <w:numId w:val="1"/>
        </w:numPr>
      </w:pPr>
      <w:proofErr w:type="spellStart"/>
      <w:r w:rsidRPr="00035100">
        <w:t>Catalog</w:t>
      </w:r>
      <w:proofErr w:type="spellEnd"/>
      <w:r w:rsidRPr="00035100">
        <w:t xml:space="preserve"> availability: </w:t>
      </w:r>
      <w:proofErr w:type="spellStart"/>
      <w:r w:rsidRPr="00035100">
        <w:t>Catalogs</w:t>
      </w:r>
      <w:proofErr w:type="spellEnd"/>
      <w:r w:rsidRPr="00035100">
        <w:t xml:space="preserve"> are created/configured per cluster. A </w:t>
      </w:r>
      <w:proofErr w:type="spellStart"/>
      <w:r w:rsidRPr="00035100">
        <w:t>catalog</w:t>
      </w:r>
      <w:proofErr w:type="spellEnd"/>
      <w:r w:rsidRPr="00035100">
        <w:t xml:space="preserve"> present in the new analytics cluster is not automatically present in the original ad hoc cluster, and vice versa.</w:t>
      </w:r>
    </w:p>
    <w:p w14:paraId="483D3555" w14:textId="77777777" w:rsidR="00035100" w:rsidRPr="00035100" w:rsidRDefault="00035100" w:rsidP="00035100">
      <w:pPr>
        <w:numPr>
          <w:ilvl w:val="0"/>
          <w:numId w:val="1"/>
        </w:numPr>
      </w:pPr>
      <w:r w:rsidRPr="00035100">
        <w:t>Shared metadata: The common HMS means metadata operations such as statistics analysis and partition synchronization were expected to remain shared rather than needing to be repeated independently on each cluster.</w:t>
      </w:r>
    </w:p>
    <w:p w14:paraId="6F33D41E" w14:textId="77777777" w:rsidR="00035100" w:rsidRPr="00035100" w:rsidRDefault="00035100" w:rsidP="00035100">
      <w:r w:rsidRPr="00035100">
        <w:t>These details were discussed in the transcript; final configuration and validation remain implementation responsibilities.</w:t>
      </w:r>
    </w:p>
    <w:p w14:paraId="325D85B9" w14:textId="77777777" w:rsidR="00035100" w:rsidRPr="00035100" w:rsidRDefault="00035100" w:rsidP="00035100">
      <w:pPr>
        <w:rPr>
          <w:b/>
          <w:bCs/>
        </w:rPr>
      </w:pPr>
      <w:r w:rsidRPr="00035100">
        <w:rPr>
          <w:b/>
          <w:bCs/>
        </w:rPr>
        <w:t>3. Topic A — Starburst RSA / resource-group design</w:t>
      </w:r>
    </w:p>
    <w:p w14:paraId="48DFE9BE" w14:textId="77777777" w:rsidR="00035100" w:rsidRPr="00035100" w:rsidRDefault="00035100" w:rsidP="00035100">
      <w:r w:rsidRPr="00035100">
        <w:t>This is the area where the meeting has the greatest relevance to Starburst resource management.</w:t>
      </w:r>
    </w:p>
    <w:p w14:paraId="5116E834" w14:textId="77777777" w:rsidR="00035100" w:rsidRPr="00035100" w:rsidRDefault="00035100" w:rsidP="00035100">
      <w:pPr>
        <w:rPr>
          <w:b/>
          <w:bCs/>
        </w:rPr>
      </w:pPr>
      <w:r w:rsidRPr="00035100">
        <w:rPr>
          <w:b/>
          <w:bCs/>
        </w:rPr>
        <w:t>What the team is trying to achieve</w:t>
      </w:r>
    </w:p>
    <w:p w14:paraId="76D6E5FC" w14:textId="77777777" w:rsidR="00035100" w:rsidRPr="00035100" w:rsidRDefault="00035100" w:rsidP="00035100">
      <w:r w:rsidRPr="00035100">
        <w:t>The team initially discussed carving out a separate queue on the existing adult analytics cluster to protect the AML workload. The repurposed cluster offers another option: dedicate separate compute capacity while reusing governance components and underlying data metadata.</w:t>
      </w:r>
    </w:p>
    <w:p w14:paraId="2D41DF3F" w14:textId="77777777" w:rsidR="00035100" w:rsidRPr="00035100" w:rsidRDefault="00035100" w:rsidP="00035100">
      <w:r w:rsidRPr="00035100">
        <w:t>These are two related but distinct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3671"/>
        <w:gridCol w:w="3466"/>
      </w:tblGrid>
      <w:tr w:rsidR="00035100" w:rsidRPr="00035100" w14:paraId="2654EC8C" w14:textId="77777777">
        <w:trPr>
          <w:tblCellSpacing w:w="15" w:type="dxa"/>
        </w:trPr>
        <w:tc>
          <w:tcPr>
            <w:tcW w:w="0" w:type="auto"/>
            <w:vAlign w:val="center"/>
            <w:hideMark/>
          </w:tcPr>
          <w:p w14:paraId="531E408A" w14:textId="77777777" w:rsidR="00035100" w:rsidRPr="00035100" w:rsidRDefault="00035100" w:rsidP="00035100">
            <w:pPr>
              <w:rPr>
                <w:b/>
                <w:bCs/>
              </w:rPr>
            </w:pPr>
            <w:r w:rsidRPr="00035100">
              <w:rPr>
                <w:b/>
                <w:bCs/>
              </w:rPr>
              <w:t>Mechanism</w:t>
            </w:r>
          </w:p>
        </w:tc>
        <w:tc>
          <w:tcPr>
            <w:tcW w:w="0" w:type="auto"/>
            <w:vAlign w:val="center"/>
            <w:hideMark/>
          </w:tcPr>
          <w:p w14:paraId="4A9EC101" w14:textId="77777777" w:rsidR="00035100" w:rsidRPr="00035100" w:rsidRDefault="00035100" w:rsidP="00035100">
            <w:pPr>
              <w:rPr>
                <w:b/>
                <w:bCs/>
              </w:rPr>
            </w:pPr>
            <w:r w:rsidRPr="00035100">
              <w:rPr>
                <w:b/>
                <w:bCs/>
              </w:rPr>
              <w:t>Purpose</w:t>
            </w:r>
          </w:p>
        </w:tc>
        <w:tc>
          <w:tcPr>
            <w:tcW w:w="0" w:type="auto"/>
            <w:vAlign w:val="center"/>
            <w:hideMark/>
          </w:tcPr>
          <w:p w14:paraId="475F1928" w14:textId="77777777" w:rsidR="00035100" w:rsidRPr="00035100" w:rsidRDefault="00035100" w:rsidP="00035100">
            <w:pPr>
              <w:rPr>
                <w:b/>
                <w:bCs/>
              </w:rPr>
            </w:pPr>
            <w:r w:rsidRPr="00035100">
              <w:rPr>
                <w:b/>
                <w:bCs/>
              </w:rPr>
              <w:t>Key consideration</w:t>
            </w:r>
          </w:p>
        </w:tc>
      </w:tr>
      <w:tr w:rsidR="00035100" w:rsidRPr="00035100" w14:paraId="11A21133" w14:textId="77777777">
        <w:trPr>
          <w:tblCellSpacing w:w="15" w:type="dxa"/>
        </w:trPr>
        <w:tc>
          <w:tcPr>
            <w:tcW w:w="0" w:type="auto"/>
            <w:vAlign w:val="center"/>
            <w:hideMark/>
          </w:tcPr>
          <w:p w14:paraId="2303889C" w14:textId="77777777" w:rsidR="00035100" w:rsidRPr="00035100" w:rsidRDefault="00035100" w:rsidP="00035100">
            <w:r w:rsidRPr="00035100">
              <w:t>Resource group / queue</w:t>
            </w:r>
          </w:p>
        </w:tc>
        <w:tc>
          <w:tcPr>
            <w:tcW w:w="0" w:type="auto"/>
            <w:vAlign w:val="center"/>
            <w:hideMark/>
          </w:tcPr>
          <w:p w14:paraId="599C82AA" w14:textId="77777777" w:rsidR="00035100" w:rsidRPr="00035100" w:rsidRDefault="00035100" w:rsidP="00035100">
            <w:r w:rsidRPr="00035100">
              <w:t>Controls query concurrency, queuing and workload scheduling within a cluster</w:t>
            </w:r>
          </w:p>
        </w:tc>
        <w:tc>
          <w:tcPr>
            <w:tcW w:w="0" w:type="auto"/>
            <w:vAlign w:val="center"/>
            <w:hideMark/>
          </w:tcPr>
          <w:p w14:paraId="644DA439" w14:textId="77777777" w:rsidR="00035100" w:rsidRPr="00035100" w:rsidRDefault="00035100" w:rsidP="00035100">
            <w:r w:rsidRPr="00035100">
              <w:t>Other workloads can still compete for shared cluster resources</w:t>
            </w:r>
          </w:p>
        </w:tc>
      </w:tr>
      <w:tr w:rsidR="00035100" w:rsidRPr="00035100" w14:paraId="2CC55565" w14:textId="77777777">
        <w:trPr>
          <w:tblCellSpacing w:w="15" w:type="dxa"/>
        </w:trPr>
        <w:tc>
          <w:tcPr>
            <w:tcW w:w="0" w:type="auto"/>
            <w:vAlign w:val="center"/>
            <w:hideMark/>
          </w:tcPr>
          <w:p w14:paraId="117A99FC" w14:textId="77777777" w:rsidR="00035100" w:rsidRPr="00035100" w:rsidRDefault="00035100" w:rsidP="00035100">
            <w:r w:rsidRPr="00035100">
              <w:t>Separate cluster and JDBC URL</w:t>
            </w:r>
          </w:p>
        </w:tc>
        <w:tc>
          <w:tcPr>
            <w:tcW w:w="0" w:type="auto"/>
            <w:vAlign w:val="center"/>
            <w:hideMark/>
          </w:tcPr>
          <w:p w14:paraId="277224D3" w14:textId="77777777" w:rsidR="00035100" w:rsidRPr="00035100" w:rsidRDefault="00035100" w:rsidP="00035100">
            <w:r w:rsidRPr="00035100">
              <w:t>Provides a distinct query endpoint and separate execution infrastructure</w:t>
            </w:r>
          </w:p>
        </w:tc>
        <w:tc>
          <w:tcPr>
            <w:tcW w:w="0" w:type="auto"/>
            <w:vAlign w:val="center"/>
            <w:hideMark/>
          </w:tcPr>
          <w:p w14:paraId="60FB890B" w14:textId="77777777" w:rsidR="00035100" w:rsidRPr="00035100" w:rsidRDefault="00035100" w:rsidP="00035100">
            <w:r w:rsidRPr="00035100">
              <w:t>Requires its own operational setup and capacity monitoring</w:t>
            </w:r>
          </w:p>
        </w:tc>
      </w:tr>
      <w:tr w:rsidR="00035100" w:rsidRPr="00035100" w14:paraId="5AAD87F5" w14:textId="77777777">
        <w:trPr>
          <w:tblCellSpacing w:w="15" w:type="dxa"/>
        </w:trPr>
        <w:tc>
          <w:tcPr>
            <w:tcW w:w="0" w:type="auto"/>
            <w:vAlign w:val="center"/>
            <w:hideMark/>
          </w:tcPr>
          <w:p w14:paraId="2969DAD6" w14:textId="77777777" w:rsidR="00035100" w:rsidRPr="00035100" w:rsidRDefault="00035100" w:rsidP="00035100">
            <w:r w:rsidRPr="00035100">
              <w:t>Ranger policies</w:t>
            </w:r>
          </w:p>
        </w:tc>
        <w:tc>
          <w:tcPr>
            <w:tcW w:w="0" w:type="auto"/>
            <w:vAlign w:val="center"/>
            <w:hideMark/>
          </w:tcPr>
          <w:p w14:paraId="5CFD00BB" w14:textId="77777777" w:rsidR="00035100" w:rsidRPr="00035100" w:rsidRDefault="00035100" w:rsidP="00035100">
            <w:r w:rsidRPr="00035100">
              <w:t>Enforces data access permissions</w:t>
            </w:r>
          </w:p>
        </w:tc>
        <w:tc>
          <w:tcPr>
            <w:tcW w:w="0" w:type="auto"/>
            <w:vAlign w:val="center"/>
            <w:hideMark/>
          </w:tcPr>
          <w:p w14:paraId="71120097" w14:textId="77777777" w:rsidR="00035100" w:rsidRPr="00035100" w:rsidRDefault="00035100" w:rsidP="00035100">
            <w:r w:rsidRPr="00035100">
              <w:t>Access to data is different from permission to use compute</w:t>
            </w:r>
          </w:p>
        </w:tc>
      </w:tr>
      <w:tr w:rsidR="00035100" w:rsidRPr="00035100" w14:paraId="68C80054" w14:textId="77777777">
        <w:trPr>
          <w:tblCellSpacing w:w="15" w:type="dxa"/>
        </w:trPr>
        <w:tc>
          <w:tcPr>
            <w:tcW w:w="0" w:type="auto"/>
            <w:vAlign w:val="center"/>
            <w:hideMark/>
          </w:tcPr>
          <w:p w14:paraId="4E459972" w14:textId="77777777" w:rsidR="00035100" w:rsidRPr="00035100" w:rsidRDefault="00035100" w:rsidP="00035100">
            <w:r w:rsidRPr="00035100">
              <w:t>HMS</w:t>
            </w:r>
          </w:p>
        </w:tc>
        <w:tc>
          <w:tcPr>
            <w:tcW w:w="0" w:type="auto"/>
            <w:vAlign w:val="center"/>
            <w:hideMark/>
          </w:tcPr>
          <w:p w14:paraId="5F1C8347" w14:textId="77777777" w:rsidR="00035100" w:rsidRPr="00035100" w:rsidRDefault="00035100" w:rsidP="00035100">
            <w:r w:rsidRPr="00035100">
              <w:t>Provides shared table/schema metadata</w:t>
            </w:r>
          </w:p>
        </w:tc>
        <w:tc>
          <w:tcPr>
            <w:tcW w:w="0" w:type="auto"/>
            <w:vAlign w:val="center"/>
            <w:hideMark/>
          </w:tcPr>
          <w:p w14:paraId="63E524F7" w14:textId="77777777" w:rsidR="00035100" w:rsidRPr="00035100" w:rsidRDefault="00035100" w:rsidP="00035100">
            <w:r w:rsidRPr="00035100">
              <w:t xml:space="preserve">Metadata sharing does not automatically create </w:t>
            </w:r>
            <w:proofErr w:type="spellStart"/>
            <w:r w:rsidRPr="00035100">
              <w:t>catalogs</w:t>
            </w:r>
            <w:proofErr w:type="spellEnd"/>
            <w:r w:rsidRPr="00035100">
              <w:t xml:space="preserve"> in each cluster</w:t>
            </w:r>
          </w:p>
        </w:tc>
      </w:tr>
    </w:tbl>
    <w:p w14:paraId="5BC1863B" w14:textId="77777777" w:rsidR="00035100" w:rsidRPr="00035100" w:rsidRDefault="00035100" w:rsidP="00035100">
      <w:r w:rsidRPr="00035100">
        <w:lastRenderedPageBreak/>
        <w:t xml:space="preserve">Starburst documentation confirms that resource groups can impose concurrency, queue-length, memory and scheduling controls. The exact available controls depend on the Starburst version and configuration. </w:t>
      </w:r>
    </w:p>
    <w:p w14:paraId="2A477EF8" w14:textId="43BC8911" w:rsidR="00035100" w:rsidRPr="00035100" w:rsidRDefault="00035100" w:rsidP="00035100">
      <w:r w:rsidRPr="00035100">
        <w:drawing>
          <wp:inline distT="0" distB="0" distL="0" distR="0" wp14:anchorId="4B63DDEB" wp14:editId="23DF2C8B">
            <wp:extent cx="304800" cy="304800"/>
            <wp:effectExtent l="0" t="0" r="0" b="0"/>
            <wp:docPr id="7453204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3DEBB66" w14:textId="77777777" w:rsidR="00035100" w:rsidRPr="00035100" w:rsidRDefault="00035100" w:rsidP="00035100">
      <w:r w:rsidRPr="00035100">
        <w:t>Starburst Enterprise</w:t>
      </w:r>
    </w:p>
    <w:p w14:paraId="62C80095" w14:textId="77777777" w:rsidR="00035100" w:rsidRPr="00035100" w:rsidRDefault="00035100" w:rsidP="00035100">
      <w:r w:rsidRPr="00035100">
        <w:t>+1</w:t>
      </w:r>
    </w:p>
    <w:p w14:paraId="2DCB4DBD" w14:textId="77777777" w:rsidR="00035100" w:rsidRPr="00035100" w:rsidRDefault="00035100" w:rsidP="00035100">
      <w:pPr>
        <w:rPr>
          <w:b/>
          <w:bCs/>
        </w:rPr>
      </w:pPr>
      <w:r w:rsidRPr="00035100">
        <w:rPr>
          <w:b/>
          <w:bCs/>
        </w:rPr>
        <w:t>Important RSA observations</w:t>
      </w:r>
    </w:p>
    <w:p w14:paraId="6B721DEE" w14:textId="77777777" w:rsidR="00035100" w:rsidRPr="00035100" w:rsidRDefault="00035100" w:rsidP="00035100">
      <w:r w:rsidRPr="00035100">
        <w:t>1. Workload isolation is the central objective.</w:t>
      </w:r>
    </w:p>
    <w:p w14:paraId="13F31E3D" w14:textId="77777777" w:rsidR="00035100" w:rsidRPr="00035100" w:rsidRDefault="00035100" w:rsidP="00035100">
      <w:r w:rsidRPr="00035100">
        <w:t>The new cluster can help isolate the AML workload from the main ad hoc workload, assuming the proposed worker pool is genuinely separate and the workload is routed to the correct endpoint. A resource group on the original cluster alone would not provide equivalent hardware isolation.</w:t>
      </w:r>
    </w:p>
    <w:p w14:paraId="70DBB77D" w14:textId="77777777" w:rsidR="00035100" w:rsidRPr="00035100" w:rsidRDefault="00035100" w:rsidP="00035100">
      <w:r w:rsidRPr="00035100">
        <w:t>2. The 15× increase needs validation.</w:t>
      </w:r>
    </w:p>
    <w:p w14:paraId="381B327E" w14:textId="77777777" w:rsidR="00035100" w:rsidRPr="00035100" w:rsidRDefault="00035100" w:rsidP="00035100">
      <w:r w:rsidRPr="00035100">
        <w:t>The call reports a 15-fold expected increase in usage, while citing approximately 200–240 CPU cores currently used by the relevant workload. Those figures do not establish the future peak requirement by themselves.</w:t>
      </w:r>
    </w:p>
    <w:p w14:paraId="066CDDD3" w14:textId="77777777" w:rsidR="00035100" w:rsidRPr="00035100" w:rsidRDefault="00035100" w:rsidP="00035100">
      <w:r w:rsidRPr="00035100">
        <w:t>Before confirming that 40 workers are sufficient, the team should establish:</w:t>
      </w:r>
    </w:p>
    <w:p w14:paraId="19869729" w14:textId="77777777" w:rsidR="00035100" w:rsidRPr="00035100" w:rsidRDefault="00035100" w:rsidP="00035100">
      <w:pPr>
        <w:numPr>
          <w:ilvl w:val="0"/>
          <w:numId w:val="2"/>
        </w:numPr>
      </w:pPr>
      <w:r w:rsidRPr="00035100">
        <w:t>Whether 200–240 means physical CPU cores, vCPUs or observed CPU consumption.</w:t>
      </w:r>
    </w:p>
    <w:p w14:paraId="5B61B983" w14:textId="77777777" w:rsidR="00035100" w:rsidRPr="00035100" w:rsidRDefault="00035100" w:rsidP="00035100">
      <w:pPr>
        <w:numPr>
          <w:ilvl w:val="0"/>
          <w:numId w:val="2"/>
        </w:numPr>
      </w:pPr>
      <w:r w:rsidRPr="00035100">
        <w:t>Peak and sustained CPU utilization, query concurrency and queue wait times.</w:t>
      </w:r>
    </w:p>
    <w:p w14:paraId="4F16CA94" w14:textId="77777777" w:rsidR="00035100" w:rsidRPr="00035100" w:rsidRDefault="00035100" w:rsidP="00035100">
      <w:pPr>
        <w:numPr>
          <w:ilvl w:val="0"/>
          <w:numId w:val="2"/>
        </w:numPr>
      </w:pPr>
      <w:r w:rsidRPr="00035100">
        <w:t xml:space="preserve">Memory pressure, spill-to-disk activity and long-running query </w:t>
      </w:r>
      <w:proofErr w:type="spellStart"/>
      <w:r w:rsidRPr="00035100">
        <w:t>behavior</w:t>
      </w:r>
      <w:proofErr w:type="spellEnd"/>
      <w:r w:rsidRPr="00035100">
        <w:t>.</w:t>
      </w:r>
    </w:p>
    <w:p w14:paraId="38667080" w14:textId="77777777" w:rsidR="00035100" w:rsidRPr="00035100" w:rsidRDefault="00035100" w:rsidP="00035100">
      <w:pPr>
        <w:numPr>
          <w:ilvl w:val="0"/>
          <w:numId w:val="2"/>
        </w:numPr>
      </w:pPr>
      <w:r w:rsidRPr="00035100">
        <w:t>The expected growth period and whether the 15× estimate refers to query volume, compute consumption or another usage metric.</w:t>
      </w:r>
    </w:p>
    <w:p w14:paraId="4CF6A515" w14:textId="77777777" w:rsidR="00035100" w:rsidRPr="00035100" w:rsidRDefault="00035100" w:rsidP="00035100">
      <w:r w:rsidRPr="00035100">
        <w:t>3. Define the scheduling policy explicitly.</w:t>
      </w:r>
    </w:p>
    <w:p w14:paraId="2D27F484" w14:textId="77777777" w:rsidR="00035100" w:rsidRPr="00035100" w:rsidRDefault="00035100" w:rsidP="00035100">
      <w:r w:rsidRPr="00035100">
        <w:t xml:space="preserve">For the existing cluster's separate queue, document the intended resource-group hierarchy, query selectors, concurrency limits, queue limits and scheduling policy. Starburst supports fair and weighted scheduling, among other controls. </w:t>
      </w:r>
    </w:p>
    <w:p w14:paraId="70DC3648" w14:textId="494AA0C5" w:rsidR="00035100" w:rsidRPr="00035100" w:rsidRDefault="00035100" w:rsidP="00035100">
      <w:r w:rsidRPr="00035100">
        <w:drawing>
          <wp:inline distT="0" distB="0" distL="0" distR="0" wp14:anchorId="51456347" wp14:editId="39D55C81">
            <wp:extent cx="304800" cy="304800"/>
            <wp:effectExtent l="0" t="0" r="0" b="0"/>
            <wp:docPr id="3438758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1B4930" w14:textId="77777777" w:rsidR="00035100" w:rsidRPr="00035100" w:rsidRDefault="00035100" w:rsidP="00035100">
      <w:r w:rsidRPr="00035100">
        <w:t>Starburst Enterprise</w:t>
      </w:r>
    </w:p>
    <w:p w14:paraId="70D398F7" w14:textId="77777777" w:rsidR="00035100" w:rsidRPr="00035100" w:rsidRDefault="00035100" w:rsidP="00035100">
      <w:r w:rsidRPr="00035100">
        <w:t>+1</w:t>
      </w:r>
    </w:p>
    <w:p w14:paraId="00A03678" w14:textId="77777777" w:rsidR="00035100" w:rsidRPr="00035100" w:rsidRDefault="00035100" w:rsidP="00035100">
      <w:r w:rsidRPr="00035100">
        <w:lastRenderedPageBreak/>
        <w:t>For the new cluster, verify that its independent compute capacity, endpoint routing and access rules meet the same isolation objectives. Avoid treating a separate JDBC URL as a security boundary by itself.</w:t>
      </w:r>
    </w:p>
    <w:p w14:paraId="1D563B17" w14:textId="77777777" w:rsidR="00035100" w:rsidRPr="00035100" w:rsidRDefault="00035100" w:rsidP="00035100">
      <w:r w:rsidRPr="00035100">
        <w:t>4. Test governance and connectivity, not just query execution.</w:t>
      </w:r>
    </w:p>
    <w:p w14:paraId="10259C41" w14:textId="77777777" w:rsidR="00035100" w:rsidRPr="00035100" w:rsidRDefault="00035100" w:rsidP="00035100">
      <w:r w:rsidRPr="00035100">
        <w:t xml:space="preserve">The transcript specifically mentions IP whitelisting and </w:t>
      </w:r>
      <w:proofErr w:type="spellStart"/>
      <w:r w:rsidRPr="00035100">
        <w:t>catalog</w:t>
      </w:r>
      <w:proofErr w:type="spellEnd"/>
      <w:r w:rsidRPr="00035100">
        <w:t xml:space="preserve"> creation for external systems, including Snowflake. A </w:t>
      </w:r>
      <w:proofErr w:type="spellStart"/>
      <w:r w:rsidRPr="00035100">
        <w:t>catalog</w:t>
      </w:r>
      <w:proofErr w:type="spellEnd"/>
      <w:r w:rsidRPr="00035100">
        <w:t xml:space="preserve"> that works on the existing cluster may still fail on the new one if its connectivity prerequisites are missing. [Transcript lines 141–165]</w:t>
      </w:r>
    </w:p>
    <w:p w14:paraId="0DE81FC1" w14:textId="77777777" w:rsidR="00035100" w:rsidRPr="00035100" w:rsidRDefault="00035100" w:rsidP="00035100">
      <w:pPr>
        <w:rPr>
          <w:b/>
          <w:bCs/>
        </w:rPr>
      </w:pPr>
      <w:r w:rsidRPr="00035100">
        <w:rPr>
          <w:b/>
          <w:bCs/>
        </w:rPr>
        <w:t xml:space="preserve">4. Topic B — HMS to Starburst Data </w:t>
      </w:r>
      <w:proofErr w:type="spellStart"/>
      <w:r w:rsidRPr="00035100">
        <w:rPr>
          <w:b/>
          <w:bCs/>
        </w:rPr>
        <w:t>Catalog</w:t>
      </w:r>
      <w:proofErr w:type="spellEnd"/>
      <w:r w:rsidRPr="00035100">
        <w:rPr>
          <w:b/>
          <w:bCs/>
        </w:rPr>
        <w:t xml:space="preserve"> (SDC) migration</w:t>
      </w:r>
    </w:p>
    <w:p w14:paraId="1D16D870" w14:textId="77777777" w:rsidR="00035100" w:rsidRPr="00035100" w:rsidRDefault="00035100" w:rsidP="00035100">
      <w:r w:rsidRPr="00035100">
        <w:t>This was the second major discussion and has a separate risk profile.</w:t>
      </w:r>
    </w:p>
    <w:p w14:paraId="107A0E0E" w14:textId="77777777" w:rsidR="00035100" w:rsidRPr="00035100" w:rsidRDefault="00035100" w:rsidP="00035100">
      <w:pPr>
        <w:rPr>
          <w:b/>
          <w:bCs/>
        </w:rPr>
      </w:pPr>
      <w:r w:rsidRPr="00035100">
        <w:rPr>
          <w:b/>
          <w:bCs/>
        </w:rPr>
        <w:t>What was discussed</w:t>
      </w:r>
    </w:p>
    <w:p w14:paraId="3579E440" w14:textId="77777777" w:rsidR="00035100" w:rsidRPr="00035100" w:rsidRDefault="00035100" w:rsidP="00035100">
      <w:r w:rsidRPr="00035100">
        <w:t>The team wants to evaluate SDC as a replacement for HMS, but does not want to make an immediate irreversible change while existing analytics workloads are running.</w:t>
      </w:r>
    </w:p>
    <w:p w14:paraId="20362D14" w14:textId="77777777" w:rsidR="00035100" w:rsidRPr="00035100" w:rsidRDefault="00035100" w:rsidP="00035100">
      <w:r w:rsidRPr="00035100">
        <w:t>The proposed testing approach is:</w:t>
      </w:r>
    </w:p>
    <w:p w14:paraId="596C0E83" w14:textId="77777777" w:rsidR="00035100" w:rsidRPr="00035100" w:rsidRDefault="00035100" w:rsidP="00035100">
      <w:r w:rsidRPr="00035100">
        <w:t>Current state</w:t>
      </w:r>
    </w:p>
    <w:p w14:paraId="2175A4EA" w14:textId="77777777" w:rsidR="00035100" w:rsidRPr="00035100" w:rsidRDefault="00035100" w:rsidP="00035100">
      <w:r w:rsidRPr="00035100">
        <w:t xml:space="preserve">Existing </w:t>
      </w:r>
      <w:proofErr w:type="spellStart"/>
      <w:r w:rsidRPr="00035100">
        <w:t>catalogs</w:t>
      </w:r>
      <w:proofErr w:type="spellEnd"/>
      <w:r w:rsidRPr="00035100">
        <w:t xml:space="preserve"> use HMS</w:t>
      </w:r>
    </w:p>
    <w:p w14:paraId="39445902" w14:textId="77777777" w:rsidR="00035100" w:rsidRPr="00035100" w:rsidRDefault="00035100" w:rsidP="00035100">
      <w:r w:rsidRPr="00035100">
        <w:t>Provision SDC separately</w:t>
      </w:r>
    </w:p>
    <w:p w14:paraId="0E177DD1" w14:textId="77777777" w:rsidR="00035100" w:rsidRPr="00035100" w:rsidRDefault="00035100" w:rsidP="00035100">
      <w:r w:rsidRPr="00035100">
        <w:t>Do not migrate existing metadata yet</w:t>
      </w:r>
    </w:p>
    <w:p w14:paraId="36427778" w14:textId="77777777" w:rsidR="00035100" w:rsidRPr="00035100" w:rsidRDefault="00035100" w:rsidP="00035100">
      <w:r w:rsidRPr="00035100">
        <w:t xml:space="preserve">Create a separate test </w:t>
      </w:r>
      <w:proofErr w:type="spellStart"/>
      <w:r w:rsidRPr="00035100">
        <w:t>catalog</w:t>
      </w:r>
      <w:proofErr w:type="spellEnd"/>
    </w:p>
    <w:p w14:paraId="2EEE0771" w14:textId="77777777" w:rsidR="00035100" w:rsidRPr="00035100" w:rsidRDefault="00035100" w:rsidP="00035100">
      <w:r w:rsidRPr="00035100">
        <w:t>Validate in Dev and UAT</w:t>
      </w:r>
    </w:p>
    <w:p w14:paraId="7CA05383" w14:textId="77777777" w:rsidR="00035100" w:rsidRPr="00035100" w:rsidRDefault="00035100" w:rsidP="00035100">
      <w:r w:rsidRPr="00035100">
        <w:t>Validate with stakeholders</w:t>
      </w:r>
    </w:p>
    <w:p w14:paraId="2DB0C426" w14:textId="77777777" w:rsidR="00035100" w:rsidRPr="00035100" w:rsidRDefault="00035100" w:rsidP="00035100">
      <w:r w:rsidRPr="00035100">
        <w:t>Test reads, writes where applicable, metadata visibility and application compatibility</w:t>
      </w:r>
    </w:p>
    <w:p w14:paraId="7161AD82" w14:textId="77777777" w:rsidR="00035100" w:rsidRPr="00035100" w:rsidRDefault="00035100" w:rsidP="00035100">
      <w:r w:rsidRPr="00035100">
        <w:t>Approve the migration</w:t>
      </w:r>
    </w:p>
    <w:p w14:paraId="4B4A4DE9" w14:textId="77777777" w:rsidR="00035100" w:rsidRPr="00035100" w:rsidRDefault="00035100" w:rsidP="00035100">
      <w:r w:rsidRPr="00035100">
        <w:t xml:space="preserve">Migrate existing metadata and switch </w:t>
      </w:r>
      <w:proofErr w:type="spellStart"/>
      <w:r w:rsidRPr="00035100">
        <w:t>catalog</w:t>
      </w:r>
      <w:proofErr w:type="spellEnd"/>
      <w:r w:rsidRPr="00035100">
        <w:t xml:space="preserve"> configuration under an agreed cutover plan</w:t>
      </w:r>
    </w:p>
    <w:p w14:paraId="7C9BBCE1" w14:textId="77777777" w:rsidR="00035100" w:rsidRPr="00035100" w:rsidRDefault="00035100" w:rsidP="00035100">
      <w:r w:rsidRPr="00035100">
        <w:t>Proposed process reconstructed from the meeting, not a vendor-certified migration procedure.</w:t>
      </w:r>
    </w:p>
    <w:p w14:paraId="7DAA10C0" w14:textId="77777777" w:rsidR="00035100" w:rsidRPr="00035100" w:rsidRDefault="00035100" w:rsidP="00035100">
      <w:r w:rsidRPr="00035100">
        <w:t xml:space="preserve">The Starburst team explained that the migration would transfer metadata from HMS to SDC, after which the existing </w:t>
      </w:r>
      <w:proofErr w:type="spellStart"/>
      <w:r w:rsidRPr="00035100">
        <w:t>catalogs</w:t>
      </w:r>
      <w:proofErr w:type="spellEnd"/>
      <w:r w:rsidRPr="00035100">
        <w:t xml:space="preserve"> would be pointed to the new metadata service. They cautioned that subsequent changes made only in HMS could be missed if a later migration were attempted. The question of whether the migration can be rerun or the metadata fully refreshed remains open. [Transcript lines 253–320]</w:t>
      </w:r>
    </w:p>
    <w:p w14:paraId="00519043" w14:textId="77777777" w:rsidR="00035100" w:rsidRPr="00035100" w:rsidRDefault="00035100" w:rsidP="00035100">
      <w:pPr>
        <w:rPr>
          <w:b/>
          <w:bCs/>
        </w:rPr>
      </w:pPr>
      <w:r w:rsidRPr="00035100">
        <w:rPr>
          <w:b/>
          <w:bCs/>
        </w:rPr>
        <w:t>Critical clarification: what exactly is being migrated?</w:t>
      </w:r>
    </w:p>
    <w:p w14:paraId="54180D37" w14:textId="77777777" w:rsidR="00035100" w:rsidRPr="00035100" w:rsidRDefault="00035100" w:rsidP="00035100">
      <w:r w:rsidRPr="00035100">
        <w:lastRenderedPageBreak/>
        <w:t>HMS or SDC stores metadata such as schemas, table definitions and partition information. This is different from the underlying data files in object storage.</w:t>
      </w:r>
    </w:p>
    <w:p w14:paraId="39BFDDA2" w14:textId="77777777" w:rsidR="00035100" w:rsidRPr="00035100" w:rsidRDefault="00035100" w:rsidP="00035100">
      <w:r w:rsidRPr="00035100">
        <w:t>The call does not establish that the underlying data is being copied to a new location. It describes a metadata migration.</w:t>
      </w:r>
    </w:p>
    <w:p w14:paraId="10A6723C" w14:textId="77777777" w:rsidR="00035100" w:rsidRPr="00035100" w:rsidRDefault="00035100" w:rsidP="00035100">
      <w:r w:rsidRPr="00035100">
        <w:t xml:space="preserve">That distinction matters because a successful metadata migration does not, by itself, prove that all tables remain </w:t>
      </w:r>
      <w:proofErr w:type="spellStart"/>
      <w:r w:rsidRPr="00035100">
        <w:t>queryable</w:t>
      </w:r>
      <w:proofErr w:type="spellEnd"/>
      <w:r w:rsidRPr="00035100">
        <w:t>. Storage paths, credentials, permissions, connector compatibility and metadata consistency also need validation.</w:t>
      </w:r>
    </w:p>
    <w:p w14:paraId="5C792E3A" w14:textId="77777777" w:rsidR="00035100" w:rsidRPr="00035100" w:rsidRDefault="00035100" w:rsidP="00035100">
      <w:r w:rsidRPr="00035100">
        <w:t xml:space="preserve">Starburst's current documentation also confirms that its newer Starburst </w:t>
      </w:r>
      <w:proofErr w:type="spellStart"/>
      <w:r w:rsidRPr="00035100">
        <w:t>Metastore</w:t>
      </w:r>
      <w:proofErr w:type="spellEnd"/>
      <w:r w:rsidRPr="00035100">
        <w:t xml:space="preserve"> (formerly Starburst Data </w:t>
      </w:r>
      <w:proofErr w:type="spellStart"/>
      <w:r w:rsidRPr="00035100">
        <w:t>Catalog</w:t>
      </w:r>
      <w:proofErr w:type="spellEnd"/>
      <w:r w:rsidRPr="00035100">
        <w:t xml:space="preserve">) is a supported </w:t>
      </w:r>
      <w:proofErr w:type="spellStart"/>
      <w:r w:rsidRPr="00035100">
        <w:t>metastore</w:t>
      </w:r>
      <w:proofErr w:type="spellEnd"/>
      <w:r w:rsidRPr="00035100">
        <w:t xml:space="preserve"> option for relevant connectors. The official release notes state that the packaged HMS service was removed in the September 2026 482-e release, following its earlier end-of-support announcement. This makes the longer-term </w:t>
      </w:r>
      <w:proofErr w:type="spellStart"/>
      <w:r w:rsidRPr="00035100">
        <w:t>metastore</w:t>
      </w:r>
      <w:proofErr w:type="spellEnd"/>
      <w:r w:rsidRPr="00035100">
        <w:t xml:space="preserve"> migration strategically important, although the immediate schedule depends on the version and deployment in use. </w:t>
      </w:r>
    </w:p>
    <w:p w14:paraId="2FEF5D62" w14:textId="6C028B9C" w:rsidR="00035100" w:rsidRPr="00035100" w:rsidRDefault="00035100" w:rsidP="00035100">
      <w:r w:rsidRPr="00035100">
        <w:drawing>
          <wp:inline distT="0" distB="0" distL="0" distR="0" wp14:anchorId="6DFE6BA3" wp14:editId="57156CFA">
            <wp:extent cx="304800" cy="304800"/>
            <wp:effectExtent l="0" t="0" r="0" b="0"/>
            <wp:docPr id="826102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DE4B2D" w14:textId="77777777" w:rsidR="00035100" w:rsidRPr="00035100" w:rsidRDefault="00035100" w:rsidP="00035100">
      <w:r w:rsidRPr="00035100">
        <w:t>Starburst Enterprise</w:t>
      </w:r>
    </w:p>
    <w:p w14:paraId="46F6B744" w14:textId="77777777" w:rsidR="00035100" w:rsidRPr="00035100" w:rsidRDefault="00035100" w:rsidP="00035100">
      <w:r w:rsidRPr="00035100">
        <w:t>+2</w:t>
      </w:r>
    </w:p>
    <w:p w14:paraId="01E19535" w14:textId="77777777" w:rsidR="00035100" w:rsidRPr="00035100" w:rsidRDefault="00035100" w:rsidP="00035100">
      <w:pPr>
        <w:rPr>
          <w:b/>
          <w:bCs/>
        </w:rPr>
      </w:pPr>
      <w:r w:rsidRPr="00035100">
        <w:rPr>
          <w:b/>
          <w:bCs/>
        </w:rPr>
        <w:t>My technical recommendation on SDC</w:t>
      </w:r>
    </w:p>
    <w:p w14:paraId="4625BC24" w14:textId="77777777" w:rsidR="00035100" w:rsidRPr="00035100" w:rsidRDefault="00035100" w:rsidP="00035100">
      <w:r w:rsidRPr="00035100">
        <w:t>The safest approach is to treat the migration as a controlled cutover, rather than assuming that two metadata systems can be kept in sync automatically.</w:t>
      </w:r>
    </w:p>
    <w:p w14:paraId="30AF792A" w14:textId="77777777" w:rsidR="00035100" w:rsidRPr="00035100" w:rsidRDefault="00035100" w:rsidP="00035100">
      <w:pPr>
        <w:numPr>
          <w:ilvl w:val="0"/>
          <w:numId w:val="3"/>
        </w:numPr>
      </w:pPr>
      <w:r w:rsidRPr="00035100">
        <w:t xml:space="preserve">Inventory all existing </w:t>
      </w:r>
      <w:proofErr w:type="spellStart"/>
      <w:r w:rsidRPr="00035100">
        <w:t>catalogs</w:t>
      </w:r>
      <w:proofErr w:type="spellEnd"/>
      <w:r w:rsidRPr="00035100">
        <w:t>, schemas, tables, views and metadata dependencies.</w:t>
      </w:r>
    </w:p>
    <w:p w14:paraId="56C800B2" w14:textId="77777777" w:rsidR="00035100" w:rsidRPr="00035100" w:rsidRDefault="00035100" w:rsidP="00035100">
      <w:pPr>
        <w:numPr>
          <w:ilvl w:val="0"/>
          <w:numId w:val="3"/>
        </w:numPr>
      </w:pPr>
      <w:r w:rsidRPr="00035100">
        <w:t xml:space="preserve">Provision SDC in a non-production environment and validate it with a separate test </w:t>
      </w:r>
      <w:proofErr w:type="spellStart"/>
      <w:r w:rsidRPr="00035100">
        <w:t>catalog</w:t>
      </w:r>
      <w:proofErr w:type="spellEnd"/>
      <w:r w:rsidRPr="00035100">
        <w:t>.</w:t>
      </w:r>
    </w:p>
    <w:p w14:paraId="51CF8E98" w14:textId="77777777" w:rsidR="00035100" w:rsidRPr="00035100" w:rsidRDefault="00035100" w:rsidP="00035100">
      <w:pPr>
        <w:numPr>
          <w:ilvl w:val="0"/>
          <w:numId w:val="3"/>
        </w:numPr>
      </w:pPr>
      <w:r w:rsidRPr="00035100">
        <w:t>Confirm the supported migration and rollback procedures with Starburst engineering.</w:t>
      </w:r>
    </w:p>
    <w:p w14:paraId="229E4692" w14:textId="77777777" w:rsidR="00035100" w:rsidRPr="00035100" w:rsidRDefault="00035100" w:rsidP="00035100">
      <w:pPr>
        <w:numPr>
          <w:ilvl w:val="0"/>
          <w:numId w:val="3"/>
        </w:numPr>
      </w:pPr>
      <w:r w:rsidRPr="00035100">
        <w:t>Establish a metadata change freeze or an explicitly supported synchronization procedure during cutover.</w:t>
      </w:r>
    </w:p>
    <w:p w14:paraId="2D06115A" w14:textId="77777777" w:rsidR="00035100" w:rsidRPr="00035100" w:rsidRDefault="00035100" w:rsidP="00035100">
      <w:pPr>
        <w:numPr>
          <w:ilvl w:val="0"/>
          <w:numId w:val="3"/>
        </w:numPr>
      </w:pPr>
      <w:r w:rsidRPr="00035100">
        <w:t>Compare object counts and representative table definitions, then run functional and performance tests.</w:t>
      </w:r>
    </w:p>
    <w:p w14:paraId="5CD47A04" w14:textId="77777777" w:rsidR="00035100" w:rsidRPr="00035100" w:rsidRDefault="00035100" w:rsidP="00035100">
      <w:pPr>
        <w:numPr>
          <w:ilvl w:val="0"/>
          <w:numId w:val="3"/>
        </w:numPr>
      </w:pPr>
      <w:r w:rsidRPr="00035100">
        <w:t>Retain the old HMS metadata and configuration as a recovery reference until the agreed validation and rollback window has ended.</w:t>
      </w:r>
    </w:p>
    <w:p w14:paraId="5E59E0DD" w14:textId="77777777" w:rsidR="00035100" w:rsidRPr="00035100" w:rsidRDefault="00035100" w:rsidP="00035100">
      <w:r w:rsidRPr="00035100">
        <w:t xml:space="preserve">Open question requiring vendor confirmation: Can the exact Starburst version and migration tooling in use perform a supported full re-migration or overwrite of SDC after additional </w:t>
      </w:r>
      <w:r w:rsidRPr="00035100">
        <w:lastRenderedPageBreak/>
        <w:t xml:space="preserve">HMS changes? The meeting did not resolve this. Do not assume that a second migration is possible—or impossible—without confirming the tool's supported </w:t>
      </w:r>
      <w:proofErr w:type="spellStart"/>
      <w:r w:rsidRPr="00035100">
        <w:t>behavior</w:t>
      </w:r>
      <w:proofErr w:type="spellEnd"/>
      <w:r w:rsidRPr="00035100">
        <w:t>.</w:t>
      </w:r>
    </w:p>
    <w:p w14:paraId="39147054" w14:textId="77777777" w:rsidR="00035100" w:rsidRPr="00035100" w:rsidRDefault="00035100" w:rsidP="00035100">
      <w:pPr>
        <w:rPr>
          <w:b/>
          <w:bCs/>
        </w:rPr>
      </w:pPr>
      <w:r w:rsidRPr="00035100">
        <w:rPr>
          <w:b/>
          <w:bCs/>
        </w:rPr>
        <w:t>5. Key decisions, open questions and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4016"/>
        <w:gridCol w:w="3097"/>
      </w:tblGrid>
      <w:tr w:rsidR="00035100" w:rsidRPr="00035100" w14:paraId="5A54DD02" w14:textId="77777777">
        <w:trPr>
          <w:tblCellSpacing w:w="15" w:type="dxa"/>
        </w:trPr>
        <w:tc>
          <w:tcPr>
            <w:tcW w:w="0" w:type="auto"/>
            <w:vAlign w:val="center"/>
            <w:hideMark/>
          </w:tcPr>
          <w:p w14:paraId="60260B86" w14:textId="77777777" w:rsidR="00035100" w:rsidRPr="00035100" w:rsidRDefault="00035100" w:rsidP="00035100">
            <w:pPr>
              <w:rPr>
                <w:b/>
                <w:bCs/>
              </w:rPr>
            </w:pPr>
            <w:r w:rsidRPr="00035100">
              <w:rPr>
                <w:b/>
                <w:bCs/>
              </w:rPr>
              <w:t>Area</w:t>
            </w:r>
          </w:p>
        </w:tc>
        <w:tc>
          <w:tcPr>
            <w:tcW w:w="0" w:type="auto"/>
            <w:vAlign w:val="center"/>
            <w:hideMark/>
          </w:tcPr>
          <w:p w14:paraId="2E94F8AF" w14:textId="77777777" w:rsidR="00035100" w:rsidRPr="00035100" w:rsidRDefault="00035100" w:rsidP="00035100">
            <w:pPr>
              <w:rPr>
                <w:b/>
                <w:bCs/>
              </w:rPr>
            </w:pPr>
            <w:r w:rsidRPr="00035100">
              <w:rPr>
                <w:b/>
                <w:bCs/>
              </w:rPr>
              <w:t>Current position</w:t>
            </w:r>
          </w:p>
        </w:tc>
        <w:tc>
          <w:tcPr>
            <w:tcW w:w="0" w:type="auto"/>
            <w:vAlign w:val="center"/>
            <w:hideMark/>
          </w:tcPr>
          <w:p w14:paraId="241525B9" w14:textId="77777777" w:rsidR="00035100" w:rsidRPr="00035100" w:rsidRDefault="00035100" w:rsidP="00035100">
            <w:pPr>
              <w:rPr>
                <w:b/>
                <w:bCs/>
              </w:rPr>
            </w:pPr>
            <w:r w:rsidRPr="00035100">
              <w:rPr>
                <w:b/>
                <w:bCs/>
              </w:rPr>
              <w:t>Status</w:t>
            </w:r>
          </w:p>
        </w:tc>
      </w:tr>
      <w:tr w:rsidR="00035100" w:rsidRPr="00035100" w14:paraId="3E872140" w14:textId="77777777">
        <w:trPr>
          <w:tblCellSpacing w:w="15" w:type="dxa"/>
        </w:trPr>
        <w:tc>
          <w:tcPr>
            <w:tcW w:w="0" w:type="auto"/>
            <w:vAlign w:val="center"/>
            <w:hideMark/>
          </w:tcPr>
          <w:p w14:paraId="04AF756A" w14:textId="77777777" w:rsidR="00035100" w:rsidRPr="00035100" w:rsidRDefault="00035100" w:rsidP="00035100">
            <w:r w:rsidRPr="00035100">
              <w:t>Repurpose real-time cluster</w:t>
            </w:r>
          </w:p>
        </w:tc>
        <w:tc>
          <w:tcPr>
            <w:tcW w:w="0" w:type="auto"/>
            <w:vAlign w:val="center"/>
            <w:hideMark/>
          </w:tcPr>
          <w:p w14:paraId="5A381542" w14:textId="77777777" w:rsidR="00035100" w:rsidRPr="00035100" w:rsidRDefault="00035100" w:rsidP="00035100">
            <w:r w:rsidRPr="00035100">
              <w:t>Use it for analytics workloads</w:t>
            </w:r>
          </w:p>
        </w:tc>
        <w:tc>
          <w:tcPr>
            <w:tcW w:w="0" w:type="auto"/>
            <w:vAlign w:val="center"/>
            <w:hideMark/>
          </w:tcPr>
          <w:p w14:paraId="34947632" w14:textId="77777777" w:rsidR="00035100" w:rsidRPr="00035100" w:rsidRDefault="00035100" w:rsidP="00035100">
            <w:r w:rsidRPr="00035100">
              <w:t>Proposed</w:t>
            </w:r>
          </w:p>
        </w:tc>
      </w:tr>
      <w:tr w:rsidR="00035100" w:rsidRPr="00035100" w14:paraId="4008C34E" w14:textId="77777777">
        <w:trPr>
          <w:tblCellSpacing w:w="15" w:type="dxa"/>
        </w:trPr>
        <w:tc>
          <w:tcPr>
            <w:tcW w:w="0" w:type="auto"/>
            <w:vAlign w:val="center"/>
            <w:hideMark/>
          </w:tcPr>
          <w:p w14:paraId="611359DB" w14:textId="77777777" w:rsidR="00035100" w:rsidRPr="00035100" w:rsidRDefault="00035100" w:rsidP="00035100">
            <w:r w:rsidRPr="00035100">
              <w:t>Cluster topology</w:t>
            </w:r>
          </w:p>
        </w:tc>
        <w:tc>
          <w:tcPr>
            <w:tcW w:w="0" w:type="auto"/>
            <w:vAlign w:val="center"/>
            <w:hideMark/>
          </w:tcPr>
          <w:p w14:paraId="3E6B1CF2" w14:textId="77777777" w:rsidR="00035100" w:rsidRPr="00035100" w:rsidRDefault="00035100" w:rsidP="00035100">
            <w:r w:rsidRPr="00035100">
              <w:t>Two coordinators and 40 pooled workers</w:t>
            </w:r>
          </w:p>
        </w:tc>
        <w:tc>
          <w:tcPr>
            <w:tcW w:w="0" w:type="auto"/>
            <w:vAlign w:val="center"/>
            <w:hideMark/>
          </w:tcPr>
          <w:p w14:paraId="2E424974" w14:textId="77777777" w:rsidR="00035100" w:rsidRPr="00035100" w:rsidRDefault="00035100" w:rsidP="00035100">
            <w:r w:rsidRPr="00035100">
              <w:t>Proposed design</w:t>
            </w:r>
          </w:p>
        </w:tc>
      </w:tr>
      <w:tr w:rsidR="00035100" w:rsidRPr="00035100" w14:paraId="5F78ED0E" w14:textId="77777777">
        <w:trPr>
          <w:tblCellSpacing w:w="15" w:type="dxa"/>
        </w:trPr>
        <w:tc>
          <w:tcPr>
            <w:tcW w:w="0" w:type="auto"/>
            <w:vAlign w:val="center"/>
            <w:hideMark/>
          </w:tcPr>
          <w:p w14:paraId="2B394AD9" w14:textId="77777777" w:rsidR="00035100" w:rsidRPr="00035100" w:rsidRDefault="00035100" w:rsidP="00035100">
            <w:r w:rsidRPr="00035100">
              <w:t>Ranger</w:t>
            </w:r>
          </w:p>
        </w:tc>
        <w:tc>
          <w:tcPr>
            <w:tcW w:w="0" w:type="auto"/>
            <w:vAlign w:val="center"/>
            <w:hideMark/>
          </w:tcPr>
          <w:p w14:paraId="4FF9338F" w14:textId="77777777" w:rsidR="00035100" w:rsidRPr="00035100" w:rsidRDefault="00035100" w:rsidP="00035100">
            <w:r w:rsidRPr="00035100">
              <w:t>Reuse existing NAM ad hoc Ranger</w:t>
            </w:r>
          </w:p>
        </w:tc>
        <w:tc>
          <w:tcPr>
            <w:tcW w:w="0" w:type="auto"/>
            <w:vAlign w:val="center"/>
            <w:hideMark/>
          </w:tcPr>
          <w:p w14:paraId="263BCECA" w14:textId="77777777" w:rsidR="00035100" w:rsidRPr="00035100" w:rsidRDefault="00035100" w:rsidP="00035100">
            <w:r w:rsidRPr="00035100">
              <w:t>Agreed in principle</w:t>
            </w:r>
          </w:p>
        </w:tc>
      </w:tr>
      <w:tr w:rsidR="00035100" w:rsidRPr="00035100" w14:paraId="05E2BE04" w14:textId="77777777">
        <w:trPr>
          <w:tblCellSpacing w:w="15" w:type="dxa"/>
        </w:trPr>
        <w:tc>
          <w:tcPr>
            <w:tcW w:w="0" w:type="auto"/>
            <w:vAlign w:val="center"/>
            <w:hideMark/>
          </w:tcPr>
          <w:p w14:paraId="3D2B0B7A" w14:textId="77777777" w:rsidR="00035100" w:rsidRPr="00035100" w:rsidRDefault="00035100" w:rsidP="00035100">
            <w:r w:rsidRPr="00035100">
              <w:t>HMS</w:t>
            </w:r>
          </w:p>
        </w:tc>
        <w:tc>
          <w:tcPr>
            <w:tcW w:w="0" w:type="auto"/>
            <w:vAlign w:val="center"/>
            <w:hideMark/>
          </w:tcPr>
          <w:p w14:paraId="3764158C" w14:textId="77777777" w:rsidR="00035100" w:rsidRPr="00035100" w:rsidRDefault="00035100" w:rsidP="00035100">
            <w:r w:rsidRPr="00035100">
              <w:t>Reuse the NAM HMS across three clusters</w:t>
            </w:r>
          </w:p>
        </w:tc>
        <w:tc>
          <w:tcPr>
            <w:tcW w:w="0" w:type="auto"/>
            <w:vAlign w:val="center"/>
            <w:hideMark/>
          </w:tcPr>
          <w:p w14:paraId="159B679D" w14:textId="77777777" w:rsidR="00035100" w:rsidRPr="00035100" w:rsidRDefault="00035100" w:rsidP="00035100">
            <w:r w:rsidRPr="00035100">
              <w:t>Agreed in principle</w:t>
            </w:r>
          </w:p>
        </w:tc>
      </w:tr>
      <w:tr w:rsidR="00035100" w:rsidRPr="00035100" w14:paraId="50483D4F" w14:textId="77777777">
        <w:trPr>
          <w:tblCellSpacing w:w="15" w:type="dxa"/>
        </w:trPr>
        <w:tc>
          <w:tcPr>
            <w:tcW w:w="0" w:type="auto"/>
            <w:vAlign w:val="center"/>
            <w:hideMark/>
          </w:tcPr>
          <w:p w14:paraId="66A059F8" w14:textId="77777777" w:rsidR="00035100" w:rsidRPr="00035100" w:rsidRDefault="00035100" w:rsidP="00035100">
            <w:r w:rsidRPr="00035100">
              <w:t>User authorization</w:t>
            </w:r>
          </w:p>
        </w:tc>
        <w:tc>
          <w:tcPr>
            <w:tcW w:w="0" w:type="auto"/>
            <w:vAlign w:val="center"/>
            <w:hideMark/>
          </w:tcPr>
          <w:p w14:paraId="30A879FA" w14:textId="77777777" w:rsidR="00035100" w:rsidRPr="00035100" w:rsidRDefault="00035100" w:rsidP="00035100">
            <w:r w:rsidRPr="00035100">
              <w:t>Reuse existing ad hoc authorization group</w:t>
            </w:r>
          </w:p>
        </w:tc>
        <w:tc>
          <w:tcPr>
            <w:tcW w:w="0" w:type="auto"/>
            <w:vAlign w:val="center"/>
            <w:hideMark/>
          </w:tcPr>
          <w:p w14:paraId="4A5C4177" w14:textId="77777777" w:rsidR="00035100" w:rsidRPr="00035100" w:rsidRDefault="00035100" w:rsidP="00035100">
            <w:r w:rsidRPr="00035100">
              <w:t>Proposed; final configuration required</w:t>
            </w:r>
          </w:p>
        </w:tc>
      </w:tr>
      <w:tr w:rsidR="00035100" w:rsidRPr="00035100" w14:paraId="636FEBC6" w14:textId="77777777">
        <w:trPr>
          <w:tblCellSpacing w:w="15" w:type="dxa"/>
        </w:trPr>
        <w:tc>
          <w:tcPr>
            <w:tcW w:w="0" w:type="auto"/>
            <w:vAlign w:val="center"/>
            <w:hideMark/>
          </w:tcPr>
          <w:p w14:paraId="7E64D9AF" w14:textId="77777777" w:rsidR="00035100" w:rsidRPr="00035100" w:rsidRDefault="00035100" w:rsidP="00035100">
            <w:r w:rsidRPr="00035100">
              <w:t>JDBC URL and DNS</w:t>
            </w:r>
          </w:p>
        </w:tc>
        <w:tc>
          <w:tcPr>
            <w:tcW w:w="0" w:type="auto"/>
            <w:vAlign w:val="center"/>
            <w:hideMark/>
          </w:tcPr>
          <w:p w14:paraId="7E00148B" w14:textId="77777777" w:rsidR="00035100" w:rsidRPr="00035100" w:rsidRDefault="00035100" w:rsidP="00035100">
            <w:r w:rsidRPr="00035100">
              <w:t>Separate endpoint for the new cluster</w:t>
            </w:r>
          </w:p>
        </w:tc>
        <w:tc>
          <w:tcPr>
            <w:tcW w:w="0" w:type="auto"/>
            <w:vAlign w:val="center"/>
            <w:hideMark/>
          </w:tcPr>
          <w:p w14:paraId="64211001" w14:textId="77777777" w:rsidR="00035100" w:rsidRPr="00035100" w:rsidRDefault="00035100" w:rsidP="00035100">
            <w:r w:rsidRPr="00035100">
              <w:t>Naming pending</w:t>
            </w:r>
          </w:p>
        </w:tc>
      </w:tr>
      <w:tr w:rsidR="00035100" w:rsidRPr="00035100" w14:paraId="5317CCF1" w14:textId="77777777">
        <w:trPr>
          <w:tblCellSpacing w:w="15" w:type="dxa"/>
        </w:trPr>
        <w:tc>
          <w:tcPr>
            <w:tcW w:w="0" w:type="auto"/>
            <w:vAlign w:val="center"/>
            <w:hideMark/>
          </w:tcPr>
          <w:p w14:paraId="57B4FCF8" w14:textId="77777777" w:rsidR="00035100" w:rsidRPr="00035100" w:rsidRDefault="00035100" w:rsidP="00035100">
            <w:proofErr w:type="spellStart"/>
            <w:r w:rsidRPr="00035100">
              <w:t>Catalog</w:t>
            </w:r>
            <w:proofErr w:type="spellEnd"/>
            <w:r w:rsidRPr="00035100">
              <w:t xml:space="preserve"> creation</w:t>
            </w:r>
          </w:p>
        </w:tc>
        <w:tc>
          <w:tcPr>
            <w:tcW w:w="0" w:type="auto"/>
            <w:vAlign w:val="center"/>
            <w:hideMark/>
          </w:tcPr>
          <w:p w14:paraId="5559A177" w14:textId="77777777" w:rsidR="00035100" w:rsidRPr="00035100" w:rsidRDefault="00035100" w:rsidP="00035100">
            <w:r w:rsidRPr="00035100">
              <w:t xml:space="preserve">Create matching </w:t>
            </w:r>
            <w:proofErr w:type="spellStart"/>
            <w:r w:rsidRPr="00035100">
              <w:t>catalogs</w:t>
            </w:r>
            <w:proofErr w:type="spellEnd"/>
            <w:r w:rsidRPr="00035100">
              <w:t xml:space="preserve"> where access is needed on both clusters</w:t>
            </w:r>
          </w:p>
        </w:tc>
        <w:tc>
          <w:tcPr>
            <w:tcW w:w="0" w:type="auto"/>
            <w:vAlign w:val="center"/>
            <w:hideMark/>
          </w:tcPr>
          <w:p w14:paraId="6A94373B" w14:textId="77777777" w:rsidR="00035100" w:rsidRPr="00035100" w:rsidRDefault="00035100" w:rsidP="00035100">
            <w:r w:rsidRPr="00035100">
              <w:t>Confirmed approach</w:t>
            </w:r>
          </w:p>
        </w:tc>
      </w:tr>
      <w:tr w:rsidR="00035100" w:rsidRPr="00035100" w14:paraId="02A6EABC" w14:textId="77777777">
        <w:trPr>
          <w:tblCellSpacing w:w="15" w:type="dxa"/>
        </w:trPr>
        <w:tc>
          <w:tcPr>
            <w:tcW w:w="0" w:type="auto"/>
            <w:vAlign w:val="center"/>
            <w:hideMark/>
          </w:tcPr>
          <w:p w14:paraId="531E12B7" w14:textId="77777777" w:rsidR="00035100" w:rsidRPr="00035100" w:rsidRDefault="00035100" w:rsidP="00035100">
            <w:r w:rsidRPr="00035100">
              <w:t>UAT and production</w:t>
            </w:r>
          </w:p>
        </w:tc>
        <w:tc>
          <w:tcPr>
            <w:tcW w:w="0" w:type="auto"/>
            <w:vAlign w:val="center"/>
            <w:hideMark/>
          </w:tcPr>
          <w:p w14:paraId="43C0D62A" w14:textId="77777777" w:rsidR="00035100" w:rsidRPr="00035100" w:rsidRDefault="00035100" w:rsidP="00035100">
            <w:r w:rsidRPr="00035100">
              <w:t>Start preparation in parallel</w:t>
            </w:r>
          </w:p>
        </w:tc>
        <w:tc>
          <w:tcPr>
            <w:tcW w:w="0" w:type="auto"/>
            <w:vAlign w:val="center"/>
            <w:hideMark/>
          </w:tcPr>
          <w:p w14:paraId="57E4E15F" w14:textId="77777777" w:rsidR="00035100" w:rsidRPr="00035100" w:rsidRDefault="00035100" w:rsidP="00035100">
            <w:r w:rsidRPr="00035100">
              <w:t>Subject to engineering/operations capacity</w:t>
            </w:r>
          </w:p>
        </w:tc>
      </w:tr>
      <w:tr w:rsidR="00035100" w:rsidRPr="00035100" w14:paraId="094904AD" w14:textId="77777777">
        <w:trPr>
          <w:tblCellSpacing w:w="15" w:type="dxa"/>
        </w:trPr>
        <w:tc>
          <w:tcPr>
            <w:tcW w:w="0" w:type="auto"/>
            <w:vAlign w:val="center"/>
            <w:hideMark/>
          </w:tcPr>
          <w:p w14:paraId="5887CD04" w14:textId="77777777" w:rsidR="00035100" w:rsidRPr="00035100" w:rsidRDefault="00035100" w:rsidP="00035100">
            <w:r w:rsidRPr="00035100">
              <w:t>Delivery timeline</w:t>
            </w:r>
          </w:p>
        </w:tc>
        <w:tc>
          <w:tcPr>
            <w:tcW w:w="0" w:type="auto"/>
            <w:vAlign w:val="center"/>
            <w:hideMark/>
          </w:tcPr>
          <w:p w14:paraId="6CD0FE6D" w14:textId="77777777" w:rsidR="00035100" w:rsidRPr="00035100" w:rsidRDefault="00035100" w:rsidP="00035100">
            <w:r w:rsidRPr="00035100">
              <w:t>Approximately 3–4 weeks was discussed; an earlier UAT target was also mentioned</w:t>
            </w:r>
          </w:p>
        </w:tc>
        <w:tc>
          <w:tcPr>
            <w:tcW w:w="0" w:type="auto"/>
            <w:vAlign w:val="center"/>
            <w:hideMark/>
          </w:tcPr>
          <w:p w14:paraId="28BD82A0" w14:textId="77777777" w:rsidR="00035100" w:rsidRPr="00035100" w:rsidRDefault="00035100" w:rsidP="00035100">
            <w:r w:rsidRPr="00035100">
              <w:t>Not finalized</w:t>
            </w:r>
          </w:p>
        </w:tc>
      </w:tr>
      <w:tr w:rsidR="00035100" w:rsidRPr="00035100" w14:paraId="460EC498" w14:textId="77777777">
        <w:trPr>
          <w:tblCellSpacing w:w="15" w:type="dxa"/>
        </w:trPr>
        <w:tc>
          <w:tcPr>
            <w:tcW w:w="0" w:type="auto"/>
            <w:vAlign w:val="center"/>
            <w:hideMark/>
          </w:tcPr>
          <w:p w14:paraId="51451E70" w14:textId="77777777" w:rsidR="00035100" w:rsidRPr="00035100" w:rsidRDefault="00035100" w:rsidP="00035100">
            <w:r w:rsidRPr="00035100">
              <w:t>SDC migration</w:t>
            </w:r>
          </w:p>
        </w:tc>
        <w:tc>
          <w:tcPr>
            <w:tcW w:w="0" w:type="auto"/>
            <w:vAlign w:val="center"/>
            <w:hideMark/>
          </w:tcPr>
          <w:p w14:paraId="63AD945D" w14:textId="77777777" w:rsidR="00035100" w:rsidRPr="00035100" w:rsidRDefault="00035100" w:rsidP="00035100">
            <w:r w:rsidRPr="00035100">
              <w:t>Test separately before migrating existing metadata</w:t>
            </w:r>
          </w:p>
        </w:tc>
        <w:tc>
          <w:tcPr>
            <w:tcW w:w="0" w:type="auto"/>
            <w:vAlign w:val="center"/>
            <w:hideMark/>
          </w:tcPr>
          <w:p w14:paraId="1521A049" w14:textId="77777777" w:rsidR="00035100" w:rsidRPr="00035100" w:rsidRDefault="00035100" w:rsidP="00035100">
            <w:r w:rsidRPr="00035100">
              <w:t>Proposed</w:t>
            </w:r>
          </w:p>
        </w:tc>
      </w:tr>
      <w:tr w:rsidR="00035100" w:rsidRPr="00035100" w14:paraId="5FA4A5D5" w14:textId="77777777">
        <w:trPr>
          <w:tblCellSpacing w:w="15" w:type="dxa"/>
        </w:trPr>
        <w:tc>
          <w:tcPr>
            <w:tcW w:w="0" w:type="auto"/>
            <w:vAlign w:val="center"/>
            <w:hideMark/>
          </w:tcPr>
          <w:p w14:paraId="3F98DE46" w14:textId="77777777" w:rsidR="00035100" w:rsidRPr="00035100" w:rsidRDefault="00035100" w:rsidP="00035100">
            <w:r w:rsidRPr="00035100">
              <w:t>Repeat SDC migration</w:t>
            </w:r>
          </w:p>
        </w:tc>
        <w:tc>
          <w:tcPr>
            <w:tcW w:w="0" w:type="auto"/>
            <w:vAlign w:val="center"/>
            <w:hideMark/>
          </w:tcPr>
          <w:p w14:paraId="66940236" w14:textId="77777777" w:rsidR="00035100" w:rsidRPr="00035100" w:rsidRDefault="00035100" w:rsidP="00035100">
            <w:r w:rsidRPr="00035100">
              <w:t>Confirm whether a full second migration is supported</w:t>
            </w:r>
          </w:p>
        </w:tc>
        <w:tc>
          <w:tcPr>
            <w:tcW w:w="0" w:type="auto"/>
            <w:vAlign w:val="center"/>
            <w:hideMark/>
          </w:tcPr>
          <w:p w14:paraId="5725C934" w14:textId="77777777" w:rsidR="00035100" w:rsidRPr="00035100" w:rsidRDefault="00035100" w:rsidP="00035100">
            <w:r w:rsidRPr="00035100">
              <w:t>Open</w:t>
            </w:r>
          </w:p>
        </w:tc>
      </w:tr>
    </w:tbl>
    <w:p w14:paraId="4A7AC354" w14:textId="77777777" w:rsidR="00035100" w:rsidRPr="00035100" w:rsidRDefault="00035100" w:rsidP="00035100">
      <w:pPr>
        <w:rPr>
          <w:b/>
          <w:bCs/>
        </w:rPr>
      </w:pPr>
      <w:r w:rsidRPr="00035100">
        <w:rPr>
          <w:b/>
          <w:bCs/>
        </w:rPr>
        <w:t>The most important risks</w:t>
      </w:r>
    </w:p>
    <w:p w14:paraId="62A45D62" w14:textId="77777777" w:rsidR="00035100" w:rsidRPr="00035100" w:rsidRDefault="00035100" w:rsidP="00035100">
      <w:r w:rsidRPr="00035100">
        <w:t>Risk 1 — Authorization inheritance may be misunderstood</w:t>
      </w:r>
    </w:p>
    <w:p w14:paraId="569F59B5" w14:textId="77777777" w:rsidR="00035100" w:rsidRPr="00035100" w:rsidRDefault="00035100" w:rsidP="00035100">
      <w:r w:rsidRPr="00035100">
        <w:t xml:space="preserve">Reusing the same Ranger service and AD group can simplify access management, but verify that the policies actually grant the intended access on the new endpoint. Starburst </w:t>
      </w:r>
      <w:r w:rsidRPr="00035100">
        <w:lastRenderedPageBreak/>
        <w:t xml:space="preserve">documents Ranger as a data-access authorization mechanism; it is not a substitute for endpoint authentication and network security. </w:t>
      </w:r>
    </w:p>
    <w:p w14:paraId="3A415E2E" w14:textId="75A95FCF" w:rsidR="00035100" w:rsidRPr="00035100" w:rsidRDefault="00035100" w:rsidP="00035100">
      <w:r w:rsidRPr="00035100">
        <w:drawing>
          <wp:inline distT="0" distB="0" distL="0" distR="0" wp14:anchorId="54744C0B" wp14:editId="3BF9B534">
            <wp:extent cx="304800" cy="304800"/>
            <wp:effectExtent l="0" t="0" r="0" b="0"/>
            <wp:docPr id="1002586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C6D3FD" w14:textId="77777777" w:rsidR="00035100" w:rsidRPr="00035100" w:rsidRDefault="00035100" w:rsidP="00035100">
      <w:r w:rsidRPr="00035100">
        <w:t>Starburst Enterprise</w:t>
      </w:r>
    </w:p>
    <w:p w14:paraId="7EBF8379" w14:textId="77777777" w:rsidR="00035100" w:rsidRPr="00035100" w:rsidRDefault="00035100" w:rsidP="00035100">
      <w:r w:rsidRPr="00035100">
        <w:t>+1</w:t>
      </w:r>
    </w:p>
    <w:p w14:paraId="1423AED2" w14:textId="77777777" w:rsidR="00035100" w:rsidRPr="00035100" w:rsidRDefault="00035100" w:rsidP="00035100">
      <w:r w:rsidRPr="00035100">
        <w:t xml:space="preserve">Risk 2 — </w:t>
      </w:r>
      <w:proofErr w:type="spellStart"/>
      <w:r w:rsidRPr="00035100">
        <w:t>Catalog</w:t>
      </w:r>
      <w:proofErr w:type="spellEnd"/>
      <w:r w:rsidRPr="00035100">
        <w:t xml:space="preserve"> drift between clusters</w:t>
      </w:r>
    </w:p>
    <w:p w14:paraId="37F67D7D" w14:textId="77777777" w:rsidR="00035100" w:rsidRPr="00035100" w:rsidRDefault="00035100" w:rsidP="00035100">
      <w:r w:rsidRPr="00035100">
        <w:t xml:space="preserve">A </w:t>
      </w:r>
      <w:proofErr w:type="spellStart"/>
      <w:r w:rsidRPr="00035100">
        <w:t>catalog</w:t>
      </w:r>
      <w:proofErr w:type="spellEnd"/>
      <w:r w:rsidRPr="00035100">
        <w:t xml:space="preserve"> configured on one cluster is not automatically configured on another. Establish an inventory and a repeatable configuration process. For shared </w:t>
      </w:r>
      <w:proofErr w:type="spellStart"/>
      <w:r w:rsidRPr="00035100">
        <w:t>catalog</w:t>
      </w:r>
      <w:proofErr w:type="spellEnd"/>
      <w:r w:rsidRPr="00035100">
        <w:t xml:space="preserve"> names, validate that the connector properties, permissions, endpoints and storage access are consistent.</w:t>
      </w:r>
    </w:p>
    <w:p w14:paraId="0638FE07" w14:textId="77777777" w:rsidR="00035100" w:rsidRPr="00035100" w:rsidRDefault="00035100" w:rsidP="00035100">
      <w:r w:rsidRPr="00035100">
        <w:t>Risk 3 — Timeline and production freeze</w:t>
      </w:r>
    </w:p>
    <w:p w14:paraId="53760F4F" w14:textId="77777777" w:rsidR="00035100" w:rsidRPr="00035100" w:rsidRDefault="00035100" w:rsidP="00035100">
      <w:r w:rsidRPr="00035100">
        <w:t>The required service identities, DNS approvals, WIP setup, whitelisting and deployment work have dependencies. An engineering estimate alone does not establish production readiness.</w:t>
      </w:r>
    </w:p>
    <w:p w14:paraId="73362F73" w14:textId="77777777" w:rsidR="00035100" w:rsidRPr="00035100" w:rsidRDefault="00035100" w:rsidP="00035100">
      <w:r w:rsidRPr="00035100">
        <w:t>Risk 4 — SDC rollback assumptions</w:t>
      </w:r>
    </w:p>
    <w:p w14:paraId="00C7423F" w14:textId="77777777" w:rsidR="00035100" w:rsidRPr="00035100" w:rsidRDefault="00035100" w:rsidP="00035100">
      <w:r w:rsidRPr="00035100">
        <w:t>The team has not established whether a repeatable migration is supported or how metadata changes would be reconciled after cutover. This needs an explicit vendor-supported recovery plan before production migration.</w:t>
      </w:r>
    </w:p>
    <w:p w14:paraId="77451AEA" w14:textId="77777777" w:rsidR="00035100" w:rsidRPr="00035100" w:rsidRDefault="00035100" w:rsidP="00035100">
      <w:pPr>
        <w:rPr>
          <w:b/>
          <w:bCs/>
        </w:rPr>
      </w:pPr>
      <w:r w:rsidRPr="00035100">
        <w:rPr>
          <w:b/>
          <w:bCs/>
        </w:rPr>
        <w:t>6. Action items from the meeting</w:t>
      </w:r>
    </w:p>
    <w:p w14:paraId="31266D69" w14:textId="77777777" w:rsidR="00035100" w:rsidRPr="00035100" w:rsidRDefault="00035100" w:rsidP="00035100">
      <w:r w:rsidRPr="00035100">
        <w:t>The transcript identifies the following follow-ups. Owners are described by team or responsibility because individual ownership was not always unambiguous in the recording.</w:t>
      </w:r>
    </w:p>
    <w:p w14:paraId="2A401177" w14:textId="77777777" w:rsidR="00035100" w:rsidRPr="00035100" w:rsidRDefault="00035100" w:rsidP="00035100">
      <w:r w:rsidRPr="00035100">
        <w:t>Application / analytics team</w:t>
      </w:r>
    </w:p>
    <w:p w14:paraId="76EABE2C" w14:textId="77777777" w:rsidR="00035100" w:rsidRPr="00035100" w:rsidRDefault="00035100" w:rsidP="00035100">
      <w:pPr>
        <w:numPr>
          <w:ilvl w:val="0"/>
          <w:numId w:val="4"/>
        </w:numPr>
      </w:pPr>
      <w:r w:rsidRPr="00035100">
        <w:t>Confirm the new application name.</w:t>
      </w:r>
    </w:p>
    <w:p w14:paraId="268E83D0" w14:textId="77777777" w:rsidR="00035100" w:rsidRPr="00035100" w:rsidRDefault="00035100" w:rsidP="00035100">
      <w:pPr>
        <w:numPr>
          <w:ilvl w:val="0"/>
          <w:numId w:val="4"/>
        </w:numPr>
      </w:pPr>
      <w:r w:rsidRPr="00035100">
        <w:t>Propose the DNS name and naming convention for both UAT and production.</w:t>
      </w:r>
    </w:p>
    <w:p w14:paraId="446396B5" w14:textId="77777777" w:rsidR="00035100" w:rsidRPr="00035100" w:rsidRDefault="00035100" w:rsidP="00035100">
      <w:pPr>
        <w:numPr>
          <w:ilvl w:val="0"/>
          <w:numId w:val="4"/>
        </w:numPr>
      </w:pPr>
      <w:r w:rsidRPr="00035100">
        <w:t>Confirm the existing authorization group to reuse.</w:t>
      </w:r>
    </w:p>
    <w:p w14:paraId="3B9976EB" w14:textId="77777777" w:rsidR="00035100" w:rsidRPr="00035100" w:rsidRDefault="00035100" w:rsidP="00035100">
      <w:pPr>
        <w:numPr>
          <w:ilvl w:val="0"/>
          <w:numId w:val="4"/>
        </w:numPr>
      </w:pPr>
      <w:r w:rsidRPr="00035100">
        <w:t>Supply required details for parallel environment preparation.</w:t>
      </w:r>
    </w:p>
    <w:p w14:paraId="0973F50F" w14:textId="77777777" w:rsidR="00035100" w:rsidRPr="00035100" w:rsidRDefault="00035100" w:rsidP="00035100">
      <w:r w:rsidRPr="00035100">
        <w:t>Starburst engineering and operations</w:t>
      </w:r>
    </w:p>
    <w:p w14:paraId="408CF234" w14:textId="77777777" w:rsidR="00035100" w:rsidRPr="00035100" w:rsidRDefault="00035100" w:rsidP="00035100">
      <w:pPr>
        <w:numPr>
          <w:ilvl w:val="0"/>
          <w:numId w:val="5"/>
        </w:numPr>
      </w:pPr>
      <w:r w:rsidRPr="00035100">
        <w:t>Share the prerequisite checklist, including service identity, WIP and DNS requirements.</w:t>
      </w:r>
    </w:p>
    <w:p w14:paraId="7A347FBE" w14:textId="77777777" w:rsidR="00035100" w:rsidRPr="00035100" w:rsidRDefault="00035100" w:rsidP="00035100">
      <w:pPr>
        <w:numPr>
          <w:ilvl w:val="0"/>
          <w:numId w:val="5"/>
        </w:numPr>
      </w:pPr>
      <w:r w:rsidRPr="00035100">
        <w:t>Confirm an activity-wise ETA and assess whether UAT and production can proceed in parallel.</w:t>
      </w:r>
    </w:p>
    <w:p w14:paraId="4B158778" w14:textId="77777777" w:rsidR="00035100" w:rsidRPr="00035100" w:rsidRDefault="00035100" w:rsidP="00035100">
      <w:pPr>
        <w:numPr>
          <w:ilvl w:val="0"/>
          <w:numId w:val="5"/>
        </w:numPr>
      </w:pPr>
      <w:r w:rsidRPr="00035100">
        <w:t>Validate the two-coordinator/40-worker topology and the cluster's readiness.</w:t>
      </w:r>
    </w:p>
    <w:p w14:paraId="13FAF2B8" w14:textId="77777777" w:rsidR="00035100" w:rsidRPr="00035100" w:rsidRDefault="00035100" w:rsidP="00035100">
      <w:pPr>
        <w:numPr>
          <w:ilvl w:val="0"/>
          <w:numId w:val="5"/>
        </w:numPr>
      </w:pPr>
      <w:r w:rsidRPr="00035100">
        <w:lastRenderedPageBreak/>
        <w:t>Configure the existing Ranger and HMS integrations.</w:t>
      </w:r>
    </w:p>
    <w:p w14:paraId="1D3E3471" w14:textId="77777777" w:rsidR="00035100" w:rsidRPr="00035100" w:rsidRDefault="00035100" w:rsidP="00035100">
      <w:r w:rsidRPr="00035100">
        <w:t xml:space="preserve">Platform / </w:t>
      </w:r>
      <w:proofErr w:type="spellStart"/>
      <w:r w:rsidRPr="00035100">
        <w:t>catalog</w:t>
      </w:r>
      <w:proofErr w:type="spellEnd"/>
      <w:r w:rsidRPr="00035100">
        <w:t xml:space="preserve"> teams</w:t>
      </w:r>
    </w:p>
    <w:p w14:paraId="766EA458" w14:textId="77777777" w:rsidR="00035100" w:rsidRPr="00035100" w:rsidRDefault="00035100" w:rsidP="00035100">
      <w:pPr>
        <w:numPr>
          <w:ilvl w:val="0"/>
          <w:numId w:val="6"/>
        </w:numPr>
      </w:pPr>
      <w:r w:rsidRPr="00035100">
        <w:t xml:space="preserve">Create </w:t>
      </w:r>
      <w:proofErr w:type="spellStart"/>
      <w:r w:rsidRPr="00035100">
        <w:t>catalogs</w:t>
      </w:r>
      <w:proofErr w:type="spellEnd"/>
      <w:r w:rsidRPr="00035100">
        <w:t xml:space="preserve"> in the required clusters.</w:t>
      </w:r>
    </w:p>
    <w:p w14:paraId="0DA3C73F" w14:textId="77777777" w:rsidR="00035100" w:rsidRPr="00035100" w:rsidRDefault="00035100" w:rsidP="00035100">
      <w:pPr>
        <w:numPr>
          <w:ilvl w:val="0"/>
          <w:numId w:val="6"/>
        </w:numPr>
      </w:pPr>
      <w:r w:rsidRPr="00035100">
        <w:t>Complete external connectivity and IP whitelisting, including Snowflake where applicable.</w:t>
      </w:r>
    </w:p>
    <w:p w14:paraId="5F1F785A" w14:textId="77777777" w:rsidR="00035100" w:rsidRPr="00035100" w:rsidRDefault="00035100" w:rsidP="00035100">
      <w:pPr>
        <w:numPr>
          <w:ilvl w:val="0"/>
          <w:numId w:val="6"/>
        </w:numPr>
      </w:pPr>
      <w:r w:rsidRPr="00035100">
        <w:t>Confirm that shared HMS metadata operations behave as expected.</w:t>
      </w:r>
    </w:p>
    <w:p w14:paraId="555904F0" w14:textId="77777777" w:rsidR="00035100" w:rsidRPr="00035100" w:rsidRDefault="00035100" w:rsidP="00035100">
      <w:r w:rsidRPr="00035100">
        <w:t>Starburst vendor / engineering</w:t>
      </w:r>
    </w:p>
    <w:p w14:paraId="531F48C6" w14:textId="77777777" w:rsidR="00035100" w:rsidRPr="00035100" w:rsidRDefault="00035100" w:rsidP="00035100">
      <w:pPr>
        <w:numPr>
          <w:ilvl w:val="0"/>
          <w:numId w:val="7"/>
        </w:numPr>
      </w:pPr>
      <w:r w:rsidRPr="00035100">
        <w:t>Confirm whether HMS-to-SDC migration can be repeated or fully refreshed.</w:t>
      </w:r>
    </w:p>
    <w:p w14:paraId="7237A8BF" w14:textId="77777777" w:rsidR="00035100" w:rsidRPr="00035100" w:rsidRDefault="00035100" w:rsidP="00035100">
      <w:pPr>
        <w:numPr>
          <w:ilvl w:val="0"/>
          <w:numId w:val="7"/>
        </w:numPr>
      </w:pPr>
      <w:r w:rsidRPr="00035100">
        <w:t>Document the supported test, cutover and recovery approach.</w:t>
      </w:r>
    </w:p>
    <w:p w14:paraId="5C5198E7" w14:textId="77777777" w:rsidR="00035100" w:rsidRPr="00035100" w:rsidRDefault="00035100" w:rsidP="00035100">
      <w:pPr>
        <w:numPr>
          <w:ilvl w:val="0"/>
          <w:numId w:val="7"/>
        </w:numPr>
      </w:pPr>
      <w:r w:rsidRPr="00035100">
        <w:t>Clarify any version-specific requirements for the current deployment.</w:t>
      </w:r>
    </w:p>
    <w:p w14:paraId="4163B6F3" w14:textId="3065E8E7" w:rsidR="00035100" w:rsidRPr="00035100" w:rsidRDefault="00035100" w:rsidP="00035100">
      <w:r w:rsidRPr="00035100">
        <w:t xml:space="preserve">The teams also agreed to circulate the minutes and reconnect early the following week to review outstanding prerequisites and timelines. </w:t>
      </w:r>
    </w:p>
    <w:p w14:paraId="67049058" w14:textId="77777777" w:rsidR="00035100" w:rsidRDefault="00035100" w:rsidP="00035100">
      <w:r>
        <w:t>Cluster and connectivity</w:t>
      </w:r>
    </w:p>
    <w:p w14:paraId="3522784E" w14:textId="77777777" w:rsidR="00035100" w:rsidRDefault="00035100" w:rsidP="00035100">
      <w:proofErr w:type="gramStart"/>
      <w:r>
        <w:t>[ ]</w:t>
      </w:r>
      <w:proofErr w:type="gramEnd"/>
      <w:r>
        <w:t xml:space="preserve"> Confirm application name, UAT/prod DNS and JDBC endpoints</w:t>
      </w:r>
    </w:p>
    <w:p w14:paraId="066E173D" w14:textId="77777777" w:rsidR="00035100" w:rsidRDefault="00035100" w:rsidP="00035100">
      <w:proofErr w:type="gramStart"/>
      <w:r>
        <w:t>[ ]</w:t>
      </w:r>
      <w:proofErr w:type="gramEnd"/>
      <w:r>
        <w:t xml:space="preserve"> Complete service identity, WIP and required approvals</w:t>
      </w:r>
    </w:p>
    <w:p w14:paraId="487E3CE7" w14:textId="77777777" w:rsidR="00035100" w:rsidRDefault="00035100" w:rsidP="00035100">
      <w:proofErr w:type="gramStart"/>
      <w:r>
        <w:t>[ ]</w:t>
      </w:r>
      <w:proofErr w:type="gramEnd"/>
      <w:r>
        <w:t xml:space="preserve"> Confirm two coordinators, 40 workers and health checks</w:t>
      </w:r>
    </w:p>
    <w:p w14:paraId="2DF3372C" w14:textId="77777777" w:rsidR="00035100" w:rsidRDefault="00035100" w:rsidP="00035100">
      <w:proofErr w:type="gramStart"/>
      <w:r>
        <w:t>[ ]</w:t>
      </w:r>
      <w:proofErr w:type="gramEnd"/>
      <w:r>
        <w:t xml:space="preserve"> Complete connector-specific IP whitelisting</w:t>
      </w:r>
    </w:p>
    <w:p w14:paraId="669850E0" w14:textId="77777777" w:rsidR="00035100" w:rsidRDefault="00035100" w:rsidP="00035100"/>
    <w:p w14:paraId="7C637C8F" w14:textId="77777777" w:rsidR="00035100" w:rsidRDefault="00035100" w:rsidP="00035100">
      <w:r>
        <w:t>RSA and governance</w:t>
      </w:r>
    </w:p>
    <w:p w14:paraId="0FAE7C54" w14:textId="77777777" w:rsidR="00035100" w:rsidRDefault="00035100" w:rsidP="00035100">
      <w:proofErr w:type="gramStart"/>
      <w:r>
        <w:t>[ ]</w:t>
      </w:r>
      <w:proofErr w:type="gramEnd"/>
      <w:r>
        <w:t xml:space="preserve"> Verify Ranger service, policies and AD group mapping</w:t>
      </w:r>
    </w:p>
    <w:p w14:paraId="33E45817" w14:textId="77777777" w:rsidR="00035100" w:rsidRDefault="00035100" w:rsidP="00035100">
      <w:proofErr w:type="gramStart"/>
      <w:r>
        <w:t>[ ]</w:t>
      </w:r>
      <w:proofErr w:type="gramEnd"/>
      <w:r>
        <w:t xml:space="preserve"> Validate user access on the new endpoint</w:t>
      </w:r>
    </w:p>
    <w:p w14:paraId="5A143F53" w14:textId="77777777" w:rsidR="00035100" w:rsidRDefault="00035100" w:rsidP="00035100">
      <w:proofErr w:type="gramStart"/>
      <w:r>
        <w:t>[ ]</w:t>
      </w:r>
      <w:proofErr w:type="gramEnd"/>
      <w:r>
        <w:t xml:space="preserve"> Confirm workload routing and resource-group limits where applicable</w:t>
      </w:r>
    </w:p>
    <w:p w14:paraId="55CE2C3E" w14:textId="77777777" w:rsidR="00035100" w:rsidRDefault="00035100" w:rsidP="00035100">
      <w:proofErr w:type="gramStart"/>
      <w:r>
        <w:t>[ ]</w:t>
      </w:r>
      <w:proofErr w:type="gramEnd"/>
      <w:r>
        <w:t xml:space="preserve"> Test representative queries and monitor concurrency, queueing and CPU</w:t>
      </w:r>
    </w:p>
    <w:p w14:paraId="61841F3D" w14:textId="77777777" w:rsidR="00035100" w:rsidRDefault="00035100" w:rsidP="00035100"/>
    <w:p w14:paraId="24AF4366" w14:textId="77777777" w:rsidR="00035100" w:rsidRDefault="00035100" w:rsidP="00035100">
      <w:r>
        <w:t>Metadata and migration</w:t>
      </w:r>
    </w:p>
    <w:p w14:paraId="72B96A88" w14:textId="77777777" w:rsidR="00035100" w:rsidRDefault="00035100" w:rsidP="00035100">
      <w:proofErr w:type="gramStart"/>
      <w:r>
        <w:t>[ ]</w:t>
      </w:r>
      <w:proofErr w:type="gramEnd"/>
      <w:r>
        <w:t xml:space="preserve"> Inventory existing </w:t>
      </w:r>
      <w:proofErr w:type="spellStart"/>
      <w:r>
        <w:t>catalogs</w:t>
      </w:r>
      <w:proofErr w:type="spellEnd"/>
      <w:r>
        <w:t xml:space="preserve"> and metadata dependencies</w:t>
      </w:r>
    </w:p>
    <w:p w14:paraId="4E38D260" w14:textId="77777777" w:rsidR="00035100" w:rsidRDefault="00035100" w:rsidP="00035100">
      <w:proofErr w:type="gramStart"/>
      <w:r>
        <w:t>[ ]</w:t>
      </w:r>
      <w:proofErr w:type="gramEnd"/>
      <w:r>
        <w:t xml:space="preserve"> Test separate SDC </w:t>
      </w:r>
      <w:proofErr w:type="spellStart"/>
      <w:r>
        <w:t>catalog</w:t>
      </w:r>
      <w:proofErr w:type="spellEnd"/>
      <w:r>
        <w:t xml:space="preserve"> in Dev/UAT</w:t>
      </w:r>
    </w:p>
    <w:p w14:paraId="74EB8729" w14:textId="77777777" w:rsidR="00035100" w:rsidRDefault="00035100" w:rsidP="00035100">
      <w:proofErr w:type="gramStart"/>
      <w:r>
        <w:t>[ ]</w:t>
      </w:r>
      <w:proofErr w:type="gramEnd"/>
      <w:r>
        <w:t xml:space="preserve"> Confirm metadata validation and cutover procedure</w:t>
      </w:r>
    </w:p>
    <w:p w14:paraId="0E62527E" w14:textId="0AAD2B61" w:rsidR="00035100" w:rsidRDefault="00035100" w:rsidP="00035100">
      <w:proofErr w:type="gramStart"/>
      <w:r>
        <w:t>[ ]</w:t>
      </w:r>
      <w:proofErr w:type="gramEnd"/>
      <w:r>
        <w:t xml:space="preserve"> Obtain documented migration retry and rollback guidance</w:t>
      </w:r>
    </w:p>
    <w:sectPr w:rsidR="000351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56C"/>
    <w:multiLevelType w:val="multilevel"/>
    <w:tmpl w:val="C58A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D6168"/>
    <w:multiLevelType w:val="multilevel"/>
    <w:tmpl w:val="5F9A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227A5"/>
    <w:multiLevelType w:val="multilevel"/>
    <w:tmpl w:val="29AAD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975BBC"/>
    <w:multiLevelType w:val="multilevel"/>
    <w:tmpl w:val="18E8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44C85"/>
    <w:multiLevelType w:val="multilevel"/>
    <w:tmpl w:val="83D0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80D5A"/>
    <w:multiLevelType w:val="multilevel"/>
    <w:tmpl w:val="B226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131AE"/>
    <w:multiLevelType w:val="multilevel"/>
    <w:tmpl w:val="5CE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547379">
    <w:abstractNumId w:val="4"/>
  </w:num>
  <w:num w:numId="2" w16cid:durableId="1287201761">
    <w:abstractNumId w:val="1"/>
  </w:num>
  <w:num w:numId="3" w16cid:durableId="1069160184">
    <w:abstractNumId w:val="2"/>
  </w:num>
  <w:num w:numId="4" w16cid:durableId="774130777">
    <w:abstractNumId w:val="5"/>
  </w:num>
  <w:num w:numId="5" w16cid:durableId="1922833278">
    <w:abstractNumId w:val="3"/>
  </w:num>
  <w:num w:numId="6" w16cid:durableId="1470630815">
    <w:abstractNumId w:val="6"/>
  </w:num>
  <w:num w:numId="7" w16cid:durableId="1920555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100"/>
    <w:rsid w:val="00035100"/>
    <w:rsid w:val="00207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63C6A"/>
  <w15:chartTrackingRefBased/>
  <w15:docId w15:val="{FB88C6EA-D5F4-4AAC-B390-CE564F435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1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51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51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1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1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1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51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51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1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1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100"/>
    <w:rPr>
      <w:rFonts w:eastAsiaTheme="majorEastAsia" w:cstheme="majorBidi"/>
      <w:color w:val="272727" w:themeColor="text1" w:themeTint="D8"/>
    </w:rPr>
  </w:style>
  <w:style w:type="paragraph" w:styleId="Title">
    <w:name w:val="Title"/>
    <w:basedOn w:val="Normal"/>
    <w:next w:val="Normal"/>
    <w:link w:val="TitleChar"/>
    <w:uiPriority w:val="10"/>
    <w:qFormat/>
    <w:rsid w:val="00035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100"/>
    <w:pPr>
      <w:spacing w:before="160"/>
      <w:jc w:val="center"/>
    </w:pPr>
    <w:rPr>
      <w:i/>
      <w:iCs/>
      <w:color w:val="404040" w:themeColor="text1" w:themeTint="BF"/>
    </w:rPr>
  </w:style>
  <w:style w:type="character" w:customStyle="1" w:styleId="QuoteChar">
    <w:name w:val="Quote Char"/>
    <w:basedOn w:val="DefaultParagraphFont"/>
    <w:link w:val="Quote"/>
    <w:uiPriority w:val="29"/>
    <w:rsid w:val="00035100"/>
    <w:rPr>
      <w:i/>
      <w:iCs/>
      <w:color w:val="404040" w:themeColor="text1" w:themeTint="BF"/>
    </w:rPr>
  </w:style>
  <w:style w:type="paragraph" w:styleId="ListParagraph">
    <w:name w:val="List Paragraph"/>
    <w:basedOn w:val="Normal"/>
    <w:uiPriority w:val="34"/>
    <w:qFormat/>
    <w:rsid w:val="00035100"/>
    <w:pPr>
      <w:ind w:left="720"/>
      <w:contextualSpacing/>
    </w:pPr>
  </w:style>
  <w:style w:type="character" w:styleId="IntenseEmphasis">
    <w:name w:val="Intense Emphasis"/>
    <w:basedOn w:val="DefaultParagraphFont"/>
    <w:uiPriority w:val="21"/>
    <w:qFormat/>
    <w:rsid w:val="00035100"/>
    <w:rPr>
      <w:i/>
      <w:iCs/>
      <w:color w:val="2F5496" w:themeColor="accent1" w:themeShade="BF"/>
    </w:rPr>
  </w:style>
  <w:style w:type="paragraph" w:styleId="IntenseQuote">
    <w:name w:val="Intense Quote"/>
    <w:basedOn w:val="Normal"/>
    <w:next w:val="Normal"/>
    <w:link w:val="IntenseQuoteChar"/>
    <w:uiPriority w:val="30"/>
    <w:qFormat/>
    <w:rsid w:val="000351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100"/>
    <w:rPr>
      <w:i/>
      <w:iCs/>
      <w:color w:val="2F5496" w:themeColor="accent1" w:themeShade="BF"/>
    </w:rPr>
  </w:style>
  <w:style w:type="character" w:styleId="IntenseReference">
    <w:name w:val="Intense Reference"/>
    <w:basedOn w:val="DefaultParagraphFont"/>
    <w:uiPriority w:val="32"/>
    <w:qFormat/>
    <w:rsid w:val="000351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2347</Words>
  <Characters>13380</Characters>
  <Application>Microsoft Office Word</Application>
  <DocSecurity>0</DocSecurity>
  <Lines>111</Lines>
  <Paragraphs>31</Paragraphs>
  <ScaleCrop>false</ScaleCrop>
  <Company/>
  <LinksUpToDate>false</LinksUpToDate>
  <CharactersWithSpaces>15696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1</cp:revision>
  <dcterms:created xsi:type="dcterms:W3CDTF">2026-10-23T16:14:00Z</dcterms:created>
  <dcterms:modified xsi:type="dcterms:W3CDTF">2026-10-23T16:16:00Z</dcterms:modified>
</cp:coreProperties>
</file>