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CampaignPilot AI</w:t>
      </w:r>
    </w:p>
    <w:p>
      <w:pPr>
        <w:jc w:val="center"/>
      </w:pPr>
      <w:r>
        <w:rPr>
          <w:rFonts w:ascii="Arial" w:hAnsi="Arial"/>
          <w:b/>
          <w:sz w:val="28"/>
        </w:rPr>
        <w:t>Phase 4: Channel &amp; Tool Strategy Decision Note</w:t>
      </w:r>
    </w:p>
    <w:p>
      <w:pPr>
        <w:jc w:val="center"/>
      </w:pPr>
      <w:r>
        <w:rPr>
          <w:rFonts w:ascii="Arial" w:hAnsi="Arial"/>
          <w:sz w:val="20"/>
        </w:rPr>
        <w:t>Short architecture lock for pluggable channels, tool registry, LangChain boundaries, and MCP future extension.</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rFonts w:ascii="Arial" w:hAnsi="Arial"/>
                <w:b/>
                <w:sz w:val="18"/>
              </w:rPr>
              <w:t>Field</w:t>
            </w:r>
          </w:p>
        </w:tc>
        <w:tc>
          <w:tcPr>
            <w:tcW w:type="dxa" w:w="7920"/>
            <w:vAlign w:val="top"/>
            <w:shd w:fill="D9EAF7"/>
          </w:tcPr>
          <w:p>
            <w:r/>
            <w:r>
              <w:rPr>
                <w:rFonts w:ascii="Arial" w:hAnsi="Arial"/>
                <w:b/>
                <w:sz w:val="18"/>
              </w:rPr>
              <w:t>Decision</w:t>
            </w:r>
          </w:p>
        </w:tc>
      </w:tr>
      <w:tr>
        <w:tc>
          <w:tcPr>
            <w:tcW w:type="dxa" w:w="2592"/>
            <w:vAlign w:val="top"/>
          </w:tcPr>
          <w:p>
            <w:r/>
            <w:r>
              <w:rPr>
                <w:rFonts w:ascii="Arial" w:hAnsi="Arial"/>
                <w:b w:val="0"/>
                <w:sz w:val="18"/>
              </w:rPr>
              <w:t>Document Type</w:t>
            </w:r>
          </w:p>
        </w:tc>
        <w:tc>
          <w:tcPr>
            <w:tcW w:type="dxa" w:w="7920"/>
            <w:vAlign w:val="top"/>
          </w:tcPr>
          <w:p>
            <w:r/>
            <w:r>
              <w:rPr>
                <w:rFonts w:ascii="Arial" w:hAnsi="Arial"/>
                <w:b w:val="0"/>
                <w:sz w:val="18"/>
              </w:rPr>
              <w:t>Short Architecture Decision Note</w:t>
            </w:r>
          </w:p>
        </w:tc>
      </w:tr>
      <w:tr>
        <w:tc>
          <w:tcPr>
            <w:tcW w:type="dxa" w:w="2592"/>
            <w:vAlign w:val="top"/>
          </w:tcPr>
          <w:p>
            <w:r/>
            <w:r>
              <w:rPr>
                <w:rFonts w:ascii="Arial" w:hAnsi="Arial"/>
                <w:b w:val="0"/>
                <w:sz w:val="18"/>
              </w:rPr>
              <w:t>Version</w:t>
            </w:r>
          </w:p>
        </w:tc>
        <w:tc>
          <w:tcPr>
            <w:tcW w:type="dxa" w:w="7920"/>
            <w:vAlign w:val="top"/>
          </w:tcPr>
          <w:p>
            <w:r/>
            <w:r>
              <w:rPr>
                <w:rFonts w:ascii="Arial" w:hAnsi="Arial"/>
                <w:b w:val="0"/>
                <w:sz w:val="18"/>
              </w:rPr>
              <w:t>v0.1</w:t>
            </w:r>
          </w:p>
        </w:tc>
      </w:tr>
      <w:tr>
        <w:tc>
          <w:tcPr>
            <w:tcW w:type="dxa" w:w="2592"/>
            <w:vAlign w:val="top"/>
          </w:tcPr>
          <w:p>
            <w:r/>
            <w:r>
              <w:rPr>
                <w:rFonts w:ascii="Arial" w:hAnsi="Arial"/>
                <w:b w:val="0"/>
                <w:sz w:val="18"/>
              </w:rPr>
              <w:t>Status</w:t>
            </w:r>
          </w:p>
        </w:tc>
        <w:tc>
          <w:tcPr>
            <w:tcW w:type="dxa" w:w="7920"/>
            <w:vAlign w:val="top"/>
          </w:tcPr>
          <w:p>
            <w:r/>
            <w:r>
              <w:rPr>
                <w:rFonts w:ascii="Arial" w:hAnsi="Arial"/>
                <w:b w:val="0"/>
                <w:sz w:val="18"/>
              </w:rPr>
              <w:t>Locked for HLD baseline</w:t>
            </w:r>
          </w:p>
        </w:tc>
      </w:tr>
      <w:tr>
        <w:tc>
          <w:tcPr>
            <w:tcW w:type="dxa" w:w="2592"/>
            <w:vAlign w:val="top"/>
          </w:tcPr>
          <w:p>
            <w:r/>
            <w:r>
              <w:rPr>
                <w:rFonts w:ascii="Arial" w:hAnsi="Arial"/>
                <w:b w:val="0"/>
                <w:sz w:val="18"/>
              </w:rPr>
              <w:t>Main Goal</w:t>
            </w:r>
          </w:p>
        </w:tc>
        <w:tc>
          <w:tcPr>
            <w:tcW w:type="dxa" w:w="7920"/>
            <w:vAlign w:val="top"/>
          </w:tcPr>
          <w:p>
            <w:r/>
            <w:r>
              <w:rPr>
                <w:rFonts w:ascii="Arial" w:hAnsi="Arial"/>
                <w:b w:val="0"/>
                <w:sz w:val="18"/>
              </w:rPr>
              <w:t>Keep channel integrations pluggable and tool orchestration clean without spreading provider-specific logic across the codebase.</w:t>
            </w:r>
          </w:p>
        </w:tc>
      </w:tr>
    </w:tbl>
    <w:p/>
    <w:p>
      <w:pPr>
        <w:pStyle w:val="Heading1"/>
      </w:pPr>
      <w:r>
        <w:rPr>
          <w:rFonts w:ascii="Arial" w:hAnsi="Arial"/>
        </w:rPr>
        <w:t>1. Purpose</w:t>
      </w:r>
    </w:p>
    <w:p>
      <w:r>
        <w:rPr>
          <w:rFonts w:ascii="Arial" w:hAnsi="Arial"/>
        </w:rPr>
        <w:t>This document locks Phase 4 decisions for how messaging channels, business tools, LangChain wrappers, and future MCP support will be organized in CampaignPilot AI. It is intentionally short because detailed architecture will be covered in Phase 5 HLD.</w:t>
      </w:r>
    </w:p>
    <w:p>
      <w:pPr>
        <w:pStyle w:val="Heading1"/>
      </w:pPr>
      <w:r>
        <w:rPr>
          <w:rFonts w:ascii="Arial" w:hAnsi="Arial"/>
        </w:rPr>
        <w:t>2. Locked Decisions</w:t>
      </w:r>
    </w:p>
    <w:tbl>
      <w:tblPr>
        <w:tblStyle w:val="TableGrid"/>
        <w:tblW w:type="auto" w:w="0"/>
        <w:jc w:val="center"/>
        <w:tblLook w:firstColumn="1" w:firstRow="1" w:lastColumn="0" w:lastRow="0" w:noHBand="0" w:noVBand="1" w:val="04A0"/>
      </w:tblPr>
      <w:tblGrid>
        <w:gridCol w:w="3456"/>
        <w:gridCol w:w="3456"/>
        <w:gridCol w:w="3456"/>
      </w:tblGrid>
      <w:tr>
        <w:tc>
          <w:tcPr>
            <w:tcW w:type="dxa" w:w="792"/>
            <w:vAlign w:val="top"/>
            <w:shd w:fill="D9EAF7"/>
          </w:tcPr>
          <w:p>
            <w:r/>
            <w:r>
              <w:rPr>
                <w:rFonts w:ascii="Arial" w:hAnsi="Arial"/>
                <w:b/>
                <w:sz w:val="18"/>
              </w:rPr>
              <w:t>ID</w:t>
            </w:r>
          </w:p>
        </w:tc>
        <w:tc>
          <w:tcPr>
            <w:tcW w:type="dxa" w:w="2448"/>
            <w:vAlign w:val="top"/>
            <w:shd w:fill="D9EAF7"/>
          </w:tcPr>
          <w:p>
            <w:r/>
            <w:r>
              <w:rPr>
                <w:rFonts w:ascii="Arial" w:hAnsi="Arial"/>
                <w:b/>
                <w:sz w:val="18"/>
              </w:rPr>
              <w:t>Decision</w:t>
            </w:r>
          </w:p>
        </w:tc>
        <w:tc>
          <w:tcPr>
            <w:tcW w:type="dxa" w:w="7200"/>
            <w:vAlign w:val="top"/>
            <w:shd w:fill="D9EAF7"/>
          </w:tcPr>
          <w:p>
            <w:r/>
            <w:r>
              <w:rPr>
                <w:rFonts w:ascii="Arial" w:hAnsi="Arial"/>
                <w:b/>
                <w:sz w:val="18"/>
              </w:rPr>
              <w:t>Description</w:t>
            </w:r>
          </w:p>
        </w:tc>
      </w:tr>
      <w:tr>
        <w:tc>
          <w:tcPr>
            <w:tcW w:type="dxa" w:w="792"/>
            <w:vAlign w:val="top"/>
          </w:tcPr>
          <w:p>
            <w:r/>
            <w:r>
              <w:rPr>
                <w:rFonts w:ascii="Arial" w:hAnsi="Arial"/>
                <w:b w:val="0"/>
                <w:sz w:val="18"/>
              </w:rPr>
              <w:t>D1</w:t>
            </w:r>
          </w:p>
        </w:tc>
        <w:tc>
          <w:tcPr>
            <w:tcW w:type="dxa" w:w="2448"/>
            <w:vAlign w:val="top"/>
          </w:tcPr>
          <w:p>
            <w:r/>
            <w:r>
              <w:rPr>
                <w:rFonts w:ascii="Arial" w:hAnsi="Arial"/>
                <w:b w:val="0"/>
                <w:sz w:val="18"/>
              </w:rPr>
              <w:t>Pluggable Channels</w:t>
            </w:r>
          </w:p>
        </w:tc>
        <w:tc>
          <w:tcPr>
            <w:tcW w:type="dxa" w:w="7200"/>
            <w:vAlign w:val="top"/>
          </w:tcPr>
          <w:p>
            <w:r/>
            <w:r>
              <w:rPr>
                <w:rFonts w:ascii="Arial" w:hAnsi="Arial"/>
                <w:b w:val="0"/>
                <w:sz w:val="18"/>
              </w:rPr>
              <w:t>Core campaign logic must not call Telegram, WhatsApp, Email, Discord, or any provider directly. Campaign Service will route through Channel Registry and selected Channel Adapter.</w:t>
            </w:r>
          </w:p>
        </w:tc>
      </w:tr>
      <w:tr>
        <w:tc>
          <w:tcPr>
            <w:tcW w:type="dxa" w:w="792"/>
            <w:vAlign w:val="top"/>
          </w:tcPr>
          <w:p>
            <w:r/>
            <w:r>
              <w:rPr>
                <w:rFonts w:ascii="Arial" w:hAnsi="Arial"/>
                <w:b w:val="0"/>
                <w:sz w:val="18"/>
              </w:rPr>
              <w:t>D2</w:t>
            </w:r>
          </w:p>
        </w:tc>
        <w:tc>
          <w:tcPr>
            <w:tcW w:type="dxa" w:w="2448"/>
            <w:vAlign w:val="top"/>
          </w:tcPr>
          <w:p>
            <w:r/>
            <w:r>
              <w:rPr>
                <w:rFonts w:ascii="Arial" w:hAnsi="Arial"/>
                <w:b w:val="0"/>
                <w:sz w:val="18"/>
              </w:rPr>
              <w:t>Separate Channel Layer</w:t>
            </w:r>
          </w:p>
        </w:tc>
        <w:tc>
          <w:tcPr>
            <w:tcW w:type="dxa" w:w="7200"/>
            <w:vAlign w:val="top"/>
          </w:tcPr>
          <w:p>
            <w:r/>
            <w:r>
              <w:rPr>
                <w:rFonts w:ascii="Arial" w:hAnsi="Arial"/>
                <w:b w:val="0"/>
                <w:sz w:val="18"/>
              </w:rPr>
              <w:t>All provider-specific sender, mapper, validator, and payload conversion logic will live in backend/app/channels/, not inside tools/ or campaign service.</w:t>
            </w:r>
          </w:p>
        </w:tc>
      </w:tr>
      <w:tr>
        <w:tc>
          <w:tcPr>
            <w:tcW w:type="dxa" w:w="792"/>
            <w:vAlign w:val="top"/>
          </w:tcPr>
          <w:p>
            <w:r/>
            <w:r>
              <w:rPr>
                <w:rFonts w:ascii="Arial" w:hAnsi="Arial"/>
                <w:b w:val="0"/>
                <w:sz w:val="18"/>
              </w:rPr>
              <w:t>D3</w:t>
            </w:r>
          </w:p>
        </w:tc>
        <w:tc>
          <w:tcPr>
            <w:tcW w:type="dxa" w:w="2448"/>
            <w:vAlign w:val="top"/>
          </w:tcPr>
          <w:p>
            <w:r/>
            <w:r>
              <w:rPr>
                <w:rFonts w:ascii="Arial" w:hAnsi="Arial"/>
                <w:b w:val="0"/>
                <w:sz w:val="18"/>
              </w:rPr>
              <w:t>Tools as Business Actions</w:t>
            </w:r>
          </w:p>
        </w:tc>
        <w:tc>
          <w:tcPr>
            <w:tcW w:type="dxa" w:w="7200"/>
            <w:vAlign w:val="top"/>
          </w:tcPr>
          <w:p>
            <w:r/>
            <w:r>
              <w:rPr>
                <w:rFonts w:ascii="Arial" w:hAnsi="Arial"/>
                <w:b w:val="0"/>
                <w:sz w:val="18"/>
              </w:rPr>
              <w:t>tools/ will contain AI/business actions such as compliance check, RAG search, payload building, and messaging trigger. Actual provider send is delegated to channel adapters.</w:t>
            </w:r>
          </w:p>
        </w:tc>
      </w:tr>
      <w:tr>
        <w:tc>
          <w:tcPr>
            <w:tcW w:type="dxa" w:w="792"/>
            <w:vAlign w:val="top"/>
          </w:tcPr>
          <w:p>
            <w:r/>
            <w:r>
              <w:rPr>
                <w:rFonts w:ascii="Arial" w:hAnsi="Arial"/>
                <w:b w:val="0"/>
                <w:sz w:val="18"/>
              </w:rPr>
              <w:t>D4</w:t>
            </w:r>
          </w:p>
        </w:tc>
        <w:tc>
          <w:tcPr>
            <w:tcW w:type="dxa" w:w="2448"/>
            <w:vAlign w:val="top"/>
          </w:tcPr>
          <w:p>
            <w:r/>
            <w:r>
              <w:rPr>
                <w:rFonts w:ascii="Arial" w:hAnsi="Arial"/>
                <w:b w:val="0"/>
                <w:sz w:val="18"/>
              </w:rPr>
              <w:t>Controlled LangChain Usage</w:t>
            </w:r>
          </w:p>
        </w:tc>
        <w:tc>
          <w:tcPr>
            <w:tcW w:type="dxa" w:w="7200"/>
            <w:vAlign w:val="top"/>
          </w:tcPr>
          <w:p>
            <w:r/>
            <w:r>
              <w:rPr>
                <w:rFonts w:ascii="Arial" w:hAnsi="Arial"/>
                <w:b w:val="0"/>
                <w:sz w:val="18"/>
              </w:rPr>
              <w:t>LangChain will be used through controlled wrappers in llm/, rag/, tools/, and agents/. Business services should call internal interfaces, not LangChain directly.</w:t>
            </w:r>
          </w:p>
        </w:tc>
      </w:tr>
      <w:tr>
        <w:tc>
          <w:tcPr>
            <w:tcW w:type="dxa" w:w="792"/>
            <w:vAlign w:val="top"/>
          </w:tcPr>
          <w:p>
            <w:r/>
            <w:r>
              <w:rPr>
                <w:rFonts w:ascii="Arial" w:hAnsi="Arial"/>
                <w:b w:val="0"/>
                <w:sz w:val="18"/>
              </w:rPr>
              <w:t>D5</w:t>
            </w:r>
          </w:p>
        </w:tc>
        <w:tc>
          <w:tcPr>
            <w:tcW w:type="dxa" w:w="2448"/>
            <w:vAlign w:val="top"/>
          </w:tcPr>
          <w:p>
            <w:r/>
            <w:r>
              <w:rPr>
                <w:rFonts w:ascii="Arial" w:hAnsi="Arial"/>
                <w:b w:val="0"/>
                <w:sz w:val="18"/>
              </w:rPr>
              <w:t>MCP in Advanced Phase</w:t>
            </w:r>
          </w:p>
        </w:tc>
        <w:tc>
          <w:tcPr>
            <w:tcW w:type="dxa" w:w="7200"/>
            <w:vAlign w:val="top"/>
          </w:tcPr>
          <w:p>
            <w:r/>
            <w:r>
              <w:rPr>
                <w:rFonts w:ascii="Arial" w:hAnsi="Arial"/>
                <w:b w:val="0"/>
                <w:sz w:val="18"/>
              </w:rPr>
              <w:t>MVP will use internal tool registry. Later, selected tools such as brand search, compliance check, telegram send, and WhatsApp payload builder can be exposed through an MCP-style layer.</w:t>
            </w:r>
          </w:p>
        </w:tc>
      </w:tr>
    </w:tbl>
    <w:p/>
    <w:p>
      <w:pPr>
        <w:pStyle w:val="Heading1"/>
      </w:pPr>
      <w:r>
        <w:rPr>
          <w:rFonts w:ascii="Arial" w:hAnsi="Arial"/>
        </w:rPr>
        <w:t>3. Channel Architecture</w:t>
      </w:r>
    </w:p>
    <w:p>
      <w:r>
        <w:rPr>
          <w:rFonts w:ascii="Arial" w:hAnsi="Arial"/>
        </w:rPr>
        <w:t>Final flow:</w:t>
      </w:r>
    </w:p>
    <w:p>
      <w:r>
        <w:rPr>
          <w:rFonts w:ascii="Courier New" w:hAnsi="Courier New"/>
          <w:sz w:val="18"/>
        </w:rPr>
        <w:t>Campaign Service → Channel Registry → Selected Channel Adapter → Provider API / Mock Provider</w:t>
      </w:r>
    </w:p>
    <w:p>
      <w:r>
        <w:rPr>
          <w:rFonts w:ascii="Arial" w:hAnsi="Arial"/>
        </w:rPr>
        <w:t>Reason: new channels can be added by implementing a new adapter/mapper/validator without changing core campaign logic.</w:t>
      </w:r>
    </w:p>
    <w:p>
      <w:r>
        <w:rPr>
          <w:rFonts w:ascii="Arial" w:hAnsi="Arial"/>
        </w:rPr>
        <w:t>Recommended folder structure:</w:t>
      </w:r>
    </w:p>
    <w:p>
      <w:r>
        <w:rPr>
          <w:rFonts w:ascii="Courier New" w:hAnsi="Courier New"/>
          <w:sz w:val="17"/>
        </w:rPr>
        <w:t>backend/app/channels/</w:t>
        <w:br/>
        <w:t>├── base_channel.py</w:t>
        <w:br/>
        <w:t>├── channel_registry.py</w:t>
        <w:br/>
        <w:t>├── payload_mapper.py</w:t>
        <w:br/>
        <w:t>├── telegram/</w:t>
        <w:br/>
        <w:t>│   ├── telegram_sender.py</w:t>
        <w:br/>
        <w:t>│   ├── telegram_mapper.py</w:t>
        <w:br/>
        <w:t>│   └── telegram_validator.py</w:t>
        <w:br/>
        <w:t>└── whatsapp/</w:t>
        <w:br/>
        <w:t xml:space="preserve">    ├── mock_whatsapp_sender.py</w:t>
        <w:br/>
        <w:t xml:space="preserve">    ├── whatsapp_mapper.py</w:t>
        <w:br/>
        <w:t xml:space="preserve">    └── whatsapp_validator.py</w:t>
      </w:r>
    </w:p>
    <w:p>
      <w:pPr>
        <w:pStyle w:val="Heading1"/>
      </w:pPr>
      <w:r>
        <w:rPr>
          <w:rFonts w:ascii="Arial" w:hAnsi="Arial"/>
        </w:rPr>
        <w:t>4. Tool Strategy</w:t>
      </w:r>
    </w:p>
    <w:p>
      <w:r>
        <w:rPr>
          <w:rFonts w:ascii="Arial" w:hAnsi="Arial"/>
        </w:rPr>
        <w:t>Tools represent business actions that the AI agent can use. They should not contain hardcoded provider logic.</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rFonts w:ascii="Arial" w:hAnsi="Arial"/>
                <w:b/>
                <w:sz w:val="18"/>
              </w:rPr>
              <w:t>Tool</w:t>
            </w:r>
          </w:p>
        </w:tc>
        <w:tc>
          <w:tcPr>
            <w:tcW w:type="dxa" w:w="7488"/>
            <w:vAlign w:val="top"/>
            <w:shd w:fill="D9EAF7"/>
          </w:tcPr>
          <w:p>
            <w:r/>
            <w:r>
              <w:rPr>
                <w:rFonts w:ascii="Arial" w:hAnsi="Arial"/>
                <w:b/>
                <w:sz w:val="18"/>
              </w:rPr>
              <w:t>Responsibility</w:t>
            </w:r>
          </w:p>
        </w:tc>
      </w:tr>
      <w:tr>
        <w:tc>
          <w:tcPr>
            <w:tcW w:type="dxa" w:w="2880"/>
            <w:vAlign w:val="top"/>
          </w:tcPr>
          <w:p>
            <w:r/>
            <w:r>
              <w:rPr>
                <w:rFonts w:ascii="Arial" w:hAnsi="Arial"/>
                <w:b w:val="0"/>
                <w:sz w:val="18"/>
              </w:rPr>
              <w:t>compliance_tool.py</w:t>
            </w:r>
          </w:p>
        </w:tc>
        <w:tc>
          <w:tcPr>
            <w:tcW w:type="dxa" w:w="7488"/>
            <w:vAlign w:val="top"/>
          </w:tcPr>
          <w:p>
            <w:r/>
            <w:r>
              <w:rPr>
                <w:rFonts w:ascii="Arial" w:hAnsi="Arial"/>
                <w:b w:val="0"/>
                <w:sz w:val="18"/>
              </w:rPr>
              <w:t>Check spam risk, PII leak, CTA presence, length limit, banned words, and brand rule violations.</w:t>
            </w:r>
          </w:p>
        </w:tc>
      </w:tr>
      <w:tr>
        <w:tc>
          <w:tcPr>
            <w:tcW w:type="dxa" w:w="2880"/>
            <w:vAlign w:val="top"/>
          </w:tcPr>
          <w:p>
            <w:r/>
            <w:r>
              <w:rPr>
                <w:rFonts w:ascii="Arial" w:hAnsi="Arial"/>
                <w:b w:val="0"/>
                <w:sz w:val="18"/>
              </w:rPr>
              <w:t>rag_search_tool.py</w:t>
            </w:r>
          </w:p>
        </w:tc>
        <w:tc>
          <w:tcPr>
            <w:tcW w:type="dxa" w:w="7488"/>
            <w:vAlign w:val="top"/>
          </w:tcPr>
          <w:p>
            <w:r/>
            <w:r>
              <w:rPr>
                <w:rFonts w:ascii="Arial" w:hAnsi="Arial"/>
                <w:b w:val="0"/>
                <w:sz w:val="18"/>
              </w:rPr>
              <w:t>Search brand/product guideline context using Elasticsearch-backed RAG.</w:t>
            </w:r>
          </w:p>
        </w:tc>
      </w:tr>
      <w:tr>
        <w:tc>
          <w:tcPr>
            <w:tcW w:type="dxa" w:w="2880"/>
            <w:vAlign w:val="top"/>
          </w:tcPr>
          <w:p>
            <w:r/>
            <w:r>
              <w:rPr>
                <w:rFonts w:ascii="Arial" w:hAnsi="Arial"/>
                <w:b w:val="0"/>
                <w:sz w:val="18"/>
              </w:rPr>
              <w:t>campaign_tool.py</w:t>
            </w:r>
          </w:p>
        </w:tc>
        <w:tc>
          <w:tcPr>
            <w:tcW w:type="dxa" w:w="7488"/>
            <w:vAlign w:val="top"/>
          </w:tcPr>
          <w:p>
            <w:r/>
            <w:r>
              <w:rPr>
                <w:rFonts w:ascii="Arial" w:hAnsi="Arial"/>
                <w:b w:val="0"/>
                <w:sz w:val="18"/>
              </w:rPr>
              <w:t>Create/validate campaign plan and structured campaign details.</w:t>
            </w:r>
          </w:p>
        </w:tc>
      </w:tr>
      <w:tr>
        <w:tc>
          <w:tcPr>
            <w:tcW w:type="dxa" w:w="2880"/>
            <w:vAlign w:val="top"/>
          </w:tcPr>
          <w:p>
            <w:r/>
            <w:r>
              <w:rPr>
                <w:rFonts w:ascii="Arial" w:hAnsi="Arial"/>
                <w:b w:val="0"/>
                <w:sz w:val="18"/>
              </w:rPr>
              <w:t>payload_builder_tool.py</w:t>
            </w:r>
          </w:p>
        </w:tc>
        <w:tc>
          <w:tcPr>
            <w:tcW w:type="dxa" w:w="7488"/>
            <w:vAlign w:val="top"/>
          </w:tcPr>
          <w:p>
            <w:r/>
            <w:r>
              <w:rPr>
                <w:rFonts w:ascii="Arial" w:hAnsi="Arial"/>
                <w:b w:val="0"/>
                <w:sz w:val="18"/>
              </w:rPr>
              <w:t>Build generic and channel-specific payloads by calling channel mappers.</w:t>
            </w:r>
          </w:p>
        </w:tc>
      </w:tr>
      <w:tr>
        <w:tc>
          <w:tcPr>
            <w:tcW w:type="dxa" w:w="2880"/>
            <w:vAlign w:val="top"/>
          </w:tcPr>
          <w:p>
            <w:r/>
            <w:r>
              <w:rPr>
                <w:rFonts w:ascii="Arial" w:hAnsi="Arial"/>
                <w:b w:val="0"/>
                <w:sz w:val="18"/>
              </w:rPr>
              <w:t>messaging_tool.py</w:t>
            </w:r>
          </w:p>
        </w:tc>
        <w:tc>
          <w:tcPr>
            <w:tcW w:type="dxa" w:w="7488"/>
            <w:vAlign w:val="top"/>
          </w:tcPr>
          <w:p>
            <w:r/>
            <w:r>
              <w:rPr>
                <w:rFonts w:ascii="Arial" w:hAnsi="Arial"/>
                <w:b w:val="0"/>
                <w:sz w:val="18"/>
              </w:rPr>
              <w:t>Trigger message sending by calling Channel Registry, not provider APIs directly.</w:t>
            </w:r>
          </w:p>
        </w:tc>
      </w:tr>
      <w:tr>
        <w:tc>
          <w:tcPr>
            <w:tcW w:type="dxa" w:w="2880"/>
            <w:vAlign w:val="top"/>
          </w:tcPr>
          <w:p>
            <w:r/>
            <w:r>
              <w:rPr>
                <w:rFonts w:ascii="Arial" w:hAnsi="Arial"/>
                <w:b w:val="0"/>
                <w:sz w:val="18"/>
              </w:rPr>
              <w:t>tool_registry.py</w:t>
            </w:r>
          </w:p>
        </w:tc>
        <w:tc>
          <w:tcPr>
            <w:tcW w:type="dxa" w:w="7488"/>
            <w:vAlign w:val="top"/>
          </w:tcPr>
          <w:p>
            <w:r/>
            <w:r>
              <w:rPr>
                <w:rFonts w:ascii="Arial" w:hAnsi="Arial"/>
                <w:b w:val="0"/>
                <w:sz w:val="18"/>
              </w:rPr>
              <w:t>Register and expose tools to AI agent / LangChain tool layer.</w:t>
            </w:r>
          </w:p>
        </w:tc>
      </w:tr>
    </w:tbl>
    <w:p/>
    <w:p>
      <w:r>
        <w:rPr>
          <w:rFonts w:ascii="Arial" w:hAnsi="Arial"/>
        </w:rPr>
        <w:t>Recommended tools folder:</w:t>
      </w:r>
    </w:p>
    <w:p>
      <w:r>
        <w:rPr>
          <w:rFonts w:ascii="Courier New" w:hAnsi="Courier New"/>
          <w:sz w:val="17"/>
        </w:rPr>
        <w:t>backend/app/tools/</w:t>
        <w:br/>
        <w:t>├── tool_registry.py</w:t>
        <w:br/>
        <w:t>├── compliance_tool.py</w:t>
        <w:br/>
        <w:t>├── campaign_tool.py</w:t>
        <w:br/>
        <w:t>├── rag_search_tool.py</w:t>
        <w:br/>
        <w:t>├── payload_builder_tool.py</w:t>
        <w:br/>
        <w:t>└── messaging_tool.py</w:t>
      </w:r>
    </w:p>
    <w:p>
      <w:pPr>
        <w:pStyle w:val="Heading1"/>
      </w:pPr>
      <w:r>
        <w:rPr>
          <w:rFonts w:ascii="Arial" w:hAnsi="Arial"/>
        </w:rPr>
        <w:t>5. LangChain Boundary Rule</w:t>
      </w:r>
    </w:p>
    <w:p>
      <w:r>
        <w:rPr>
          <w:rFonts w:ascii="Arial" w:hAnsi="Arial"/>
        </w:rPr>
        <w:t>LangChain will be used, but only behind internal wrappers. This avoids framework lock-in and makes version upgrades easier.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8"/>
              </w:rPr>
              <w:t>Allowed LangChain Usage</w:t>
            </w:r>
          </w:p>
        </w:tc>
        <w:tc>
          <w:tcPr>
            <w:tcW w:type="dxa" w:w="5184"/>
            <w:vAlign w:val="top"/>
            <w:shd w:fill="D9EAF7"/>
          </w:tcPr>
          <w:p>
            <w:r/>
            <w:r>
              <w:rPr>
                <w:rFonts w:ascii="Arial" w:hAnsi="Arial"/>
                <w:b/>
                <w:sz w:val="18"/>
              </w:rPr>
              <w:t>Not Allowed</w:t>
            </w:r>
          </w:p>
        </w:tc>
      </w:tr>
      <w:tr>
        <w:tc>
          <w:tcPr>
            <w:tcW w:type="dxa" w:w="5184"/>
            <w:vAlign w:val="top"/>
          </w:tcPr>
          <w:p>
            <w:r/>
            <w:r>
              <w:rPr>
                <w:rFonts w:ascii="Arial" w:hAnsi="Arial"/>
                <w:b w:val="0"/>
                <w:sz w:val="18"/>
              </w:rPr>
              <w:t>llm/llm_client.py wraps ChatOpenAI or model calls.</w:t>
            </w:r>
          </w:p>
        </w:tc>
        <w:tc>
          <w:tcPr>
            <w:tcW w:type="dxa" w:w="5184"/>
            <w:vAlign w:val="top"/>
          </w:tcPr>
          <w:p>
            <w:r/>
            <w:r>
              <w:rPr>
                <w:rFonts w:ascii="Arial" w:hAnsi="Arial"/>
                <w:b w:val="0"/>
                <w:sz w:val="18"/>
              </w:rPr>
              <w:t>campaign_service.py directly importing ChatOpenAI.</w:t>
            </w:r>
          </w:p>
        </w:tc>
      </w:tr>
      <w:tr>
        <w:tc>
          <w:tcPr>
            <w:tcW w:type="dxa" w:w="5184"/>
            <w:vAlign w:val="top"/>
          </w:tcPr>
          <w:p>
            <w:r/>
            <w:r>
              <w:rPr>
                <w:rFonts w:ascii="Arial" w:hAnsi="Arial"/>
                <w:b w:val="0"/>
                <w:sz w:val="18"/>
              </w:rPr>
              <w:t>rag/rag_pipeline.py wraps retriever/chains.</w:t>
            </w:r>
          </w:p>
        </w:tc>
        <w:tc>
          <w:tcPr>
            <w:tcW w:type="dxa" w:w="5184"/>
            <w:vAlign w:val="top"/>
          </w:tcPr>
          <w:p>
            <w:r/>
            <w:r>
              <w:rPr>
                <w:rFonts w:ascii="Arial" w:hAnsi="Arial"/>
                <w:b w:val="0"/>
                <w:sz w:val="18"/>
              </w:rPr>
              <w:t>Frontend or API route directly building LangChain chains.</w:t>
            </w:r>
          </w:p>
        </w:tc>
      </w:tr>
      <w:tr>
        <w:tc>
          <w:tcPr>
            <w:tcW w:type="dxa" w:w="5184"/>
            <w:vAlign w:val="top"/>
          </w:tcPr>
          <w:p>
            <w:r/>
            <w:r>
              <w:rPr>
                <w:rFonts w:ascii="Arial" w:hAnsi="Arial"/>
                <w:b w:val="0"/>
                <w:sz w:val="18"/>
              </w:rPr>
              <w:t>tools/tool_registry.py maps internal tools to LangChain tools.</w:t>
            </w:r>
          </w:p>
        </w:tc>
        <w:tc>
          <w:tcPr>
            <w:tcW w:type="dxa" w:w="5184"/>
            <w:vAlign w:val="top"/>
          </w:tcPr>
          <w:p>
            <w:r/>
            <w:r>
              <w:rPr>
                <w:rFonts w:ascii="Arial" w:hAnsi="Arial"/>
                <w:b w:val="0"/>
                <w:sz w:val="18"/>
              </w:rPr>
              <w:t>Channel adapter directly depending on LangChain.</w:t>
            </w:r>
          </w:p>
        </w:tc>
      </w:tr>
      <w:tr>
        <w:tc>
          <w:tcPr>
            <w:tcW w:type="dxa" w:w="5184"/>
            <w:vAlign w:val="top"/>
          </w:tcPr>
          <w:p>
            <w:r/>
            <w:r>
              <w:rPr>
                <w:rFonts w:ascii="Arial" w:hAnsi="Arial"/>
                <w:b w:val="0"/>
                <w:sz w:val="18"/>
              </w:rPr>
              <w:t>agents/agent.py controls agent workflow.</w:t>
            </w:r>
          </w:p>
        </w:tc>
        <w:tc>
          <w:tcPr>
            <w:tcW w:type="dxa" w:w="5184"/>
            <w:vAlign w:val="top"/>
          </w:tcPr>
          <w:p>
            <w:r/>
            <w:r>
              <w:rPr>
                <w:rFonts w:ascii="Arial" w:hAnsi="Arial"/>
                <w:b w:val="0"/>
                <w:sz w:val="18"/>
              </w:rPr>
              <w:t>Business logic scattered across LangChain callbacks.</w:t>
            </w:r>
          </w:p>
        </w:tc>
      </w:tr>
    </w:tbl>
    <w:p/>
    <w:p>
      <w:pPr>
        <w:pStyle w:val="Heading1"/>
      </w:pPr>
      <w:r>
        <w:rPr>
          <w:rFonts w:ascii="Arial" w:hAnsi="Arial"/>
        </w:rPr>
        <w:t>6. MCP Future Extension</w:t>
      </w:r>
    </w:p>
    <w:p>
      <w:r>
        <w:rPr>
          <w:rFonts w:ascii="Arial" w:hAnsi="Arial"/>
        </w:rPr>
        <w:t>MCP is not a blocker for MVP. It will be added later as a small advanced phase by exposing selected internal tools through an MCP-style interface.</w:t>
      </w:r>
    </w:p>
    <w:p>
      <w:pPr>
        <w:pStyle w:val="ListBullet"/>
      </w:pPr>
      <w:r>
        <w:rPr>
          <w:rFonts w:ascii="Arial" w:hAnsi="Arial"/>
        </w:rPr>
        <w:t>MVP: internal tool registry only.</w:t>
      </w:r>
    </w:p>
    <w:p>
      <w:pPr>
        <w:pStyle w:val="ListBullet"/>
      </w:pPr>
      <w:r>
        <w:rPr>
          <w:rFonts w:ascii="Arial" w:hAnsi="Arial"/>
        </w:rPr>
        <w:t>Advanced: expose brand_guideline_search_tool, compliance_check_tool, telegram_send_tool, campaign_template_tool, and whatsapp_payload_tool.</w:t>
      </w:r>
    </w:p>
    <w:p>
      <w:pPr>
        <w:pStyle w:val="ListBullet"/>
      </w:pPr>
      <w:r>
        <w:rPr>
          <w:rFonts w:ascii="Arial" w:hAnsi="Arial"/>
        </w:rPr>
        <w:t>MCP folder remains reserved: backend/app/mcp/.</w:t>
      </w:r>
    </w:p>
    <w:p>
      <w:pPr>
        <w:pStyle w:val="Heading1"/>
      </w:pPr>
      <w:r>
        <w:rPr>
          <w:rFonts w:ascii="Arial" w:hAnsi="Arial"/>
        </w:rPr>
        <w:t>7. Design Rules for Future Implementation</w:t>
      </w:r>
    </w:p>
    <w:p>
      <w:pPr>
        <w:pStyle w:val="ListBullet"/>
      </w:pPr>
      <w:r>
        <w:rPr>
          <w:rFonts w:ascii="Arial" w:hAnsi="Arial"/>
        </w:rPr>
        <w:t>No if/else chain in Campaign Service for channel-specific sending.</w:t>
      </w:r>
    </w:p>
    <w:p>
      <w:pPr>
        <w:pStyle w:val="ListBullet"/>
      </w:pPr>
      <w:r>
        <w:rPr>
          <w:rFonts w:ascii="Arial" w:hAnsi="Arial"/>
        </w:rPr>
        <w:t>No provider API calls inside LLM, RAG, or campaign services.</w:t>
      </w:r>
    </w:p>
    <w:p>
      <w:pPr>
        <w:pStyle w:val="ListBullet"/>
      </w:pPr>
      <w:r>
        <w:rPr>
          <w:rFonts w:ascii="Arial" w:hAnsi="Arial"/>
        </w:rPr>
        <w:t>Every channel must implement a common interface: validate_payload, map_payload, send_text, send_media where supported.</w:t>
      </w:r>
    </w:p>
    <w:p>
      <w:pPr>
        <w:pStyle w:val="ListBullet"/>
      </w:pPr>
      <w:r>
        <w:rPr>
          <w:rFonts w:ascii="Arial" w:hAnsi="Arial"/>
        </w:rPr>
        <w:t>Every tool call must be logged in ToolCallLog.</w:t>
      </w:r>
    </w:p>
    <w:p>
      <w:pPr>
        <w:pStyle w:val="ListBullet"/>
      </w:pPr>
      <w:r>
        <w:rPr>
          <w:rFonts w:ascii="Arial" w:hAnsi="Arial"/>
        </w:rPr>
        <w:t>Every send attempt must create DeliveryLog.</w:t>
      </w:r>
    </w:p>
    <w:p>
      <w:pPr>
        <w:pStyle w:val="ListBullet"/>
      </w:pPr>
      <w:r>
        <w:rPr>
          <w:rFonts w:ascii="Arial" w:hAnsi="Arial"/>
        </w:rPr>
        <w:t>Telegram is real in MVP; WhatsApp is mock payload only.</w:t>
      </w:r>
    </w:p>
    <w:p>
      <w:pPr>
        <w:pStyle w:val="Heading1"/>
      </w:pPr>
      <w:r>
        <w:rPr>
          <w:rFonts w:ascii="Arial" w:hAnsi="Arial"/>
        </w:rPr>
        <w:t>8. Phase 4 Final Lock</w:t>
      </w:r>
    </w:p>
    <w:p>
      <w:r>
        <w:rPr>
          <w:rFonts w:ascii="Arial" w:hAnsi="Arial"/>
        </w:rPr>
        <w:t>Phase 4 is locked as a short architecture decision note. Detailed diagrams and module-level responsibilities will be included in Phase 5 HLD.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Phase 4 | Architecture Decision Note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CampaignPilot AI - Phase 4 Channel &amp; Tool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