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0000"/>
          <w:sz w:val="34"/>
          <w:szCs w:val="34"/>
        </w:rPr>
        <w:t xml:space="preserve">AeroGrid Turbine Health Report</w:t>
      </w:r>
    </w:p>
    <w:p>
      <w:pPr>
        <w:spacing w:after="30"/>
      </w:pPr>
      <w:r>
        <w:rPr>
          <w:b/>
          <w:bCs/>
          <w:sz w:val="22"/>
          <w:szCs w:val="22"/>
        </w:rPr>
        <w:t xml:space="preserve">To: </w:t>
      </w:r>
      <w:r>
        <w:rPr>
          <w:sz w:val="22"/>
          <w:szCs w:val="22"/>
        </w:rPr>
        <w:t xml:space="preserve">Chief Technology Officer, AeroGrid</w:t>
      </w:r>
    </w:p>
    <w:p>
      <w:pPr>
        <w:spacing w:after="30"/>
      </w:pPr>
      <w:r>
        <w:rPr>
          <w:b/>
          <w:bCs/>
          <w:sz w:val="22"/>
          <w:szCs w:val="22"/>
        </w:rPr>
        <w:t xml:space="preserve">From: </w:t>
      </w:r>
      <w:r>
        <w:rPr>
          <w:sz w:val="22"/>
          <w:szCs w:val="22"/>
        </w:rPr>
        <w:t xml:space="preserve">Abhisheksinh Vanrajsinh Rathod, Data Engineering</w:t>
      </w:r>
    </w:p>
    <w:p>
      <w:pPr>
        <w:spacing w:after="3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June 2026</w:t>
      </w:r>
    </w:p>
    <w:p>
      <w:pPr>
        <w:spacing w:after="30"/>
      </w:pPr>
      <w:r>
        <w:rPr>
          <w:b/>
          <w:bCs/>
          <w:sz w:val="22"/>
          <w:szCs w:val="22"/>
        </w:rPr>
        <w:t xml:space="preserve">Subject: </w:t>
      </w:r>
      <w:r>
        <w:rPr>
          <w:sz w:val="22"/>
          <w:szCs w:val="22"/>
        </w:rPr>
        <w:t xml:space="preserve">Urgent maintenance for two turbines and a proposed monitoring pipeline</w:t>
      </w:r>
    </w:p>
    <w:p>
      <w:pPr>
        <w:pBdr>
          <w:bottom w:val="single" w:color="2E75B6" w:sz="6" w:space="1"/>
        </w:pBdr>
        <w:spacing w:after="160"/>
      </w:pPr>
      <w:r>
        <w:rPr>
          <w:sz w:val="8"/>
          <w:szCs w:val="8"/>
        </w:rPr>
        <w:t xml:space="preserve"/>
      </w:r>
    </w:p>
    <w:p>
      <w:pPr>
        <w:spacing w:after="100" w:before="200"/>
      </w:pPr>
      <w:r>
        <w:rPr>
          <w:b/>
          <w:bCs/>
          <w:color w:val="1F3864"/>
          <w:sz w:val="26"/>
          <w:szCs w:val="26"/>
        </w:rPr>
        <w:t xml:space="preserve">Findings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I analysed 5,000 telemetry readings across the 10-turbine fleet, and two units need immediate inspection.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T-04 is running hot — it averages 90.6°C against the 85°C limit, roughly 25°C above the rest of the fleet. That usually points to bearing friction or a failing cooling system, and sustained heat will keep degrading its seals and bearings until it fails.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T-07 is vibrating too much — peaking at 25.0 mm/s against the 15 mm/s limit, and consistently rather than as a single spike. That pattern suggests blade imbalance or rotor misalignment, which fatigues the metal and risks structural cracking.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The remaining eight turbines are operating normally.</w:t>
      </w:r>
    </w:p>
    <w:p>
      <w:pPr>
        <w:spacing w:after="100" w:before="200"/>
      </w:pPr>
      <w:r>
        <w:rPr>
          <w:b/>
          <w:bCs/>
          <w:color w:val="1F3864"/>
          <w:sz w:val="26"/>
          <w:szCs w:val="26"/>
        </w:rPr>
        <w:t xml:space="preserve">Architecture justification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The core problem is that the current server can’t keep up with the constant flow of data, so warning signs slip through unnoticed. I’d route the telemetry into a message queue (Apache Kafka or AWS Kinesis) that absorbs the high-volume stream and separates collection from processing, so nothing is lost under load. A serverless function (AWS Lambda) then runs the anomaly checks live and fires an instant alert (Amazon SNS) the moment a turbine crosses a limit, so the team can act before a failure rather than after one. The data then splits into hot storage — a time-series database powering live dashboards — and cold storage, an S3 data lake for cheap long-term archiving.</w:t>
      </w:r>
    </w:p>
    <w:p>
      <w:pPr>
        <w:spacing w:after="100" w:before="200"/>
      </w:pPr>
      <w:r>
        <w:rPr>
          <w:b/>
          <w:bCs/>
          <w:color w:val="1F3864"/>
          <w:sz w:val="26"/>
          <w:szCs w:val="26"/>
        </w:rPr>
        <w:t xml:space="preserve">Cost optimisation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To keep costs down, I’d add S3 lifecycle rules that automatically move older readings into cheaper storage tiers while keeping recent data fast to access. Paired with Lambda’s pay-per-use pricing, where there’s no charge for idle servers, the pipeline stays affordable even as the data keeps growing.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My recommendation: schedule maintenance for T-04 and T-07 now, and stand up this pipeline so the next early warning is caught in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2026-06-18T12:53:52.203Z</dcterms:created>
  <dcterms:modified xsi:type="dcterms:W3CDTF">2026-06-18T12:53:52.216Z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